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10348" w:leader="none"/>
        </w:tabs>
        <w:ind w:left="5954" w:right="140" w:hanging="0"/>
        <w:rPr>
          <w:color w:val="000000" w:themeColor="text1"/>
          <w:sz w:val="28"/>
          <w:szCs w:val="28"/>
        </w:rPr>
      </w:pPr>
      <w:r>
        <w:rPr>
          <w:color w:val="000000" w:themeColor="text1"/>
          <w:sz w:val="28"/>
          <w:szCs w:val="28"/>
        </w:rPr>
        <w:t>Додаток</w:t>
      </w:r>
    </w:p>
    <w:p>
      <w:pPr>
        <w:pStyle w:val="Normal"/>
        <w:tabs>
          <w:tab w:val="clear" w:pos="708"/>
          <w:tab w:val="left" w:pos="10348" w:leader="none"/>
        </w:tabs>
        <w:ind w:left="5954" w:right="140" w:hanging="0"/>
        <w:rPr>
          <w:color w:val="000000" w:themeColor="text1"/>
          <w:sz w:val="28"/>
          <w:szCs w:val="28"/>
          <w:lang w:val="ru-RU"/>
        </w:rPr>
      </w:pPr>
      <w:r>
        <w:rPr>
          <w:color w:val="000000" w:themeColor="text1"/>
          <w:sz w:val="28"/>
          <w:szCs w:val="28"/>
        </w:rPr>
        <w:t>до рішення міської ради</w:t>
      </w:r>
    </w:p>
    <w:p>
      <w:pPr>
        <w:pStyle w:val="Normal"/>
        <w:tabs>
          <w:tab w:val="clear" w:pos="708"/>
          <w:tab w:val="left" w:pos="10348" w:leader="none"/>
        </w:tabs>
        <w:ind w:left="5954" w:right="140" w:hanging="0"/>
        <w:rPr>
          <w:b/>
          <w:b/>
          <w:color w:val="000000" w:themeColor="text1"/>
          <w:sz w:val="28"/>
          <w:szCs w:val="28"/>
        </w:rPr>
      </w:pPr>
      <w:r>
        <w:rPr>
          <w:color w:val="000000" w:themeColor="text1"/>
          <w:sz w:val="28"/>
          <w:szCs w:val="28"/>
        </w:rPr>
        <w:t>від _________ № ____</w:t>
      </w:r>
    </w:p>
    <w:p>
      <w:pPr>
        <w:pStyle w:val="Normal"/>
        <w:tabs>
          <w:tab w:val="clear" w:pos="708"/>
          <w:tab w:val="left" w:pos="10348" w:leader="none"/>
        </w:tabs>
        <w:ind w:left="5954"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5954"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5954" w:right="140" w:hanging="0"/>
        <w:rPr>
          <w:b/>
          <w:b/>
          <w:color w:val="000000" w:themeColor="text1"/>
          <w:sz w:val="28"/>
          <w:szCs w:val="28"/>
          <w:lang w:eastAsia="uk-UA"/>
        </w:rPr>
      </w:pPr>
      <w:r>
        <w:rPr>
          <w:b/>
          <w:color w:val="000000" w:themeColor="text1"/>
          <w:sz w:val="28"/>
          <w:szCs w:val="28"/>
          <w:lang w:eastAsia="uk-UA"/>
        </w:rPr>
        <w:t xml:space="preserve">Прем'єр-міністру України </w:t>
      </w:r>
    </w:p>
    <w:p>
      <w:pPr>
        <w:pStyle w:val="Normal"/>
        <w:tabs>
          <w:tab w:val="clear" w:pos="708"/>
          <w:tab w:val="left" w:pos="10348" w:leader="none"/>
        </w:tabs>
        <w:ind w:left="5954" w:right="140" w:hanging="0"/>
        <w:rPr>
          <w:b/>
          <w:b/>
          <w:color w:val="000000" w:themeColor="text1"/>
          <w:sz w:val="28"/>
          <w:szCs w:val="28"/>
          <w:lang w:eastAsia="uk-UA"/>
        </w:rPr>
      </w:pPr>
      <w:r>
        <w:rPr>
          <w:b/>
          <w:color w:val="000000" w:themeColor="text1"/>
          <w:sz w:val="28"/>
          <w:szCs w:val="28"/>
          <w:lang w:eastAsia="uk-UA"/>
        </w:rPr>
        <w:t>Шмигалю Денису Анатолійовичу</w:t>
      </w:r>
    </w:p>
    <w:p>
      <w:pPr>
        <w:pStyle w:val="Normal"/>
        <w:tabs>
          <w:tab w:val="clear" w:pos="708"/>
          <w:tab w:val="left" w:pos="10348" w:leader="none"/>
        </w:tabs>
        <w:ind w:left="5954"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5954" w:right="140" w:hanging="0"/>
        <w:rPr>
          <w:b/>
          <w:b/>
          <w:color w:val="000000" w:themeColor="text1"/>
          <w:sz w:val="28"/>
          <w:szCs w:val="28"/>
          <w:lang w:eastAsia="uk-UA"/>
        </w:rPr>
      </w:pPr>
      <w:r>
        <w:rPr>
          <w:b/>
          <w:color w:val="000000" w:themeColor="text1"/>
          <w:sz w:val="28"/>
          <w:szCs w:val="28"/>
          <w:lang w:eastAsia="uk-UA"/>
        </w:rPr>
        <w:t>Т.в.о. Міністра освіти і науки України Шкарлету Сергію Миколайовичу</w:t>
      </w:r>
    </w:p>
    <w:p>
      <w:pPr>
        <w:pStyle w:val="Normal"/>
        <w:tabs>
          <w:tab w:val="clear" w:pos="708"/>
          <w:tab w:val="left" w:pos="10348" w:leader="none"/>
        </w:tabs>
        <w:ind w:left="5954"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5954" w:right="140" w:hanging="0"/>
        <w:rPr>
          <w:b/>
          <w:b/>
          <w:color w:val="000000" w:themeColor="text1"/>
          <w:sz w:val="28"/>
          <w:szCs w:val="28"/>
          <w:lang w:eastAsia="uk-UA"/>
        </w:rPr>
      </w:pPr>
      <w:r>
        <w:rPr>
          <w:b/>
          <w:color w:val="000000" w:themeColor="text1"/>
          <w:sz w:val="28"/>
          <w:szCs w:val="28"/>
          <w:lang w:eastAsia="uk-UA"/>
        </w:rPr>
        <w:t>Міністру фінансів України Марченко Сергію Михайловичу</w:t>
      </w:r>
    </w:p>
    <w:p>
      <w:pPr>
        <w:pStyle w:val="Normal"/>
        <w:tabs>
          <w:tab w:val="clear" w:pos="708"/>
          <w:tab w:val="left" w:pos="10348" w:leader="none"/>
        </w:tabs>
        <w:ind w:left="5954"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851" w:right="140" w:hanging="0"/>
        <w:rPr>
          <w:rFonts w:ascii="Times New Roman" w:hAnsi="Times New Roman"/>
          <w:b/>
          <w:b/>
          <w:color w:val="000000" w:themeColor="text1"/>
          <w:sz w:val="28"/>
          <w:szCs w:val="28"/>
          <w:lang w:eastAsia="uk-UA"/>
        </w:rPr>
      </w:pPr>
      <w:r>
        <w:rPr>
          <w:b/>
          <w:color w:val="000000" w:themeColor="text1"/>
          <w:sz w:val="28"/>
          <w:szCs w:val="28"/>
          <w:lang w:eastAsia="uk-UA"/>
        </w:rPr>
      </w:r>
    </w:p>
    <w:p>
      <w:pPr>
        <w:pStyle w:val="Normal"/>
        <w:tabs>
          <w:tab w:val="clear" w:pos="708"/>
          <w:tab w:val="left" w:pos="10348" w:leader="none"/>
        </w:tabs>
        <w:ind w:left="851" w:right="140" w:hanging="0"/>
        <w:jc w:val="center"/>
        <w:rPr>
          <w:rFonts w:ascii="Times New Roman" w:hAnsi="Times New Roman"/>
          <w:b/>
          <w:b/>
          <w:bCs/>
          <w:color w:val="000000" w:themeColor="text1"/>
          <w:sz w:val="28"/>
          <w:szCs w:val="28"/>
        </w:rPr>
      </w:pPr>
      <w:r>
        <w:rPr>
          <w:b/>
          <w:bCs/>
          <w:color w:val="000000" w:themeColor="text1"/>
          <w:sz w:val="28"/>
          <w:szCs w:val="28"/>
        </w:rPr>
      </w:r>
    </w:p>
    <w:p>
      <w:pPr>
        <w:pStyle w:val="Normal"/>
        <w:tabs>
          <w:tab w:val="clear" w:pos="708"/>
          <w:tab w:val="left" w:pos="10348" w:leader="none"/>
        </w:tabs>
        <w:ind w:firstLine="709"/>
        <w:jc w:val="center"/>
        <w:rPr>
          <w:b/>
          <w:b/>
          <w:bCs/>
          <w:color w:val="000000" w:themeColor="text1"/>
        </w:rPr>
      </w:pPr>
      <w:r>
        <w:rPr>
          <w:b/>
          <w:bCs/>
          <w:color w:val="000000" w:themeColor="text1"/>
          <w:sz w:val="28"/>
          <w:szCs w:val="28"/>
        </w:rPr>
        <w:t>ЗВЕРНЕННЯ</w:t>
      </w:r>
    </w:p>
    <w:p>
      <w:pPr>
        <w:pStyle w:val="Normal"/>
        <w:tabs>
          <w:tab w:val="clear" w:pos="708"/>
          <w:tab w:val="left" w:pos="10348" w:leader="none"/>
        </w:tabs>
        <w:ind w:firstLine="709"/>
        <w:jc w:val="center"/>
        <w:rPr>
          <w:b/>
          <w:b/>
          <w:color w:val="000000" w:themeColor="text1"/>
        </w:rPr>
      </w:pPr>
      <w:r>
        <w:rPr>
          <w:color w:val="000000" w:themeColor="text1"/>
          <w:sz w:val="28"/>
          <w:szCs w:val="28"/>
          <w:shd w:fill="FFFFFF" w:val="clear"/>
        </w:rPr>
        <w:t xml:space="preserve">до Кабінету Міністрів України, Міністерства освіти </w:t>
      </w:r>
      <w:r>
        <w:rPr>
          <w:color w:val="000000" w:themeColor="text1"/>
          <w:sz w:val="28"/>
          <w:szCs w:val="28"/>
          <w:shd w:fill="FFFFFF" w:val="clear"/>
        </w:rPr>
        <w:t>і науки</w:t>
      </w:r>
      <w:r>
        <w:rPr>
          <w:color w:val="000000" w:themeColor="text1"/>
          <w:sz w:val="28"/>
          <w:szCs w:val="28"/>
          <w:shd w:fill="FFFFFF" w:val="clear"/>
        </w:rPr>
        <w:t xml:space="preserve"> України, Міністерства фінансів України щодо внесення змін у формулу розподілу освітньої субвенції</w:t>
      </w:r>
      <w:r>
        <w:rPr>
          <w:color w:val="000000" w:themeColor="text1"/>
          <w:sz w:val="28"/>
          <w:szCs w:val="28"/>
        </w:rPr>
        <w:t>.</w:t>
      </w:r>
    </w:p>
    <w:p>
      <w:pPr>
        <w:pStyle w:val="Normal"/>
        <w:tabs>
          <w:tab w:val="clear" w:pos="708"/>
          <w:tab w:val="left" w:pos="10348" w:leader="none"/>
        </w:tabs>
        <w:ind w:firstLine="709"/>
        <w:jc w:val="both"/>
        <w:rPr>
          <w:rFonts w:ascii="Times New Roman" w:hAnsi="Times New Roman"/>
          <w:b/>
          <w:b/>
          <w:color w:val="000000" w:themeColor="text1"/>
          <w:sz w:val="28"/>
          <w:szCs w:val="28"/>
        </w:rPr>
      </w:pPr>
      <w:r>
        <w:rPr>
          <w:b/>
          <w:color w:val="000000" w:themeColor="text1"/>
          <w:sz w:val="28"/>
          <w:szCs w:val="28"/>
        </w:rPr>
      </w:r>
    </w:p>
    <w:p>
      <w:pPr>
        <w:pStyle w:val="Normal"/>
        <w:ind w:firstLine="709"/>
        <w:jc w:val="both"/>
        <w:rPr>
          <w:color w:val="000000" w:themeColor="text1"/>
        </w:rPr>
      </w:pPr>
      <w:r>
        <w:rPr>
          <w:color w:val="000000" w:themeColor="text1"/>
          <w:sz w:val="28"/>
          <w:szCs w:val="28"/>
          <w:shd w:fill="FFFFFF" w:val="clear"/>
        </w:rPr>
        <w:t xml:space="preserve">Із метою забезпечення об’єктивного, справедливого розподілу коштів освітньої субвенції між місцевими бюджетами та уникнення ситуацій незабезпеченості у видатках на оплату праці педагогічних працівників закладів загальної середньої освіти Луцької міської територіальної громади ми, депутати </w:t>
      </w:r>
      <w:r>
        <w:rPr>
          <w:color w:val="000000" w:themeColor="text1"/>
          <w:sz w:val="28"/>
          <w:szCs w:val="28"/>
        </w:rPr>
        <w:t>Луцької міської ради, звертаємося до вас щодо необхідності перегляду постанови Кабінету міністрів України від 27 грудня 2017 р. № 1088 «Про затвердження формули розподілу освітньої субвенції між місцевими бюджетами» зі змінами (далі Постанова №1088).</w:t>
      </w:r>
    </w:p>
    <w:p>
      <w:pPr>
        <w:pStyle w:val="Normal"/>
        <w:ind w:firstLine="709"/>
        <w:jc w:val="both"/>
        <w:rPr>
          <w:color w:val="000000" w:themeColor="text1"/>
        </w:rPr>
      </w:pPr>
      <w:r>
        <w:rPr>
          <w:color w:val="000000" w:themeColor="text1"/>
          <w:sz w:val="28"/>
          <w:szCs w:val="28"/>
        </w:rPr>
        <w:t>Формула розподілу освітньої субвенції, затверджена Постановою 1088, має на меті забезпечити об’єктивний, справедливий розподіл коштів між місцевими бюджетами для фінансування заробітної плати педагогічних працівників. Проте сьогодні вона не враховує ряд показників, а також зміни, що відбудуться внаслідок завершення етапу добровільного  об’єднання громад, затвердження нового адміністративно-територіального устрою. Потребують перегляду показники: розрахункова наповнюваність класів, поділ класу на групи.</w:t>
      </w:r>
    </w:p>
    <w:p>
      <w:pPr>
        <w:pStyle w:val="Normal"/>
        <w:ind w:firstLine="709"/>
        <w:jc w:val="both"/>
        <w:rPr>
          <w:color w:val="000000" w:themeColor="text1"/>
        </w:rPr>
      </w:pPr>
      <w:r>
        <w:rPr>
          <w:b/>
          <w:color w:val="000000" w:themeColor="text1"/>
          <w:sz w:val="28"/>
          <w:szCs w:val="28"/>
        </w:rPr>
        <w:t>Розрахункова наповнюваність класів.</w:t>
      </w:r>
      <w:r>
        <w:rPr>
          <w:color w:val="000000" w:themeColor="text1"/>
          <w:sz w:val="28"/>
          <w:szCs w:val="28"/>
        </w:rPr>
        <w:t xml:space="preserve"> Проведений нами аналіз свідчить, що діюча формула не враховує потреби у фінансуванні закладів освіти  сільських ОТГ, які згідно перспективного плану будуть приєднані до міст обласного значення, що є обласними центрами. </w:t>
      </w:r>
    </w:p>
    <w:p>
      <w:pPr>
        <w:pStyle w:val="Normal"/>
        <w:ind w:firstLine="709"/>
        <w:jc w:val="both"/>
        <w:rPr>
          <w:color w:val="000000" w:themeColor="text1"/>
          <w:highlight w:val="white"/>
        </w:rPr>
      </w:pPr>
      <w:r>
        <w:rPr>
          <w:color w:val="000000" w:themeColor="text1"/>
          <w:sz w:val="28"/>
          <w:szCs w:val="28"/>
        </w:rPr>
        <w:t xml:space="preserve">Луцька міська ОТГ </w:t>
      </w:r>
      <w:r>
        <w:rPr>
          <w:color w:val="000000" w:themeColor="text1"/>
          <w:sz w:val="28"/>
          <w:szCs w:val="28"/>
          <w:shd w:fill="FFFFFF" w:val="clear"/>
        </w:rPr>
        <w:t>утворена 25 жовтня 2019  року внаслідок об’єднання м. Луцька та Прилуцької сільської ради. Освітню субвенцію на всі заклади освіти Луцької міської громади нараховують як для міста обласного значення, яке є обласним центром. Для таких громад показник розрахункової наповнюваності класів (РНК) становить 27 учнів.  Відповідно до перспективного плану Волинської області у 2020 році до Луцької громади  буде доєднано три сільських ОТГ: Княгининівську, Заборолівську, Жидичинську. Для цих ОТГ сума коштів освітньої субвенції на 2020 р. (без урахування реального контингенту учнів</w:t>
      </w:r>
      <w:r>
        <w:rPr>
          <w:color w:val="000000" w:themeColor="text1"/>
          <w:sz w:val="28"/>
          <w:szCs w:val="28"/>
          <w:shd w:fill="FFFFFF" w:val="clear"/>
          <w:lang w:val="ru-RU"/>
        </w:rPr>
        <w:t xml:space="preserve"> –</w:t>
      </w:r>
      <w:r>
        <w:rPr>
          <w:color w:val="000000" w:themeColor="text1"/>
          <w:sz w:val="28"/>
          <w:szCs w:val="28"/>
          <w:shd w:fill="FFFFFF" w:val="clear"/>
        </w:rPr>
        <w:t xml:space="preserve"> суми приведені з додатку до державного бюджету України від 04.11.2019р.) становила:</w:t>
      </w:r>
    </w:p>
    <w:p>
      <w:pPr>
        <w:pStyle w:val="ListParagraph"/>
        <w:numPr>
          <w:ilvl w:val="0"/>
          <w:numId w:val="1"/>
        </w:numPr>
        <w:spacing w:lineRule="auto" w:line="259"/>
        <w:ind w:left="0" w:firstLine="709"/>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8"/>
          <w:szCs w:val="28"/>
          <w:shd w:fill="FFFFFF" w:val="clear"/>
        </w:rPr>
        <w:t xml:space="preserve">Княгининівської громади </w:t>
      </w:r>
      <w:r>
        <w:rPr>
          <w:rFonts w:cs="Times New Roman" w:ascii="Times New Roman" w:hAnsi="Times New Roman"/>
          <w:color w:val="000000" w:themeColor="text1"/>
          <w:sz w:val="28"/>
          <w:szCs w:val="28"/>
          <w:shd w:fill="FFFFFF" w:val="clear"/>
          <w:lang w:val="en-US"/>
        </w:rPr>
        <w:t xml:space="preserve">– </w:t>
      </w:r>
      <w:r>
        <w:rPr>
          <w:rFonts w:cs="Times New Roman" w:ascii="Times New Roman" w:hAnsi="Times New Roman"/>
          <w:color w:val="000000" w:themeColor="text1"/>
          <w:sz w:val="28"/>
          <w:szCs w:val="28"/>
          <w:shd w:fill="FFFFFF" w:val="clear"/>
        </w:rPr>
        <w:t>14955,2 тис .грн;</w:t>
      </w:r>
    </w:p>
    <w:p>
      <w:pPr>
        <w:pStyle w:val="ListParagraph"/>
        <w:numPr>
          <w:ilvl w:val="0"/>
          <w:numId w:val="1"/>
        </w:numPr>
        <w:spacing w:lineRule="auto" w:line="259"/>
        <w:ind w:left="0" w:firstLine="709"/>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8"/>
          <w:szCs w:val="28"/>
          <w:shd w:fill="FFFFFF" w:val="clear"/>
        </w:rPr>
        <w:t xml:space="preserve">Заборолівської громади </w:t>
      </w:r>
      <w:r>
        <w:rPr>
          <w:rFonts w:cs="Times New Roman" w:ascii="Times New Roman" w:hAnsi="Times New Roman"/>
          <w:color w:val="000000" w:themeColor="text1"/>
          <w:sz w:val="28"/>
          <w:szCs w:val="28"/>
          <w:shd w:fill="FFFFFF" w:val="clear"/>
          <w:lang w:val="en-US"/>
        </w:rPr>
        <w:t xml:space="preserve">– </w:t>
      </w:r>
      <w:r>
        <w:rPr>
          <w:rFonts w:cs="Times New Roman" w:ascii="Times New Roman" w:hAnsi="Times New Roman"/>
          <w:color w:val="000000" w:themeColor="text1"/>
          <w:sz w:val="28"/>
          <w:szCs w:val="28"/>
          <w:shd w:fill="FFFFFF" w:val="clear"/>
        </w:rPr>
        <w:t>23685,5 тис .грн;</w:t>
      </w:r>
    </w:p>
    <w:p>
      <w:pPr>
        <w:pStyle w:val="ListParagraph"/>
        <w:numPr>
          <w:ilvl w:val="0"/>
          <w:numId w:val="1"/>
        </w:numPr>
        <w:spacing w:lineRule="auto" w:line="259"/>
        <w:ind w:left="0" w:firstLine="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8"/>
          <w:szCs w:val="28"/>
          <w:shd w:fill="FFFFFF" w:val="clear"/>
        </w:rPr>
        <w:t xml:space="preserve">Жидичинської громади </w:t>
      </w:r>
      <w:r>
        <w:rPr>
          <w:rFonts w:cs="Times New Roman" w:ascii="Times New Roman" w:hAnsi="Times New Roman"/>
          <w:color w:val="000000" w:themeColor="text1"/>
          <w:sz w:val="28"/>
          <w:szCs w:val="28"/>
          <w:shd w:fill="FFFFFF" w:val="clear"/>
          <w:lang w:val="en-US"/>
        </w:rPr>
        <w:t xml:space="preserve">– </w:t>
      </w:r>
      <w:r>
        <w:rPr>
          <w:rFonts w:cs="Times New Roman" w:ascii="Times New Roman" w:hAnsi="Times New Roman"/>
          <w:color w:val="000000" w:themeColor="text1"/>
          <w:sz w:val="28"/>
          <w:szCs w:val="28"/>
          <w:shd w:fill="FFFFFF" w:val="clear"/>
        </w:rPr>
        <w:t>12491,1 тис .грн.</w:t>
      </w:r>
    </w:p>
    <w:p>
      <w:pPr>
        <w:pStyle w:val="Normal"/>
        <w:ind w:firstLine="709"/>
        <w:jc w:val="both"/>
        <w:rPr>
          <w:color w:val="000000" w:themeColor="text1"/>
          <w:highlight w:val="white"/>
        </w:rPr>
      </w:pPr>
      <w:r>
        <w:rPr>
          <w:color w:val="000000" w:themeColor="text1"/>
          <w:sz w:val="28"/>
          <w:szCs w:val="28"/>
          <w:shd w:fill="FFFFFF" w:val="clear"/>
        </w:rPr>
        <w:t>У результаті приєднання цих громад до Луцької міської ОТГ зміниться їх статус, що вимагає змін у показниках формули для розрахунку субвенції. Відсоток сільського населення  більше враховуватися не буде. Показник РНК застосовуватиметься, як для міст обласного значення, що є обласними центрами – 27 учнів. Як наслідок, – субвенція, що припадає на  заклади освіти цих громад сьогодні, у 2021 році зменшиться на 46%, що в абсолютному вираженні становитиме 23 мільйони грн. Це призведе до значного дефіциту коштів на оплату праці педагогічних працівників.</w:t>
      </w:r>
    </w:p>
    <w:p>
      <w:pPr>
        <w:pStyle w:val="Normal"/>
        <w:ind w:firstLine="709"/>
        <w:jc w:val="both"/>
        <w:rPr>
          <w:color w:val="000000" w:themeColor="text1"/>
        </w:rPr>
      </w:pPr>
      <w:r>
        <w:rPr>
          <w:color w:val="000000" w:themeColor="text1"/>
          <w:sz w:val="28"/>
          <w:szCs w:val="28"/>
          <w:shd w:fill="FFFFFF" w:val="clear"/>
        </w:rPr>
        <w:t>Вирішити дану проблему шляхом оптимізації не можливо, оскільки у сільських школах майбутньої  громади навчатиметься понад 1700 учнів. Забезпечити підвезення до міських шкіл такої кількості дітей теж буде неможливим і недоцільним, оскільки школи міста не витримають цього навантаження.</w:t>
      </w:r>
    </w:p>
    <w:p>
      <w:pPr>
        <w:pStyle w:val="Normal"/>
        <w:ind w:firstLine="709"/>
        <w:jc w:val="both"/>
        <w:rPr>
          <w:color w:val="000000" w:themeColor="text1"/>
          <w:highlight w:val="white"/>
        </w:rPr>
      </w:pPr>
      <w:r>
        <w:rPr>
          <w:b/>
          <w:color w:val="000000" w:themeColor="text1"/>
          <w:sz w:val="28"/>
          <w:szCs w:val="28"/>
        </w:rPr>
        <w:t>П</w:t>
      </w:r>
      <w:r>
        <w:rPr>
          <w:b/>
          <w:color w:val="000000" w:themeColor="text1"/>
          <w:sz w:val="28"/>
          <w:szCs w:val="28"/>
          <w:shd w:fill="FFFFFF" w:val="clear"/>
        </w:rPr>
        <w:t>оділ класів на групи.</w:t>
      </w:r>
      <w:r>
        <w:rPr>
          <w:color w:val="000000" w:themeColor="text1"/>
          <w:sz w:val="28"/>
          <w:szCs w:val="28"/>
          <w:shd w:fill="FFFFFF" w:val="clear"/>
        </w:rPr>
        <w:t xml:space="preserve"> Цей показник не відповідає </w:t>
      </w:r>
      <w:bookmarkStart w:id="0" w:name="_Hlk46932627"/>
      <w:r>
        <w:rPr>
          <w:color w:val="000000" w:themeColor="text1"/>
          <w:sz w:val="28"/>
          <w:szCs w:val="28"/>
          <w:shd w:fill="FFFFFF" w:val="clear"/>
        </w:rPr>
        <w:t>наказу Міністерства освіти і науки України від 20.02.2002 року №128 «Про затвердження Нормативів наповнюваності груп дошкільних навчальних закладів (ясел-садків) компенсуючого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w:t>
      </w:r>
      <w:bookmarkEnd w:id="0"/>
      <w:r>
        <w:rPr>
          <w:color w:val="000000" w:themeColor="text1"/>
          <w:sz w:val="28"/>
          <w:szCs w:val="28"/>
          <w:shd w:fill="FFFFFF" w:val="clear"/>
        </w:rPr>
        <w:t xml:space="preserve"> Міста обласного значення мають коефіцієнт поділу класів на групи –</w:t>
      </w:r>
      <w:r>
        <w:rPr>
          <w:color w:val="000000" w:themeColor="text1"/>
          <w:sz w:val="28"/>
          <w:szCs w:val="28"/>
        </w:rPr>
        <w:t xml:space="preserve"> </w:t>
      </w:r>
      <w:r>
        <w:rPr>
          <w:color w:val="000000" w:themeColor="text1"/>
          <w:sz w:val="28"/>
          <w:szCs w:val="28"/>
          <w:shd w:fill="FFFFFF" w:val="clear"/>
        </w:rPr>
        <w:t xml:space="preserve">1,124, міста без статусу обласного центру, селищні та сільські громади – 1,017, для обласних закладів освіти – 1,07. </w:t>
      </w:r>
    </w:p>
    <w:p>
      <w:pPr>
        <w:pStyle w:val="Normal"/>
        <w:ind w:firstLine="709"/>
        <w:jc w:val="both"/>
        <w:rPr>
          <w:color w:val="000000" w:themeColor="text1"/>
          <w:highlight w:val="white"/>
        </w:rPr>
      </w:pPr>
      <w:r>
        <w:rPr>
          <w:color w:val="000000" w:themeColor="text1"/>
          <w:sz w:val="28"/>
          <w:szCs w:val="28"/>
          <w:shd w:fill="FFFFFF" w:val="clear"/>
        </w:rPr>
        <w:t xml:space="preserve">Для початкових класів базова навчальна програма (НУШ) становить 25 годин на тиждень (середнє значення), коефіцієнт (1,124) поділу класів на групи міст обласного значення додає кошти на оплату праці педагогам – 3-х годин при потребі 9,5 годин. Середня наповнюваність у початкових класах м. Луцька – 28,23 учнів. Отже, є потреба поділу для більшості класів. </w:t>
      </w:r>
    </w:p>
    <w:p>
      <w:pPr>
        <w:pStyle w:val="Normal"/>
        <w:ind w:firstLine="709"/>
        <w:jc w:val="both"/>
        <w:rPr>
          <w:color w:val="000000" w:themeColor="text1"/>
          <w:highlight w:val="white"/>
        </w:rPr>
      </w:pPr>
      <w:r>
        <w:rPr>
          <w:color w:val="000000" w:themeColor="text1"/>
          <w:sz w:val="28"/>
          <w:szCs w:val="28"/>
          <w:shd w:fill="FFFFFF" w:val="clear"/>
        </w:rPr>
        <w:t xml:space="preserve">Навчальна програма  5-9 класів передбачає 34 години, середня наповнюваність </w:t>
        <w:softHyphen/>
        <w:t>– 27,95 учнів у класі, для поділу класів на групи потрібно 9,5  годин – у формулі передбачено 4 години.</w:t>
      </w:r>
    </w:p>
    <w:p>
      <w:pPr>
        <w:pStyle w:val="Normal"/>
        <w:ind w:firstLine="709"/>
        <w:jc w:val="both"/>
        <w:rPr>
          <w:color w:val="000000" w:themeColor="text1"/>
          <w:highlight w:val="white"/>
        </w:rPr>
      </w:pPr>
      <w:r>
        <w:rPr>
          <w:color w:val="000000" w:themeColor="text1"/>
          <w:sz w:val="28"/>
          <w:szCs w:val="28"/>
          <w:shd w:fill="FFFFFF" w:val="clear"/>
        </w:rPr>
        <w:t xml:space="preserve">Розрахунково доведено, що реальне перевищення розрахункової наповнюваності класів у містах обласного значення та містах-обласних центрах приводить не до економії коштів, а до збільшення видатків на фінансування освітніх закладів за рахунок збільшення кількості годин на поділи класів на групи при вивченні окремих предметів. Основна проблема полягає в тому, що діючі коефіцієнти формули розрахунку освітньої субвенції не враховують цих обставин, а саме того, що при кількості учнів у класі більше 27 суттєво зростає кількість годин на поділ класу на групи при вивчення окремих предметів.  </w:t>
      </w:r>
    </w:p>
    <w:p>
      <w:pPr>
        <w:pStyle w:val="Normal"/>
        <w:ind w:firstLine="709"/>
        <w:jc w:val="both"/>
        <w:rPr>
          <w:color w:val="000000" w:themeColor="text1"/>
          <w:highlight w:val="white"/>
        </w:rPr>
      </w:pPr>
      <w:r>
        <w:rPr>
          <w:color w:val="000000" w:themeColor="text1"/>
          <w:sz w:val="28"/>
          <w:szCs w:val="28"/>
          <w:shd w:fill="FFFFFF" w:val="clear"/>
        </w:rPr>
        <w:t>Також, у цьому показнику статус «місто обласного значення» визначає обсяг коштів, виділених  на поділ на групи.</w:t>
      </w:r>
    </w:p>
    <w:p>
      <w:pPr>
        <w:pStyle w:val="Normal"/>
        <w:ind w:firstLine="709"/>
        <w:jc w:val="both"/>
        <w:rPr>
          <w:color w:val="000000" w:themeColor="text1"/>
          <w:highlight w:val="white"/>
        </w:rPr>
      </w:pPr>
      <w:r>
        <w:rPr>
          <w:color w:val="000000" w:themeColor="text1"/>
          <w:sz w:val="28"/>
          <w:szCs w:val="28"/>
          <w:shd w:fill="FFFFFF" w:val="clear"/>
        </w:rPr>
        <w:t xml:space="preserve"> </w:t>
      </w:r>
      <w:r>
        <w:rPr>
          <w:color w:val="000000" w:themeColor="text1"/>
          <w:sz w:val="28"/>
          <w:szCs w:val="28"/>
          <w:shd w:fill="FFFFFF" w:val="clear"/>
        </w:rPr>
        <w:t>Для прикладу РНК для:</w:t>
      </w:r>
    </w:p>
    <w:p>
      <w:pPr>
        <w:pStyle w:val="Normal"/>
        <w:ind w:firstLine="709"/>
        <w:jc w:val="both"/>
        <w:rPr>
          <w:color w:val="000000" w:themeColor="text1"/>
          <w:highlight w:val="white"/>
        </w:rPr>
      </w:pPr>
      <w:r>
        <w:rPr>
          <w:color w:val="000000" w:themeColor="text1"/>
          <w:sz w:val="28"/>
          <w:szCs w:val="28"/>
          <w:shd w:fill="FFFFFF" w:val="clear"/>
        </w:rPr>
        <w:t xml:space="preserve">- бюджетів міст обласного значення, що не є обласними центрами, в яких відсоток сільського населення становить більш як 25, – </w:t>
      </w:r>
      <w:r>
        <w:rPr>
          <w:b/>
          <w:bCs/>
          <w:color w:val="000000" w:themeColor="text1"/>
          <w:sz w:val="28"/>
          <w:szCs w:val="28"/>
          <w:shd w:fill="FFFFFF" w:val="clear"/>
        </w:rPr>
        <w:t>21</w:t>
      </w:r>
      <w:r>
        <w:rPr>
          <w:color w:val="000000" w:themeColor="text1"/>
          <w:sz w:val="28"/>
          <w:szCs w:val="28"/>
          <w:shd w:fill="FFFFFF" w:val="clear"/>
        </w:rPr>
        <w:t xml:space="preserve">. Коефіцієнт поділу класів на групи – </w:t>
      </w:r>
      <w:r>
        <w:rPr>
          <w:b/>
          <w:bCs/>
          <w:color w:val="000000" w:themeColor="text1"/>
          <w:sz w:val="28"/>
          <w:szCs w:val="28"/>
          <w:shd w:fill="FFFFFF" w:val="clear"/>
        </w:rPr>
        <w:t>1,124</w:t>
      </w:r>
      <w:r>
        <w:rPr>
          <w:color w:val="000000" w:themeColor="text1"/>
          <w:sz w:val="28"/>
          <w:szCs w:val="28"/>
          <w:shd w:fill="FFFFFF" w:val="clear"/>
        </w:rPr>
        <w:t>;</w:t>
      </w:r>
    </w:p>
    <w:p>
      <w:pPr>
        <w:pStyle w:val="Normal"/>
        <w:ind w:firstLine="709"/>
        <w:jc w:val="both"/>
        <w:rPr>
          <w:color w:val="000000" w:themeColor="text1"/>
          <w:highlight w:val="white"/>
        </w:rPr>
      </w:pPr>
      <w:r>
        <w:rPr>
          <w:color w:val="000000" w:themeColor="text1"/>
          <w:sz w:val="28"/>
          <w:szCs w:val="28"/>
          <w:shd w:fill="FFFFFF" w:val="clear"/>
        </w:rPr>
        <w:t xml:space="preserve">- обласних бюджетів – </w:t>
      </w:r>
      <w:r>
        <w:rPr>
          <w:b/>
          <w:bCs/>
          <w:color w:val="000000" w:themeColor="text1"/>
          <w:sz w:val="28"/>
          <w:szCs w:val="28"/>
          <w:shd w:fill="FFFFFF" w:val="clear"/>
        </w:rPr>
        <w:t>20</w:t>
      </w:r>
      <w:r>
        <w:rPr>
          <w:color w:val="000000" w:themeColor="text1"/>
          <w:sz w:val="28"/>
          <w:szCs w:val="28"/>
          <w:shd w:fill="FFFFFF" w:val="clear"/>
        </w:rPr>
        <w:t xml:space="preserve">. Коефіцієнт поділу класів на групи  – </w:t>
      </w:r>
      <w:r>
        <w:rPr>
          <w:b/>
          <w:bCs/>
          <w:color w:val="000000" w:themeColor="text1"/>
          <w:sz w:val="28"/>
          <w:szCs w:val="28"/>
          <w:shd w:fill="FFFFFF" w:val="clear"/>
        </w:rPr>
        <w:t>1,07</w:t>
      </w:r>
      <w:r>
        <w:rPr>
          <w:color w:val="000000" w:themeColor="text1"/>
          <w:sz w:val="28"/>
          <w:szCs w:val="28"/>
          <w:shd w:fill="FFFFFF" w:val="clear"/>
        </w:rPr>
        <w:t>;</w:t>
      </w:r>
    </w:p>
    <w:p>
      <w:pPr>
        <w:pStyle w:val="Normal"/>
        <w:ind w:firstLine="709"/>
        <w:jc w:val="both"/>
        <w:rPr>
          <w:color w:val="000000" w:themeColor="text1"/>
          <w:highlight w:val="white"/>
        </w:rPr>
      </w:pPr>
      <w:r>
        <w:rPr>
          <w:color w:val="000000" w:themeColor="text1"/>
          <w:sz w:val="28"/>
          <w:szCs w:val="28"/>
          <w:shd w:fill="FFFFFF" w:val="clear"/>
        </w:rPr>
        <w:t xml:space="preserve">- районних бюджетів та бюджетів об’єднаних територіальних громад – від 10 до </w:t>
      </w:r>
      <w:r>
        <w:rPr>
          <w:b/>
          <w:bCs/>
          <w:color w:val="000000" w:themeColor="text1"/>
          <w:sz w:val="28"/>
          <w:szCs w:val="28"/>
          <w:shd w:fill="FFFFFF" w:val="clear"/>
        </w:rPr>
        <w:t>20,5.</w:t>
      </w:r>
      <w:r>
        <w:rPr>
          <w:color w:val="000000" w:themeColor="text1"/>
          <w:sz w:val="28"/>
          <w:szCs w:val="28"/>
          <w:shd w:fill="FFFFFF" w:val="clear"/>
        </w:rPr>
        <w:t xml:space="preserve"> Коефіцієнт поділу класів на групи  – </w:t>
      </w:r>
      <w:r>
        <w:rPr>
          <w:b/>
          <w:bCs/>
          <w:color w:val="000000" w:themeColor="text1"/>
          <w:sz w:val="28"/>
          <w:szCs w:val="28"/>
          <w:shd w:fill="FFFFFF" w:val="clear"/>
        </w:rPr>
        <w:t>1,017</w:t>
      </w:r>
      <w:r>
        <w:rPr>
          <w:color w:val="000000" w:themeColor="text1"/>
          <w:sz w:val="28"/>
          <w:szCs w:val="28"/>
          <w:shd w:fill="FFFFFF" w:val="clear"/>
        </w:rPr>
        <w:t>.</w:t>
      </w:r>
    </w:p>
    <w:p>
      <w:pPr>
        <w:pStyle w:val="Normal"/>
        <w:ind w:firstLine="709"/>
        <w:jc w:val="both"/>
        <w:rPr>
          <w:color w:val="000000" w:themeColor="text1"/>
          <w:highlight w:val="white"/>
        </w:rPr>
      </w:pPr>
      <w:r>
        <w:rPr>
          <w:color w:val="000000" w:themeColor="text1"/>
          <w:sz w:val="28"/>
          <w:szCs w:val="28"/>
          <w:shd w:fill="FFFFFF" w:val="clear"/>
        </w:rPr>
        <w:t xml:space="preserve"> </w:t>
      </w:r>
      <w:r>
        <w:rPr>
          <w:color w:val="000000" w:themeColor="text1"/>
          <w:sz w:val="28"/>
          <w:szCs w:val="28"/>
          <w:shd w:fill="FFFFFF" w:val="clear"/>
        </w:rPr>
        <w:t>Відповідно громади отримують кошти на поділ класів з однаковою наповнюваністю на групи у різному обсязі.</w:t>
      </w:r>
    </w:p>
    <w:p>
      <w:pPr>
        <w:pStyle w:val="Normal"/>
        <w:ind w:firstLine="709"/>
        <w:jc w:val="both"/>
        <w:rPr>
          <w:color w:val="000000" w:themeColor="text1"/>
          <w:highlight w:val="white"/>
        </w:rPr>
      </w:pPr>
      <w:r>
        <w:rPr>
          <w:color w:val="000000" w:themeColor="text1"/>
          <w:sz w:val="28"/>
          <w:szCs w:val="28"/>
          <w:shd w:fill="FFFFFF" w:val="clear"/>
        </w:rPr>
        <w:t>Для розрахунку коефіцієнту поділу класів на групи варто враховувати фактичну наповнюваність класів.</w:t>
      </w:r>
    </w:p>
    <w:p>
      <w:pPr>
        <w:pStyle w:val="Normal"/>
        <w:ind w:firstLine="709"/>
        <w:jc w:val="both"/>
        <w:rPr>
          <w:color w:val="000000" w:themeColor="text1"/>
          <w:highlight w:val="white"/>
        </w:rPr>
      </w:pPr>
      <w:r>
        <w:rPr>
          <w:color w:val="000000" w:themeColor="text1"/>
          <w:sz w:val="28"/>
          <w:szCs w:val="28"/>
          <w:shd w:fill="FFFFFF" w:val="clear"/>
        </w:rPr>
        <w:t>При перегляді формули розподілу освітньої субвенції просимо врахувати, що у чинній її редакції, не передбачені кошти на оплату праці педагогічних працівників, що організовують навчання дітей</w:t>
      </w:r>
      <w:r>
        <w:rPr>
          <w:color w:val="000000" w:themeColor="text1"/>
          <w:sz w:val="28"/>
          <w:szCs w:val="28"/>
        </w:rPr>
        <w:t>, які за станом здоров’я не можуть здобувати освіту за денною формою (відповідно до висновку лікарсько-консультаційної комісії закладу охорони здоров’я або медичного висновку про стан здоров’я дитини за формою, затвердженою Міністерством охорони здоров’я України)</w:t>
      </w:r>
      <w:r>
        <w:rPr>
          <w:color w:val="000000" w:themeColor="text1"/>
          <w:sz w:val="28"/>
          <w:szCs w:val="28"/>
          <w:shd w:fill="FFFFFF" w:val="clear"/>
        </w:rPr>
        <w:t>. Кошти на ці видатки покриваються/забезпечуються за рахунок місцевих бюджетів.</w:t>
      </w:r>
    </w:p>
    <w:p>
      <w:pPr>
        <w:pStyle w:val="Normal"/>
        <w:ind w:firstLine="709"/>
        <w:jc w:val="both"/>
        <w:rPr>
          <w:b/>
          <w:b/>
          <w:color w:val="000000" w:themeColor="text1"/>
          <w:highlight w:val="white"/>
        </w:rPr>
      </w:pPr>
      <w:r>
        <w:rPr>
          <w:b/>
          <w:color w:val="000000" w:themeColor="text1"/>
          <w:sz w:val="28"/>
          <w:szCs w:val="28"/>
          <w:shd w:fill="FFFFFF" w:val="clear"/>
        </w:rPr>
        <w:t>Враховуючи вище викладене, звертаємося до вас із проханням:</w:t>
      </w:r>
    </w:p>
    <w:p>
      <w:pPr>
        <w:pStyle w:val="ListParagraph"/>
        <w:numPr>
          <w:ilvl w:val="0"/>
          <w:numId w:val="2"/>
        </w:numPr>
        <w:ind w:left="0" w:firstLine="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8"/>
          <w:szCs w:val="28"/>
        </w:rPr>
        <w:t>Привести у відповідність формулу розрахунку освітньої субвенції до нового адміністративно-територіального устрою та закону «Про повну загальну середню освіту».</w:t>
      </w:r>
    </w:p>
    <w:p>
      <w:pPr>
        <w:pStyle w:val="ListParagraph"/>
        <w:numPr>
          <w:ilvl w:val="0"/>
          <w:numId w:val="2"/>
        </w:numPr>
        <w:ind w:left="0" w:firstLine="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8"/>
          <w:szCs w:val="28"/>
        </w:rPr>
        <w:t>Переглянути показник РНК. Врахувати потреби у фінансуванні закладів освіти сільських ОТГ, що згідно з перспективним планом будуть приєднані до міст обласного значення, що є обласними центрами.</w:t>
      </w:r>
    </w:p>
    <w:p>
      <w:pPr>
        <w:pStyle w:val="ListParagraph"/>
        <w:numPr>
          <w:ilvl w:val="0"/>
          <w:numId w:val="2"/>
        </w:numPr>
        <w:ind w:left="0" w:firstLine="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8"/>
          <w:szCs w:val="28"/>
        </w:rPr>
        <w:t>Коефіцієнт поділу класів на групи наблизити до нормативу  наказу Міністерства освіти і науки України від 20.02.2002 року № 128 «Про затвердження Нормативів наповнюваності груп дошкільних навчальних закладів (ясел-садків) компенсуючого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враховуючи розрахункову наповнюваність, особливості територій громад, які поєднують сільське та міське населення у відсотковому  значенні.</w:t>
      </w:r>
    </w:p>
    <w:p>
      <w:pPr>
        <w:pStyle w:val="ListParagraph"/>
        <w:numPr>
          <w:ilvl w:val="0"/>
          <w:numId w:val="2"/>
        </w:numPr>
        <w:ind w:left="0" w:firstLine="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8"/>
          <w:szCs w:val="28"/>
        </w:rPr>
        <w:t>Врахувати у формулі показник кількості осіб, які за станом здоров’я не можуть здобувати освіту за денною формою (відповідно до висновку лікарсько-консультаційної комісії закладу охорони здоров’я або медичного висновку про стан здоров’я дитини за формою, затвердженою Міністерством охорони здоров’я України) та навчаються за індивідуальним навчальним планом.</w:t>
      </w:r>
    </w:p>
    <w:p>
      <w:pPr>
        <w:pStyle w:val="ListParagraph"/>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color w:val="000000" w:themeColor="text1"/>
          <w:sz w:val="28"/>
          <w:szCs w:val="28"/>
        </w:rPr>
      </w:r>
    </w:p>
    <w:p>
      <w:pPr>
        <w:pStyle w:val="Normal"/>
        <w:tabs>
          <w:tab w:val="clear" w:pos="708"/>
          <w:tab w:val="left" w:pos="10440" w:leader="none"/>
        </w:tabs>
        <w:ind w:right="48" w:hanging="0"/>
        <w:rPr>
          <w:color w:val="000000" w:themeColor="text1"/>
          <w:sz w:val="28"/>
          <w:szCs w:val="28"/>
        </w:rPr>
      </w:pPr>
      <w:r>
        <w:rPr>
          <w:color w:val="000000" w:themeColor="text1"/>
          <w:sz w:val="28"/>
          <w:szCs w:val="28"/>
        </w:rPr>
        <w:t>Секретар міської ради                                                              Григорій Пустовіт</w:t>
      </w:r>
    </w:p>
    <w:p>
      <w:pPr>
        <w:pStyle w:val="Normal"/>
        <w:rPr/>
      </w:pPr>
      <w:r>
        <w:rPr/>
      </w:r>
    </w:p>
    <w:sectPr>
      <w:type w:val="nextPage"/>
      <w:pgSz w:w="11906" w:h="16838"/>
      <w:pgMar w:left="1440" w:right="1134"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decimal"/>
      <w:lvlText w:val="%1."/>
      <w:lvlJc w:val="left"/>
      <w:pPr>
        <w:ind w:left="720" w:hanging="360"/>
      </w:pPr>
      <w:rPr>
        <w:sz w:val="24"/>
        <w:rFonts w:ascii="Times New Roman" w:hAnsi="Times New Roman"/>
        <w:color w:val="33333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64a4"/>
    <w:pPr>
      <w:widowControl/>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character" w:styleId="DefaultParagraphFont" w:default="1">
    <w:name w:val="Default Paragraph Font"/>
    <w:uiPriority w:val="1"/>
    <w:semiHidden/>
    <w:unhideWhenUsed/>
    <w:qFormat/>
    <w:rPr/>
  </w:style>
  <w:style w:type="character" w:styleId="Style14" w:customStyle="1">
    <w:name w:val="Текст у виносці Знак"/>
    <w:basedOn w:val="DefaultParagraphFont"/>
    <w:link w:val="a4"/>
    <w:uiPriority w:val="99"/>
    <w:semiHidden/>
    <w:qFormat/>
    <w:rsid w:val="00a361b5"/>
    <w:rPr>
      <w:rFonts w:ascii="Segoe UI" w:hAnsi="Segoe UI" w:eastAsia="Times New Roman" w:cs="Segoe UI"/>
      <w:sz w:val="18"/>
      <w:szCs w:val="18"/>
      <w:lang w:eastAsia="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ListParagraph">
    <w:name w:val="List Paragraph"/>
    <w:basedOn w:val="Normal"/>
    <w:uiPriority w:val="34"/>
    <w:qFormat/>
    <w:rsid w:val="0047665a"/>
    <w:pPr>
      <w:spacing w:lineRule="auto" w:line="252" w:before="0" w:after="160"/>
      <w:ind w:left="720" w:hanging="0"/>
      <w:contextualSpacing/>
    </w:pPr>
    <w:rPr>
      <w:rFonts w:ascii="Calibri" w:hAnsi="Calibri" w:eastAsia="Calibri" w:cs="Arial"/>
      <w:sz w:val="22"/>
      <w:szCs w:val="22"/>
      <w:lang w:eastAsia="en-US"/>
    </w:rPr>
  </w:style>
  <w:style w:type="paragraph" w:styleId="Rvps2" w:customStyle="1">
    <w:name w:val="rvps2"/>
    <w:basedOn w:val="Normal"/>
    <w:qFormat/>
    <w:rsid w:val="00e8518f"/>
    <w:pPr>
      <w:spacing w:beforeAutospacing="1" w:afterAutospacing="1"/>
    </w:pPr>
    <w:rPr>
      <w:lang w:eastAsia="uk-UA"/>
    </w:rPr>
  </w:style>
  <w:style w:type="paragraph" w:styleId="BalloonText">
    <w:name w:val="Balloon Text"/>
    <w:basedOn w:val="Normal"/>
    <w:link w:val="a5"/>
    <w:uiPriority w:val="99"/>
    <w:semiHidden/>
    <w:unhideWhenUsed/>
    <w:qFormat/>
    <w:rsid w:val="00a361b5"/>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LibreOffice/6.3.3.2$Windows_X86_64 LibreOffice_project/a64200df03143b798afd1ec74a12ab50359878ed</Application>
  <Pages>4</Pages>
  <Words>1024</Words>
  <Characters>6780</Characters>
  <CharactersWithSpaces>7863</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2020-08-11T11:55:00Z</dcterms:created>
  <dc:creator>user</dc:creator>
  <dc:description/>
  <dc:language>uk-UA</dc:language>
  <cp:lastModifiedBy/>
  <cp:lastPrinted>2020-08-07T11:40:00Z</cp:lastPrinted>
  <dcterms:modified xsi:type="dcterms:W3CDTF">2020-08-28T12:03:04Z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