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lang w:val="uk-UA"/>
        </w:rPr>
      </w:pPr>
      <w:r>
        <w:rPr>
          <w:lang w:val="uk-UA"/>
        </w:rPr>
        <w:t>Інформація</w:t>
      </w:r>
    </w:p>
    <w:p>
      <w:pPr>
        <w:pStyle w:val="Normal"/>
        <w:spacing w:lineRule="auto" w:line="276"/>
        <w:ind w:firstLine="708"/>
        <w:jc w:val="center"/>
        <w:rPr>
          <w:szCs w:val="28"/>
          <w:lang w:val="uk-UA"/>
        </w:rPr>
      </w:pPr>
      <w:r>
        <w:rPr>
          <w:szCs w:val="28"/>
          <w:lang w:val="uk-UA"/>
        </w:rPr>
        <w:t xml:space="preserve">Про </w:t>
      </w:r>
      <w:r>
        <w:rPr>
          <w:szCs w:val="28"/>
        </w:rPr>
        <w:t>хід підготовки до проведення</w:t>
      </w:r>
    </w:p>
    <w:p>
      <w:pPr>
        <w:pStyle w:val="Normal"/>
        <w:spacing w:lineRule="auto" w:line="276"/>
        <w:ind w:firstLine="708"/>
        <w:jc w:val="center"/>
        <w:rPr>
          <w:szCs w:val="28"/>
          <w:lang w:val="uk-UA"/>
        </w:rPr>
      </w:pPr>
      <w:r>
        <w:rPr>
          <w:szCs w:val="28"/>
        </w:rPr>
        <w:t xml:space="preserve"> </w:t>
      </w:r>
      <w:r>
        <w:rPr>
          <w:szCs w:val="28"/>
        </w:rPr>
        <w:t>місцевих виборів 25 жовтня 2020 року</w:t>
      </w:r>
    </w:p>
    <w:p>
      <w:pPr>
        <w:pStyle w:val="Normal"/>
        <w:spacing w:lineRule="auto" w:line="276"/>
        <w:ind w:firstLine="708"/>
        <w:jc w:val="center"/>
        <w:rPr>
          <w:szCs w:val="28"/>
          <w:lang w:val="uk-UA"/>
        </w:rPr>
      </w:pPr>
      <w:r>
        <w:rPr>
          <w:szCs w:val="28"/>
          <w:lang w:val="uk-UA"/>
        </w:rPr>
      </w:r>
    </w:p>
    <w:p>
      <w:pPr>
        <w:pStyle w:val="Normal"/>
        <w:spacing w:lineRule="auto" w:line="276"/>
        <w:ind w:firstLine="708"/>
        <w:jc w:val="both"/>
        <w:rPr>
          <w:color w:val="000000"/>
          <w:szCs w:val="28"/>
          <w:lang w:val="uk-UA"/>
        </w:rPr>
      </w:pPr>
      <w:r>
        <w:rPr>
          <w:szCs w:val="28"/>
          <w:lang w:val="uk-UA"/>
        </w:rPr>
        <w:t>На підставі постанов Верховної Ради України від 15 липня 2020 року № 795-</w:t>
      </w:r>
      <w:r>
        <w:rPr>
          <w:szCs w:val="28"/>
          <w:lang w:val="en-US"/>
        </w:rPr>
        <w:t>IX</w:t>
      </w:r>
      <w:r>
        <w:rPr>
          <w:shd w:fill="FFFFFF" w:val="clear"/>
          <w:lang w:val="uk-UA"/>
        </w:rPr>
        <w:t xml:space="preserve"> «Про призначення чергових місцевих виборів у 2020 році», від         17 липня 2020 року № 807-</w:t>
      </w:r>
      <w:r>
        <w:rPr>
          <w:szCs w:val="28"/>
          <w:lang w:val="en-US"/>
        </w:rPr>
        <w:t>IX</w:t>
      </w:r>
      <w:r>
        <w:rPr>
          <w:szCs w:val="28"/>
          <w:lang w:val="uk-UA"/>
        </w:rPr>
        <w:t xml:space="preserve"> «Про утворення та ліквідацію районів», </w:t>
      </w:r>
      <w:r>
        <w:rPr>
          <w:shd w:fill="FFFFFF" w:val="clear"/>
          <w:lang w:val="uk-UA"/>
        </w:rPr>
        <w:t xml:space="preserve"> розпорядження Кабінету Міністрів України від 12 червня 2020 року  № 708-р «Про визначення адміністративних центрів та затвердження територій територіальних громад Волинської області», </w:t>
      </w:r>
      <w:r>
        <w:rPr>
          <w:color w:val="000000"/>
          <w:szCs w:val="28"/>
          <w:lang w:val="uk-UA"/>
        </w:rPr>
        <w:t xml:space="preserve">постанов Центральної виборчої комісії від 8 серпня 2020 року № 160 «Про перші вибори депутатів сільських, селищних, міських рад територіальних громад і відповідних сільських, селищних, міських голів 25 жовтня 2020 року» та від 14 серпня 2020 року № 176 «Про призначення перших виборів депутатів районних рад на 25 жовтня 2020 року», відповідно до Виборчого кодексу України </w:t>
      </w:r>
      <w:r>
        <w:rPr>
          <w:szCs w:val="28"/>
          <w:lang w:val="uk-UA"/>
        </w:rPr>
        <w:t xml:space="preserve"> </w:t>
      </w:r>
      <w:r>
        <w:rPr>
          <w:szCs w:val="28"/>
          <w:shd w:fill="FFFFFF" w:val="clear"/>
          <w:lang w:val="uk-UA"/>
        </w:rPr>
        <w:t>на території Луцької міської територіальної громади</w:t>
      </w:r>
      <w:r>
        <w:rPr>
          <w:szCs w:val="28"/>
          <w:lang w:val="uk-UA"/>
        </w:rPr>
        <w:t xml:space="preserve"> 25 жовтня 2020 року відбудуться місцеві вибори</w:t>
      </w:r>
      <w:r>
        <w:rPr>
          <w:color w:val="000000"/>
          <w:szCs w:val="28"/>
          <w:lang w:val="uk-UA"/>
        </w:rPr>
        <w:t xml:space="preserve">. </w:t>
      </w:r>
    </w:p>
    <w:p>
      <w:pPr>
        <w:pStyle w:val="Normal"/>
        <w:spacing w:lineRule="auto" w:line="276"/>
        <w:ind w:firstLine="708"/>
        <w:jc w:val="both"/>
        <w:rPr>
          <w:szCs w:val="28"/>
          <w:lang w:val="uk-UA"/>
        </w:rPr>
      </w:pPr>
      <w:r>
        <w:rPr>
          <w:szCs w:val="28"/>
          <w:lang w:val="uk-UA"/>
        </w:rPr>
        <w:t>Виборчий процес розпочався 5 вересня 2020 року відповідно до постанови Центральної виборчої комісії від 30 серпня</w:t>
      </w:r>
      <w:r>
        <w:rPr>
          <w:szCs w:val="28"/>
        </w:rPr>
        <w:t xml:space="preserve"> 2020 </w:t>
      </w:r>
      <w:r>
        <w:rPr>
          <w:szCs w:val="28"/>
          <w:lang w:val="uk-UA"/>
        </w:rPr>
        <w:t>у № 208.</w:t>
      </w:r>
    </w:p>
    <w:p>
      <w:pPr>
        <w:pStyle w:val="Normal"/>
        <w:spacing w:lineRule="auto" w:line="276"/>
        <w:ind w:firstLine="708"/>
        <w:jc w:val="both"/>
        <w:rPr>
          <w:szCs w:val="28"/>
          <w:lang w:val="uk-UA"/>
        </w:rPr>
      </w:pPr>
      <w:r>
        <w:rPr>
          <w:szCs w:val="28"/>
          <w:lang w:val="uk-UA"/>
        </w:rPr>
        <w:t>Станом на 23 вересня 2020 року виборчий процес у місті Луцьку проходить у встановлені терміни та відповідно до виборчого законодавства.</w:t>
      </w:r>
    </w:p>
    <w:p>
      <w:pPr>
        <w:pStyle w:val="Normal"/>
        <w:spacing w:lineRule="auto" w:line="276"/>
        <w:jc w:val="both"/>
        <w:rPr/>
      </w:pPr>
      <w:r>
        <w:rPr>
          <w:szCs w:val="28"/>
          <w:lang w:val="uk-UA"/>
        </w:rPr>
        <w:t xml:space="preserve">На території Луцької міської територіальної громади  </w:t>
      </w:r>
      <w:r>
        <w:rPr>
          <w:color w:val="000000"/>
          <w:szCs w:val="28"/>
          <w:lang w:val="uk-UA"/>
        </w:rPr>
        <w:t xml:space="preserve">постановою ЦВК від 10 серпня 2020 року № 172  утворено </w:t>
      </w:r>
      <w:r>
        <w:rPr>
          <w:szCs w:val="28"/>
          <w:lang w:val="uk-UA"/>
        </w:rPr>
        <w:t xml:space="preserve">Луцьку  міську територіальну виборчу комісію Луцького району Волинської області. Голова – Парфенюк Марія Іванівна. З метою забезпечення належної роботи комісії та на підставі постанови Центральної виборчої комісії </w:t>
      </w:r>
      <w:r>
        <w:rPr>
          <w:color w:val="000000"/>
          <w:szCs w:val="28"/>
          <w:lang w:val="uk-UA"/>
        </w:rPr>
        <w:t xml:space="preserve">від 8 серпня 2020 року № 164 </w:t>
      </w:r>
      <w:r>
        <w:rPr>
          <w:b/>
          <w:szCs w:val="28"/>
          <w:lang w:val="uk-UA"/>
        </w:rPr>
        <w:t>«</w:t>
      </w:r>
      <w:r>
        <w:rPr>
          <w:rStyle w:val="Strong"/>
          <w:b w:val="false"/>
          <w:shd w:fill="FFFFFF" w:val="clear"/>
          <w:lang w:val="uk-UA"/>
        </w:rPr>
        <w:t xml:space="preserve">Про вимоги до приміщень виборчих комісій та приміщень для голосування, нормативи облаштування приміщень дільничних виборчих комісій і приміщень для голосування, перелік та норми забезпечення виборчих комісій транспортними засобами, засобами зв’язку, обладнанням, інвентарем, іншими матеріальними цінностями, види послуг і робіт, закупівля яких може здійснюватися окружними та територіальними виборчими комісіями за рахунок коштів Державного бюджету України, відповідного місцевого бюджету для організації підготовки і проведення відповідних виборів» </w:t>
      </w:r>
      <w:r>
        <w:rPr>
          <w:szCs w:val="28"/>
          <w:lang w:val="uk-UA"/>
        </w:rPr>
        <w:t xml:space="preserve">розпорядженням міського голови від 11.08.2020 № 214 «Про сприяння у роботі Луцької міської виборчої комісії» для роботи комісії надано приміщення за адресою: вул. </w:t>
      </w:r>
      <w:r>
        <w:rPr>
          <w:szCs w:val="28"/>
        </w:rPr>
        <w:t>Богдана Хмельницького, 19</w:t>
      </w:r>
      <w:r>
        <w:rPr>
          <w:szCs w:val="28"/>
          <w:lang w:val="uk-UA"/>
        </w:rPr>
        <w:t xml:space="preserve">, </w:t>
      </w:r>
      <w:r>
        <w:rPr>
          <w:szCs w:val="28"/>
        </w:rPr>
        <w:t xml:space="preserve"> кабінети №№ 1, 1/а, 2, 2/а</w:t>
      </w:r>
      <w:r>
        <w:rPr>
          <w:szCs w:val="28"/>
          <w:lang w:val="uk-UA"/>
        </w:rPr>
        <w:t xml:space="preserve">, а також </w:t>
      </w:r>
      <w:r>
        <w:rPr>
          <w:szCs w:val="28"/>
        </w:rPr>
        <w:t xml:space="preserve">кабінет № 105 та зал засідань міської ради </w:t>
      </w:r>
      <w:r>
        <w:rPr/>
        <w:t xml:space="preserve">– </w:t>
      </w:r>
      <w:r>
        <w:rPr>
          <w:szCs w:val="28"/>
        </w:rPr>
        <w:t>для проведення засідань</w:t>
      </w:r>
      <w:r>
        <w:rPr>
          <w:szCs w:val="28"/>
          <w:lang w:val="uk-UA"/>
        </w:rPr>
        <w:t>. Комісію також забезпечено необхідною оргтехнікою, обладнанням, транспортними засобами та засобами зв</w:t>
      </w:r>
      <w:r>
        <w:rPr>
          <w:szCs w:val="28"/>
        </w:rPr>
        <w:t>’</w:t>
      </w:r>
      <w:r>
        <w:rPr>
          <w:szCs w:val="28"/>
          <w:lang w:val="uk-UA"/>
        </w:rPr>
        <w:t>язку. Інформація про початок роботи комісії, режим роботи та контактні номери телефонів була відразу розміщена на офіційному сайті Луцької міської ради та у засобах масової інформації.</w:t>
      </w:r>
    </w:p>
    <w:p>
      <w:pPr>
        <w:pStyle w:val="Normal"/>
        <w:spacing w:lineRule="auto" w:line="276"/>
        <w:ind w:firstLine="708"/>
        <w:jc w:val="both"/>
        <w:rPr/>
      </w:pPr>
      <w:r>
        <w:rPr>
          <w:bCs/>
          <w:color w:val="000000"/>
          <w:szCs w:val="28"/>
          <w:lang w:val="uk-UA" w:eastAsia="uk-UA"/>
        </w:rPr>
        <w:t xml:space="preserve">Відповідно до Календарного плану </w:t>
      </w:r>
      <w:r>
        <w:rPr>
          <w:rFonts w:eastAsia="Calibri"/>
          <w:bCs/>
          <w:color w:val="000000"/>
          <w:szCs w:val="28"/>
          <w:lang w:val="uk-UA" w:eastAsia="uk-UA"/>
        </w:rPr>
        <w:t xml:space="preserve">основних організаційних заходів з підготовки та проведення місцевих виборів </w:t>
      </w:r>
      <w:r>
        <w:rPr>
          <w:szCs w:val="28"/>
          <w:lang w:val="uk-UA"/>
        </w:rPr>
        <w:t>Луцькою  міською територіальною виборчою комісією</w:t>
      </w:r>
      <w:r>
        <w:rPr>
          <w:rFonts w:eastAsia="Calibri"/>
          <w:bCs/>
          <w:color w:val="000000"/>
          <w:szCs w:val="28"/>
          <w:lang w:val="uk-UA" w:eastAsia="uk-UA"/>
        </w:rPr>
        <w:t xml:space="preserve"> до 9 жовт</w:t>
      </w:r>
      <w:r>
        <w:rPr>
          <w:szCs w:val="28"/>
          <w:lang w:val="uk-UA"/>
        </w:rPr>
        <w:t xml:space="preserve">ня включно будуть утворені дільничні виборчі комісії, які з 10 жовтня повинні розпочати свою роботу. На території </w:t>
      </w:r>
      <w:r>
        <w:rPr>
          <w:szCs w:val="28"/>
          <w:shd w:fill="FFFFFF" w:val="clear"/>
          <w:lang w:val="uk-UA"/>
        </w:rPr>
        <w:t>Луцької міської територіальної громади</w:t>
      </w:r>
      <w:r>
        <w:rPr>
          <w:szCs w:val="28"/>
          <w:lang w:val="uk-UA"/>
        </w:rPr>
        <w:t xml:space="preserve">  для проведення місцевих виборів на постійній основі будуть використовуватись 109 виборчих дільниць: 100 звичайних та 9 спеціальних. </w:t>
      </w:r>
    </w:p>
    <w:p>
      <w:pPr>
        <w:pStyle w:val="Normal"/>
        <w:spacing w:lineRule="auto" w:line="276"/>
        <w:ind w:firstLine="708"/>
        <w:jc w:val="both"/>
        <w:rPr>
          <w:lang w:val="uk-UA"/>
        </w:rPr>
      </w:pPr>
      <w:r>
        <w:rPr>
          <w:szCs w:val="28"/>
          <w:lang w:val="uk-UA"/>
        </w:rPr>
        <w:t>З них у місті Луцьку функціонуватиме 83 виборчі дільниці на постійній основі: 74 - звичайні, 9 - спеціальні (68 виборчих дільниць — великі, з чисельністю від 1500 до 2500 виборців, 6 — середні, з чисельністю від 500 до 1500, 9 — малі, з чисельністю до 500).</w:t>
      </w:r>
    </w:p>
    <w:p>
      <w:pPr>
        <w:pStyle w:val="Normal"/>
        <w:spacing w:lineRule="auto" w:line="276"/>
        <w:ind w:firstLine="708"/>
        <w:jc w:val="both"/>
        <w:rPr>
          <w:lang w:val="uk-UA"/>
        </w:rPr>
      </w:pPr>
      <w:r>
        <w:rPr>
          <w:szCs w:val="28"/>
          <w:lang w:val="uk-UA"/>
        </w:rPr>
        <w:t xml:space="preserve">З </w:t>
      </w:r>
      <w:r>
        <w:rPr>
          <w:lang w:val="uk-UA"/>
        </w:rPr>
        <w:t xml:space="preserve">метою належного матеріально-технічного забезпечення виборчих дільниць, проведення моніторингу щодо підготовки приміщень до роботи виборчих комісій розпорядженням міського голови від 17.09.2020 № 257 «Про сприяння у роботі дільничних </w:t>
      </w:r>
      <w:r>
        <w:rPr>
          <w:szCs w:val="28"/>
          <w:lang w:val="uk-UA"/>
        </w:rPr>
        <w:t xml:space="preserve">виборчих комісій з місцевих виборів 25 жовтня 2020 року» </w:t>
      </w:r>
      <w:r>
        <w:rPr>
          <w:lang w:val="uk-UA"/>
        </w:rPr>
        <w:t xml:space="preserve">призначено працівників  виконавчих органів міської ради, керівників комунальних підприємств, закладів відповідальними за кожну конкретну виборчу дільницю.  Перша інформація про готовність приміщень надійде 30 вересня. Тоді, на основі її аналізу, відповідні виборчі дільниці будуть доукомплектовані необхідним обладнанням та/або матеріальними цінностями. Для цих потреб у міському бюджеті передбачені кошти у розмірі 200 тисяч гривень. Відповідальні представники співпрацюватимуть з керівниками установ і закладів для того, щоб виборчим комісіям надати усе необхідне та передбачене виборчим законодавством. Контрольний моніторинг буде здійснено до 20 жовтня. </w:t>
      </w:r>
      <w:r>
        <w:rPr>
          <w:szCs w:val="28"/>
          <w:lang w:val="uk-UA"/>
        </w:rPr>
        <w:t>В ході підготовки до перших місцевих виборів відділом ведення Державного реєстру виборців забезпечено  збір та внесення додаткових відомостей про приміщення для голосування та приміщення для роботи дільничних виборчих комісій до автоматизованої інформаційно-телекомунікаційної системи «Державний реєстр виборців». Ця інформація також знаходиться у відкритому доступі на офіційному сайті Державного реєстру виборців.</w:t>
      </w:r>
    </w:p>
    <w:p>
      <w:pPr>
        <w:pStyle w:val="Normal"/>
        <w:snapToGrid w:val="false"/>
        <w:spacing w:lineRule="auto" w:line="276"/>
        <w:ind w:firstLine="708"/>
        <w:jc w:val="both"/>
        <w:rPr/>
      </w:pPr>
      <w:r>
        <w:rPr>
          <w:szCs w:val="28"/>
          <w:lang w:val="uk-UA"/>
        </w:rPr>
        <w:t xml:space="preserve">Крім цього, варто наголосити, що у міжвиборчий період міська влада продовжує співпрацю з керівниками установ, де на постійній основі розміщені виборчі дільниці. Так, робоча група у складі керівників відділів: ведення Державного реєстру виборців, організаційного та господарсько-технічного ще до початку  виборчого процесу здійснили 6 виїздів з метою огляду окремих приміщень ДВК щодо їх готовності до виборів. За результатами  цієї роботи здійснено перенесення центрів трьох звичайних виборчих дільниць на постійній основі.  </w:t>
      </w:r>
    </w:p>
    <w:p>
      <w:pPr>
        <w:pStyle w:val="Normal"/>
        <w:snapToGrid w:val="false"/>
        <w:spacing w:lineRule="auto" w:line="276"/>
        <w:ind w:firstLine="708"/>
        <w:jc w:val="both"/>
        <w:rPr>
          <w:szCs w:val="28"/>
          <w:lang w:val="uk-UA"/>
        </w:rPr>
      </w:pPr>
      <w:r>
        <w:rPr>
          <w:lang w:val="uk-UA"/>
        </w:rPr>
        <w:t xml:space="preserve"> </w:t>
      </w:r>
      <w:r>
        <w:rPr>
          <w:szCs w:val="28"/>
          <w:lang w:val="uk-UA"/>
        </w:rPr>
        <w:t xml:space="preserve">На жаль, не усі приміщення установ та організацій, де розміщені виборчі дільниці обладнані пандусами або іншими засобами для забезпечення доступності осіб з інвалідністю та інших маломобільних груп населення. Міська влада періодично проводить обстеження приміщень виборчих дільниць, відповідні листи про необхідність облаштування приміщень пандусами надсилаються керівникам установ. З 84 – х примішень, виділених для роботи міської ТВК та дільничних виборчих комісій, 52 – обладнані пандусами або їх не потребують.   </w:t>
      </w:r>
    </w:p>
    <w:p>
      <w:pPr>
        <w:pStyle w:val="Normal"/>
        <w:spacing w:lineRule="auto" w:line="276"/>
        <w:ind w:firstLine="708"/>
        <w:jc w:val="both"/>
        <w:rPr/>
      </w:pPr>
      <w:r>
        <w:rPr>
          <w:szCs w:val="28"/>
          <w:lang w:val="uk-UA"/>
        </w:rPr>
        <w:t xml:space="preserve">Міська влада, враховуючи цю проблему, дає доручення департаменту соціальної політики спільно з територіальним центром соціального обслуговування (надання соціальних послуг) м. Луцька забезпечити чергування </w:t>
      </w:r>
    </w:p>
    <w:p>
      <w:pPr>
        <w:pStyle w:val="Normal"/>
        <w:spacing w:lineRule="auto" w:line="276"/>
        <w:ind w:hanging="0"/>
        <w:jc w:val="both"/>
        <w:rPr/>
      </w:pPr>
      <w:r>
        <w:rPr>
          <w:szCs w:val="28"/>
          <w:lang w:val="uk-UA"/>
        </w:rPr>
        <w:t xml:space="preserve">25 жовтня 2020 року з 08:00 години до 20.30 години спецавтомобіля та працівників для надання особам з інвалідністю послуг з перевезення та обслуговування з метою забезпечення реалізації їх виборчого права на виборчій дільниці. </w:t>
      </w:r>
      <w:r>
        <w:rPr>
          <w:szCs w:val="28"/>
        </w:rPr>
        <w:t xml:space="preserve">Така практика є традиційною у діяльності міської влади під час виборчих процесів. </w:t>
      </w:r>
    </w:p>
    <w:p>
      <w:pPr>
        <w:pStyle w:val="Normal"/>
        <w:spacing w:lineRule="auto" w:line="276"/>
        <w:ind w:firstLine="708"/>
        <w:jc w:val="both"/>
        <w:rPr>
          <w:szCs w:val="28"/>
        </w:rPr>
      </w:pPr>
      <w:r>
        <w:rPr>
          <w:szCs w:val="28"/>
        </w:rPr>
        <w:t xml:space="preserve">Так, у день голосування на виборах Президента України </w:t>
      </w:r>
      <w:r>
        <w:rPr>
          <w:szCs w:val="28"/>
          <w:lang w:val="uk-UA"/>
        </w:rPr>
        <w:t>31 березня та 21 квітня 2019 року</w:t>
      </w:r>
      <w:r>
        <w:rPr>
          <w:szCs w:val="28"/>
        </w:rPr>
        <w:t xml:space="preserve"> такими послугами скористались </w:t>
      </w:r>
      <w:r>
        <w:rPr>
          <w:szCs w:val="28"/>
          <w:lang w:val="uk-UA"/>
        </w:rPr>
        <w:t>4</w:t>
      </w:r>
      <w:r>
        <w:rPr>
          <w:szCs w:val="28"/>
        </w:rPr>
        <w:t xml:space="preserve"> та </w:t>
      </w:r>
      <w:r>
        <w:rPr>
          <w:szCs w:val="28"/>
          <w:lang w:val="uk-UA"/>
        </w:rPr>
        <w:t>2</w:t>
      </w:r>
      <w:r>
        <w:rPr>
          <w:szCs w:val="28"/>
        </w:rPr>
        <w:t xml:space="preserve"> громадянина відповідно</w:t>
      </w:r>
      <w:r>
        <w:rPr>
          <w:szCs w:val="28"/>
          <w:lang w:val="uk-UA"/>
        </w:rPr>
        <w:t>, а на позачергових парламентських виборах 21 липня 2019 рок – 4 виборці</w:t>
      </w:r>
      <w:r>
        <w:rPr>
          <w:szCs w:val="28"/>
        </w:rPr>
        <w:t>.</w:t>
      </w:r>
    </w:p>
    <w:p>
      <w:pPr>
        <w:pStyle w:val="Normal"/>
        <w:spacing w:lineRule="auto" w:line="276"/>
        <w:ind w:hanging="15"/>
        <w:jc w:val="both"/>
        <w:rPr>
          <w:lang w:val="uk-UA"/>
        </w:rPr>
      </w:pPr>
      <w:r>
        <w:rPr>
          <w:szCs w:val="28"/>
          <w:lang w:val="uk-UA"/>
        </w:rPr>
        <w:t xml:space="preserve"> </w:t>
      </w:r>
      <w:r>
        <w:rPr>
          <w:rFonts w:eastAsia="Arial Unicode MS"/>
          <w:kern w:val="2"/>
          <w:szCs w:val="28"/>
          <w:lang w:val="uk-UA"/>
        </w:rPr>
        <w:tab/>
      </w:r>
      <w:r>
        <w:rPr>
          <w:szCs w:val="28"/>
          <w:lang w:val="uk-UA"/>
        </w:rPr>
        <w:t>За інформацією, наданою відділом ведення Державного реєстру виборців,</w:t>
      </w:r>
      <w:r>
        <w:rPr>
          <w:rFonts w:eastAsia="Arial Unicode MS"/>
          <w:kern w:val="2"/>
          <w:szCs w:val="28"/>
          <w:lang w:val="uk-UA"/>
        </w:rPr>
        <w:t xml:space="preserve"> </w:t>
      </w:r>
      <w:r>
        <w:rPr>
          <w:rStyle w:val="Strong"/>
          <w:b w:val="false"/>
          <w:kern w:val="2"/>
          <w:szCs w:val="28"/>
          <w:lang w:val="uk-UA"/>
        </w:rPr>
        <w:t>н</w:t>
      </w:r>
      <w:r>
        <w:rPr>
          <w:rStyle w:val="Strong"/>
          <w:b w:val="false"/>
          <w:szCs w:val="28"/>
          <w:lang w:val="uk-UA"/>
        </w:rPr>
        <w:t>а виконання вимог статті 30 Виборчого кодексу України</w:t>
      </w:r>
      <w:r>
        <w:rPr>
          <w:rFonts w:eastAsia="Arial Unicode MS"/>
          <w:kern w:val="2"/>
          <w:lang w:val="uk-UA"/>
        </w:rPr>
        <w:t xml:space="preserve"> </w:t>
      </w:r>
      <w:r>
        <w:rPr>
          <w:rFonts w:eastAsia="Arial Unicode MS"/>
          <w:kern w:val="2"/>
          <w:szCs w:val="28"/>
          <w:lang w:val="uk-UA"/>
        </w:rPr>
        <w:t xml:space="preserve">актуалізовано </w:t>
      </w:r>
      <w:r>
        <w:rPr>
          <w:szCs w:val="28"/>
          <w:lang w:val="uk-UA"/>
        </w:rPr>
        <w:t xml:space="preserve">та внесено необхідні зміни до Переліку звичайних та спеціальних виборчих дільниць на постійній основі, а саме: </w:t>
      </w:r>
    </w:p>
    <w:p>
      <w:pPr>
        <w:pStyle w:val="NoSpacing"/>
        <w:spacing w:lineRule="auto" w:line="276"/>
        <w:jc w:val="both"/>
        <w:rPr>
          <w:lang w:val="uk-UA"/>
        </w:rPr>
      </w:pPr>
      <w:r>
        <w:rPr>
          <w:rStyle w:val="Strong"/>
          <w:kern w:val="2"/>
          <w:szCs w:val="28"/>
          <w:lang w:val="uk-UA"/>
        </w:rPr>
        <w:tab/>
      </w:r>
      <w:r>
        <w:rPr>
          <w:rStyle w:val="Strong"/>
          <w:b w:val="false"/>
          <w:szCs w:val="28"/>
          <w:lang w:val="uk-UA"/>
        </w:rPr>
        <w:t>виконавчим комітетом Луцької міської ради</w:t>
      </w:r>
      <w:r>
        <w:rPr>
          <w:rStyle w:val="Strong"/>
          <w:b w:val="false"/>
          <w:kern w:val="2"/>
          <w:szCs w:val="28"/>
          <w:lang w:val="uk-UA"/>
        </w:rPr>
        <w:t xml:space="preserve"> прийнято рішення </w:t>
      </w:r>
      <w:r>
        <w:rPr>
          <w:rStyle w:val="Strong"/>
          <w:b w:val="false"/>
          <w:szCs w:val="28"/>
          <w:lang w:val="uk-UA"/>
        </w:rPr>
        <w:t xml:space="preserve"> від 23.07.2020 № 375-1 “Про внесення подання до Центральної виборчої комісії” </w:t>
      </w:r>
    </w:p>
    <w:p>
      <w:pPr>
        <w:pStyle w:val="NoSpacing"/>
        <w:spacing w:lineRule="auto" w:line="276"/>
        <w:jc w:val="both"/>
        <w:rPr>
          <w:lang w:val="uk-UA"/>
        </w:rPr>
      </w:pPr>
      <w:r>
        <w:rPr>
          <w:rStyle w:val="Strong"/>
          <w:b w:val="false"/>
          <w:szCs w:val="28"/>
          <w:lang w:val="uk-UA"/>
        </w:rPr>
        <w:t xml:space="preserve">щодо зміни назв обласних лікувальних закладів, в яких розміщені спеціальні виборчі дільниці </w:t>
      </w:r>
      <w:r>
        <w:rPr>
          <w:rStyle w:val="Strong"/>
          <w:rFonts w:eastAsia="Times New Roman CYR"/>
          <w:b w:val="false"/>
          <w:szCs w:val="28"/>
          <w:lang w:val="uk-UA"/>
        </w:rPr>
        <w:t>на постійній основі</w:t>
      </w:r>
      <w:r>
        <w:rPr>
          <w:rStyle w:val="Strong"/>
          <w:b w:val="false"/>
          <w:szCs w:val="28"/>
          <w:lang w:val="uk-UA"/>
        </w:rPr>
        <w:t xml:space="preserve"> та щодо</w:t>
      </w:r>
      <w:r>
        <w:rPr>
          <w:rStyle w:val="Strong"/>
          <w:rFonts w:eastAsia="Times New Roman CYR"/>
          <w:b w:val="false"/>
          <w:szCs w:val="28"/>
          <w:lang w:val="uk-UA"/>
        </w:rPr>
        <w:t xml:space="preserve"> зміни меж звичайних виборчих дільниць на постійній основі </w:t>
      </w:r>
      <w:r>
        <w:rPr>
          <w:rStyle w:val="Strong"/>
          <w:b w:val="false"/>
          <w:szCs w:val="28"/>
          <w:lang w:val="uk-UA"/>
        </w:rPr>
        <w:t>у зв’язку із внесенням до адресної підсистеми Державного реєстру виборців нових житлових будинків, усуненням кратності нумерації житлового будинку та перейменуванням пров. Черешневий;</w:t>
      </w:r>
    </w:p>
    <w:p>
      <w:pPr>
        <w:pStyle w:val="NoSpacing"/>
        <w:spacing w:lineRule="auto" w:line="276"/>
        <w:jc w:val="both"/>
        <w:rPr>
          <w:lang w:val="uk-UA"/>
        </w:rPr>
      </w:pPr>
      <w:r>
        <w:rPr>
          <w:rStyle w:val="Strong"/>
          <w:b w:val="false"/>
          <w:szCs w:val="28"/>
          <w:lang w:val="uk-UA"/>
        </w:rPr>
        <w:tab/>
        <w:t>17 серпня виконавчим комітетом Луцької міської ради</w:t>
      </w:r>
      <w:r>
        <w:rPr>
          <w:rStyle w:val="Strong"/>
          <w:b w:val="false"/>
          <w:kern w:val="2"/>
          <w:szCs w:val="28"/>
          <w:lang w:val="uk-UA"/>
        </w:rPr>
        <w:t xml:space="preserve"> прийнято рішення </w:t>
      </w:r>
      <w:r>
        <w:rPr>
          <w:rStyle w:val="Strong"/>
          <w:b w:val="false"/>
          <w:szCs w:val="28"/>
          <w:lang w:val="uk-UA"/>
        </w:rPr>
        <w:t xml:space="preserve">№ 429-1 “Про внесення подання до Центральної виборчої комісії” щодо </w:t>
      </w:r>
      <w:r>
        <w:rPr>
          <w:rStyle w:val="Strong"/>
          <w:rFonts w:eastAsia="Times New Roman CYR"/>
          <w:b w:val="false"/>
          <w:kern w:val="2"/>
          <w:szCs w:val="28"/>
          <w:lang w:val="uk-UA" w:eastAsia="zh-CN" w:bidi="hi-IN"/>
        </w:rPr>
        <w:t xml:space="preserve">зміни адреси приміщення для голосування та роботи дільничної виборчої комісії з: вул. Теремнівська, 59 (Теремнівський будинок культури) на: вул.Писаревського, 13 (Луцький центр професійно-технічної освіти), а також  щодо зміни адреси приміщення для голосування та адресу приміщення  дільничної виборчої комісії з: вул.Федорова, 9 (житлово-комунальне підприємство № 11) на: вул.Федорова, 7 (КЗ "Луцька ЗОШ І-ІІІ ступенів №25 Луцької міської ради"); </w:t>
      </w:r>
      <w:r>
        <w:rPr>
          <w:lang w:val="uk-UA"/>
        </w:rPr>
        <w:t xml:space="preserve">щодо зміни адреси приміщення для голосування та адреси приміщення  дільничної виборчої комісії з: вул.Гетьмана Сагайдачного, 6 (Луцький біотехнічний інститут ПВНЗ "Міжнародний науково-технічний університет імені академіка Юрія Бугая") на: вул.Щусева, 10 </w:t>
      </w:r>
      <w:r>
        <w:rPr>
          <w:rStyle w:val="Strong"/>
          <w:rFonts w:eastAsia="Times New Roman CYR"/>
          <w:b w:val="false"/>
          <w:kern w:val="2"/>
          <w:szCs w:val="28"/>
          <w:lang w:val="uk-UA" w:eastAsia="zh-CN" w:bidi="hi-IN"/>
        </w:rPr>
        <w:t>(КЗ "Луцька ЗОШ І-ІІІ ступені</w:t>
      </w:r>
      <w:r>
        <w:rPr>
          <w:lang w:val="uk-UA"/>
        </w:rPr>
        <w:t>в №</w:t>
      </w:r>
      <w:r>
        <w:rPr/>
        <w:t> </w:t>
      </w:r>
      <w:r>
        <w:rPr>
          <w:lang w:val="uk-UA"/>
        </w:rPr>
        <w:t>17 Луцької міської ради").</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b/>
          <w:b/>
          <w:lang w:val="uk-UA"/>
        </w:rPr>
      </w:pPr>
      <w:r>
        <w:rPr>
          <w:rStyle w:val="Strong"/>
          <w:rFonts w:eastAsia="Mangal"/>
          <w:b w:val="false"/>
          <w:color w:val="000000"/>
          <w:spacing w:val="-6"/>
          <w:kern w:val="2"/>
          <w:szCs w:val="28"/>
          <w:lang w:val="uk-UA" w:eastAsia="hi-IN" w:bidi="hi-IN"/>
        </w:rPr>
        <w:t>Станом на 1 вересня 2020 року у м. Луцьку налічувалось 152 590 виборців, станом на 21 вересня — 152 480 виборців.</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pPr>
      <w:r>
        <w:rPr>
          <w:rStyle w:val="Strong"/>
          <w:b w:val="false"/>
          <w:szCs w:val="28"/>
          <w:lang w:val="uk-UA"/>
        </w:rPr>
        <w:t xml:space="preserve">Для проведення перших виборів депутатів міської ради Луцької територіальної громади та Луцького міського голови відділом ведення Державного реєстру виборців будуть виготовлені списки виборців, які формуються на основі персональних даних Державного реєстру виборців (далі — Реєстр).  Інформація у Реєстрі  актуалізується постійно. Щомісяця база даних оновлюється на підставі відомостей періодичного поновлення, які згідно із статтею 22 Закону України “Про Державний реєстр виборців” надходять від суб’єктів подань, а також в порядку уточнення персональних даних відповідно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hanging="0"/>
        <w:jc w:val="both"/>
        <w:rPr/>
      </w:pPr>
      <w:r>
        <w:rPr>
          <w:rStyle w:val="Strong"/>
          <w:b w:val="false"/>
          <w:szCs w:val="28"/>
          <w:lang w:val="uk-UA"/>
        </w:rPr>
        <w:t xml:space="preserve">до статті 23 Закону та за зверненнями виборців відповідно до статей 19, 20 Закону. </w:t>
      </w:r>
    </w:p>
    <w:p>
      <w:pPr>
        <w:pStyle w:val="Normal"/>
        <w:widowControl w:val="false"/>
        <w:suppressAutoHyphens w:val="true"/>
        <w:spacing w:lineRule="auto" w:line="276"/>
        <w:ind w:firstLine="708"/>
        <w:jc w:val="both"/>
        <w:rPr/>
      </w:pPr>
      <w:r>
        <w:rPr>
          <w:rFonts w:eastAsia="Courier New"/>
          <w:color w:val="000000"/>
          <w:szCs w:val="28"/>
          <w:highlight w:val="white"/>
          <w:lang w:val="uk-UA"/>
        </w:rPr>
        <w:t>Суб’єктами подання відомостей щомісячного поновлення є:</w:t>
      </w:r>
    </w:p>
    <w:p>
      <w:pPr>
        <w:pStyle w:val="Normal"/>
        <w:widowControl w:val="false"/>
        <w:suppressAutoHyphens w:val="true"/>
        <w:spacing w:lineRule="auto" w:line="276"/>
        <w:jc w:val="both"/>
        <w:rPr>
          <w:lang w:val="uk-UA"/>
        </w:rPr>
      </w:pPr>
      <w:r>
        <w:rPr>
          <w:szCs w:val="28"/>
          <w:lang w:val="uk-UA"/>
        </w:rPr>
        <w:t>1. Луцький міський  відділ  Управління  Державної міграційної  служби України у Волинській обл.;</w:t>
      </w:r>
    </w:p>
    <w:p>
      <w:pPr>
        <w:pStyle w:val="Normal"/>
        <w:spacing w:lineRule="auto" w:line="276"/>
        <w:jc w:val="both"/>
        <w:rPr>
          <w:lang w:val="uk-UA"/>
        </w:rPr>
      </w:pPr>
      <w:r>
        <w:rPr>
          <w:szCs w:val="28"/>
          <w:lang w:val="uk-UA"/>
        </w:rPr>
        <w:t xml:space="preserve">2. Департамент державної реєстрації; </w:t>
      </w:r>
    </w:p>
    <w:p>
      <w:pPr>
        <w:pStyle w:val="Normal"/>
        <w:spacing w:lineRule="auto" w:line="276"/>
        <w:jc w:val="both"/>
        <w:rPr>
          <w:lang w:val="uk-UA"/>
        </w:rPr>
      </w:pPr>
      <w:r>
        <w:rPr>
          <w:szCs w:val="28"/>
          <w:lang w:val="uk-UA"/>
        </w:rPr>
        <w:t>3. Луцький міський відділ державної реєстрації актів цивільного стану Західного міжрегіонального управління Міністерства Юстиції;</w:t>
      </w:r>
    </w:p>
    <w:p>
      <w:pPr>
        <w:pStyle w:val="Normal"/>
        <w:spacing w:lineRule="auto" w:line="276"/>
        <w:jc w:val="both"/>
        <w:rPr/>
      </w:pPr>
      <w:r>
        <w:rPr>
          <w:szCs w:val="28"/>
          <w:lang w:val="uk-UA"/>
        </w:rPr>
        <w:t>4. Військова частина</w:t>
      </w:r>
      <w:r>
        <w:rPr>
          <w:szCs w:val="28"/>
        </w:rPr>
        <w:t xml:space="preserve"> 1141;</w:t>
      </w:r>
    </w:p>
    <w:p>
      <w:pPr>
        <w:pStyle w:val="Normal"/>
        <w:snapToGrid w:val="false"/>
        <w:spacing w:lineRule="auto" w:line="276"/>
        <w:jc w:val="both"/>
        <w:rPr/>
      </w:pPr>
      <w:r>
        <w:rPr>
          <w:szCs w:val="28"/>
          <w:lang w:val="uk-UA"/>
        </w:rPr>
        <w:t>5. Військова частина</w:t>
      </w:r>
      <w:r>
        <w:rPr>
          <w:szCs w:val="28"/>
        </w:rPr>
        <w:t xml:space="preserve"> А0959;</w:t>
      </w:r>
    </w:p>
    <w:p>
      <w:pPr>
        <w:pStyle w:val="Normal"/>
        <w:spacing w:lineRule="auto" w:line="276"/>
        <w:jc w:val="both"/>
        <w:rPr/>
      </w:pPr>
      <w:r>
        <w:rPr>
          <w:szCs w:val="28"/>
        </w:rPr>
        <w:t>6.</w:t>
      </w:r>
      <w:r>
        <w:rPr>
          <w:szCs w:val="28"/>
          <w:lang w:val="uk-UA"/>
        </w:rPr>
        <w:t xml:space="preserve"> ДУ</w:t>
      </w:r>
      <w:r>
        <w:rPr>
          <w:szCs w:val="28"/>
        </w:rPr>
        <w:t xml:space="preserve"> </w:t>
      </w:r>
      <w:r>
        <w:rPr>
          <w:szCs w:val="28"/>
          <w:lang w:val="uk-UA"/>
        </w:rPr>
        <w:t>«</w:t>
      </w:r>
      <w:r>
        <w:rPr>
          <w:szCs w:val="28"/>
        </w:rPr>
        <w:t>Луцький слідчий ізолятор</w:t>
      </w:r>
      <w:r>
        <w:rPr>
          <w:szCs w:val="28"/>
          <w:lang w:val="uk-UA"/>
        </w:rPr>
        <w:t>»</w:t>
      </w:r>
      <w:r>
        <w:rPr>
          <w:szCs w:val="28"/>
        </w:rPr>
        <w:t>;</w:t>
      </w:r>
    </w:p>
    <w:p>
      <w:pPr>
        <w:pStyle w:val="Normal"/>
        <w:spacing w:lineRule="auto" w:line="276"/>
        <w:jc w:val="both"/>
        <w:rPr/>
      </w:pPr>
      <w:r>
        <w:rPr>
          <w:szCs w:val="28"/>
        </w:rPr>
        <w:t>7. Центр обліку бездомних громадян ВОБФ “Переображення”;</w:t>
      </w:r>
    </w:p>
    <w:p>
      <w:pPr>
        <w:pStyle w:val="Normal"/>
        <w:spacing w:lineRule="auto" w:line="276"/>
        <w:jc w:val="both"/>
        <w:rPr/>
      </w:pPr>
      <w:r>
        <w:rPr>
          <w:szCs w:val="28"/>
        </w:rPr>
        <w:t>8. Луцький міськрайонний суд;</w:t>
      </w:r>
    </w:p>
    <w:p>
      <w:pPr>
        <w:pStyle w:val="Normal"/>
        <w:spacing w:lineRule="auto" w:line="276"/>
        <w:jc w:val="both"/>
        <w:rPr/>
      </w:pPr>
      <w:r>
        <w:rPr>
          <w:szCs w:val="28"/>
        </w:rPr>
        <w:t>9. Територіальний центр соціального обслуговування (надання соціальних послуг) м.Луцька;</w:t>
      </w:r>
    </w:p>
    <w:p>
      <w:pPr>
        <w:pStyle w:val="Normal"/>
        <w:spacing w:lineRule="auto" w:line="276"/>
        <w:jc w:val="both"/>
        <w:rPr/>
      </w:pPr>
      <w:r>
        <w:rPr>
          <w:szCs w:val="28"/>
        </w:rPr>
        <w:t>10. Луцький геріатричний пансіонат</w:t>
      </w:r>
    </w:p>
    <w:p>
      <w:pPr>
        <w:pStyle w:val="Normal"/>
        <w:tabs>
          <w:tab w:val="left" w:pos="4841" w:leader="none"/>
        </w:tabs>
        <w:snapToGrid w:val="false"/>
        <w:spacing w:lineRule="auto" w:line="276"/>
        <w:jc w:val="both"/>
        <w:rPr/>
      </w:pPr>
      <w:r>
        <w:rPr>
          <w:rFonts w:eastAsia="Courier New"/>
          <w:szCs w:val="28"/>
          <w:highlight w:val="white"/>
          <w:lang w:val="uk-UA"/>
        </w:rPr>
        <w:t>11. Управління охорони здоров’я</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jc w:val="both"/>
        <w:rPr>
          <w:b/>
          <w:b/>
          <w:lang w:val="uk-UA"/>
        </w:rPr>
      </w:pPr>
      <w:r>
        <w:rPr>
          <w:rStyle w:val="Strong"/>
          <w:color w:val="000000"/>
          <w:szCs w:val="28"/>
          <w:shd w:fill="FFFFFF" w:val="clear"/>
          <w:lang w:val="uk-UA"/>
        </w:rPr>
        <w:tab/>
      </w:r>
      <w:r>
        <w:rPr>
          <w:rStyle w:val="Strong"/>
          <w:b w:val="false"/>
          <w:color w:val="000000"/>
          <w:szCs w:val="28"/>
          <w:shd w:fill="FFFFFF" w:val="clear"/>
          <w:lang w:val="uk-UA"/>
        </w:rPr>
        <w:t>У зв'язку із проведенням перших виборі</w:t>
      </w:r>
      <w:r>
        <w:rPr>
          <w:rStyle w:val="Strong"/>
          <w:b w:val="false"/>
          <w:szCs w:val="28"/>
          <w:shd w:fill="FFFFFF" w:val="clear"/>
          <w:lang w:val="uk-UA"/>
        </w:rPr>
        <w:t xml:space="preserve">в депутатів Луцької міської  територіальної громади та Луцького міського голови </w:t>
      </w:r>
      <w:r>
        <w:rPr>
          <w:rStyle w:val="Strong"/>
          <w:b w:val="false"/>
          <w:color w:val="000000"/>
          <w:szCs w:val="28"/>
          <w:shd w:fill="FFFFFF" w:val="clear"/>
          <w:lang w:val="uk-UA"/>
        </w:rPr>
        <w:t>відомості періодичного поновлення Державного реєстру виборців для складання попередніх та уточнених списків виборців пода</w:t>
      </w:r>
      <w:r>
        <w:rPr>
          <w:rStyle w:val="Strong"/>
          <w:rFonts w:eastAsia="Arial Unicode MS" w:cs="Tahoma"/>
          <w:b w:val="false"/>
          <w:color w:val="000000"/>
          <w:kern w:val="2"/>
          <w:szCs w:val="28"/>
          <w:shd w:fill="FFFFFF" w:val="clear"/>
          <w:lang w:val="uk-UA"/>
        </w:rPr>
        <w:t>ва</w:t>
      </w:r>
      <w:r>
        <w:rPr>
          <w:rStyle w:val="Strong"/>
          <w:b w:val="false"/>
          <w:color w:val="000000"/>
          <w:szCs w:val="28"/>
          <w:shd w:fill="FFFFFF" w:val="clear"/>
          <w:lang w:val="uk-UA"/>
        </w:rPr>
        <w:t xml:space="preserve">тимуться до відділу ведення Реєстру </w:t>
      </w:r>
      <w:r>
        <w:rPr>
          <w:rStyle w:val="Strong"/>
          <w:b w:val="false"/>
          <w:bCs w:val="false"/>
          <w:color w:val="000000"/>
          <w:szCs w:val="28"/>
          <w:shd w:fill="FFFFFF" w:val="clear"/>
          <w:lang w:val="uk-UA"/>
        </w:rPr>
        <w:t>з наступними змінами в періодах:</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jc w:val="both"/>
        <w:rPr>
          <w:szCs w:val="28"/>
          <w:lang w:val="uk-UA"/>
        </w:rPr>
      </w:pPr>
      <w:r>
        <w:rPr>
          <w:szCs w:val="28"/>
        </w:rPr>
        <w:t>01.09.2020 — 01.10.2020</w:t>
      </w:r>
      <w:r>
        <w:rPr>
          <w:rStyle w:val="Strong"/>
          <w:szCs w:val="28"/>
        </w:rPr>
        <w:t xml:space="preserve"> </w:t>
      </w:r>
      <w:r>
        <w:rPr>
          <w:rStyle w:val="Strong"/>
          <w:szCs w:val="28"/>
          <w:lang w:val="uk-UA"/>
        </w:rPr>
        <w:t xml:space="preserve">- </w:t>
      </w:r>
      <w:r>
        <w:rPr>
          <w:rStyle w:val="Strong"/>
          <w:b w:val="false"/>
          <w:szCs w:val="28"/>
          <w:lang w:val="uk-UA"/>
        </w:rPr>
        <w:t>с</w:t>
      </w:r>
      <w:r>
        <w:rPr>
          <w:rStyle w:val="Strong"/>
          <w:b w:val="false"/>
          <w:szCs w:val="28"/>
        </w:rPr>
        <w:t>трок подання відомостей</w:t>
      </w:r>
      <w:r>
        <w:rPr>
          <w:rStyle w:val="Strong"/>
          <w:szCs w:val="28"/>
          <w:lang w:val="uk-UA"/>
        </w:rPr>
        <w:t xml:space="preserve"> -</w:t>
      </w:r>
      <w:r>
        <w:rPr>
          <w:szCs w:val="28"/>
          <w:lang w:val="uk-UA"/>
        </w:rPr>
        <w:t>02.10</w:t>
      </w:r>
      <w:r>
        <w:rPr>
          <w:szCs w:val="28"/>
        </w:rPr>
        <w:t>.2020</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jc w:val="both"/>
        <w:rPr>
          <w:szCs w:val="28"/>
          <w:lang w:val="uk-UA"/>
        </w:rPr>
      </w:pPr>
      <w:r>
        <w:rPr/>
        <w:t>02.10.2020 — 13.10.2020</w:t>
      </w:r>
      <w:r>
        <w:rPr>
          <w:lang w:val="uk-UA"/>
        </w:rPr>
        <w:t xml:space="preserve"> </w:t>
      </w:r>
      <w:r>
        <w:rPr>
          <w:rStyle w:val="Strong"/>
          <w:szCs w:val="28"/>
          <w:lang w:val="uk-UA"/>
        </w:rPr>
        <w:t xml:space="preserve">- </w:t>
      </w:r>
      <w:r>
        <w:rPr>
          <w:rStyle w:val="Strong"/>
          <w:b w:val="false"/>
          <w:szCs w:val="28"/>
          <w:lang w:val="uk-UA"/>
        </w:rPr>
        <w:t>с</w:t>
      </w:r>
      <w:r>
        <w:rPr>
          <w:rStyle w:val="Strong"/>
          <w:b w:val="false"/>
          <w:szCs w:val="28"/>
        </w:rPr>
        <w:t>трок подання відомостей</w:t>
      </w:r>
      <w:r>
        <w:rPr>
          <w:rStyle w:val="Strong"/>
          <w:szCs w:val="28"/>
          <w:lang w:val="uk-UA"/>
        </w:rPr>
        <w:t xml:space="preserve"> -</w:t>
      </w:r>
      <w:r>
        <w:rPr/>
        <w:t>14.10.2020</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jc w:val="both"/>
        <w:rPr>
          <w:b/>
          <w:b/>
          <w:lang w:val="uk-UA"/>
        </w:rPr>
      </w:pPr>
      <w:r>
        <w:rPr>
          <w:rStyle w:val="Strong"/>
          <w:rFonts w:eastAsia="TimesNewRomanPSMT"/>
          <w:color w:val="000000"/>
          <w:szCs w:val="28"/>
          <w:lang w:val="uk-UA" w:eastAsia="zh-CN" w:bidi="hi-IN"/>
        </w:rPr>
        <w:tab/>
      </w:r>
      <w:r>
        <w:rPr>
          <w:rStyle w:val="Strong"/>
          <w:rFonts w:eastAsia="TimesNewRomanPSMT"/>
          <w:b w:val="false"/>
          <w:color w:val="000000"/>
          <w:szCs w:val="28"/>
          <w:lang w:val="uk-UA" w:eastAsia="zh-CN" w:bidi="hi-IN"/>
        </w:rPr>
        <w:t>Отже, до попереднього списку виборців увійде інформація Реєстру, станом на 1 жовтня 2020 року, а до уточненого — станом на 13 жовтня 2020 року. Ознайомитись із попереднім списком виборців та перевірити правильність внесених до нього відомостей</w:t>
      </w:r>
      <w:r>
        <w:rPr>
          <w:rStyle w:val="Strong"/>
          <w:rFonts w:eastAsia="Calibri"/>
          <w:b w:val="false"/>
          <w:color w:val="000000"/>
          <w:szCs w:val="28"/>
          <w:lang w:val="uk-UA" w:eastAsia="en-US" w:bidi="hi-IN"/>
        </w:rPr>
        <w:t xml:space="preserve"> </w:t>
      </w:r>
      <w:r>
        <w:rPr>
          <w:rStyle w:val="Strong"/>
          <w:rFonts w:eastAsia="TimesNewRomanPSMT"/>
          <w:b w:val="false"/>
          <w:color w:val="000000"/>
          <w:szCs w:val="28"/>
          <w:lang w:val="uk-UA" w:eastAsia="zh-CN" w:bidi="hi-IN"/>
        </w:rPr>
        <w:t>можна буде у приміщенні дільничної виборчої комісії з 14 жовтня 2020 року. Запрошення виборці отримають до 15 жовтня включно.</w:t>
      </w:r>
    </w:p>
    <w:p>
      <w:pPr>
        <w:pStyle w:val="Normal"/>
        <w:spacing w:lineRule="auto" w:line="276"/>
        <w:ind w:firstLine="708"/>
        <w:jc w:val="both"/>
        <w:rPr/>
      </w:pPr>
      <w:r>
        <w:rPr>
          <w:rFonts w:eastAsia="Calibri"/>
          <w:color w:val="000000"/>
          <w:szCs w:val="28"/>
          <w:lang w:val="uk-UA" w:eastAsia="en-US"/>
        </w:rPr>
        <w:t>Якщо виборець виявить неправильності у попередньому списку виборців, він</w:t>
      </w:r>
      <w:r>
        <w:rPr>
          <w:szCs w:val="28"/>
          <w:lang w:val="uk-UA"/>
        </w:rPr>
        <w:t xml:space="preserve"> може звернутися до дільничної виборчої комісії або безпосередньо до відділу ведення Державного реєстру виборців із відповідною заявою </w:t>
      </w:r>
      <w:r>
        <w:rPr>
          <w:rFonts w:eastAsia="Calibri"/>
          <w:color w:val="000000"/>
          <w:szCs w:val="28"/>
          <w:lang w:val="uk-UA" w:eastAsia="en-US"/>
        </w:rPr>
        <w:t>до 19 жовтня включно. Заяву до відділу можна подати особисто або через електронний сервіс, доступний на сайті Державного реєстру виборців.</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pPr>
      <w:r>
        <w:rPr>
          <w:rFonts w:eastAsia="SimSun"/>
          <w:kern w:val="2"/>
          <w:szCs w:val="28"/>
          <w:lang w:val="uk-UA" w:eastAsia="zh-CN" w:bidi="hi-IN"/>
        </w:rPr>
        <w:t xml:space="preserve">Зміни у виборчому законодавстві дали можливість взяти участь у місцевих виборах тим виборцям, які фактично проживають не </w:t>
      </w:r>
      <w:r>
        <w:rPr>
          <w:rStyle w:val="Strong"/>
          <w:rFonts w:eastAsia="SimSun"/>
          <w:b w:val="false"/>
          <w:kern w:val="2"/>
          <w:szCs w:val="28"/>
          <w:lang w:val="uk-UA"/>
        </w:rPr>
        <w:t>за зареєстрованим місцем проживання.</w:t>
      </w:r>
      <w:r>
        <w:rPr>
          <w:rStyle w:val="Strong"/>
          <w:rFonts w:eastAsia="SimSun"/>
          <w:b w:val="false"/>
          <w:szCs w:val="28"/>
        </w:rPr>
        <w:t xml:space="preserve"> </w:t>
      </w:r>
      <w:r>
        <w:rPr>
          <w:rStyle w:val="Strong"/>
          <w:rFonts w:eastAsia="SimSun"/>
          <w:b w:val="false"/>
          <w:kern w:val="2"/>
          <w:szCs w:val="28"/>
          <w:lang w:val="uk-UA"/>
        </w:rPr>
        <w:t>Внутрішньо переміщені особи, особи без реєстрації та ті виборці, які фактично проживають у місці, відмінному від місця реєстрації, вперше матимуть можливість обирати місцеву владу у тій громаді, де вони фактично мешкають.</w:t>
      </w:r>
      <w:r>
        <w:rPr>
          <w:rStyle w:val="Strong"/>
          <w:rFonts w:eastAsia="SimSun"/>
          <w:b w:val="false"/>
          <w:szCs w:val="28"/>
        </w:rPr>
        <w:t xml:space="preserve"> </w:t>
      </w:r>
      <w:r>
        <w:rPr>
          <w:rStyle w:val="Strong"/>
          <w:rFonts w:eastAsia="SimSun"/>
          <w:b w:val="false"/>
          <w:kern w:val="2"/>
          <w:szCs w:val="28"/>
          <w:lang w:val="uk-UA"/>
        </w:rPr>
        <w:t>Для реалізації свого виборчого права таким виборцям  потрібно було  змінити виборчу адресу</w:t>
      </w:r>
      <w:r>
        <w:rPr>
          <w:rStyle w:val="Strong"/>
          <w:rFonts w:eastAsia="SimSun"/>
          <w:b w:val="false"/>
          <w:szCs w:val="28"/>
        </w:rPr>
        <w:t xml:space="preserve">. </w:t>
      </w:r>
      <w:r>
        <w:rPr>
          <w:rFonts w:eastAsia="Arial Unicode MS" w:cs="Tahoma"/>
          <w:kern w:val="2"/>
          <w:szCs w:val="28"/>
          <w:lang w:val="uk-UA"/>
        </w:rPr>
        <w:t xml:space="preserve">Такою можливістю скористалися 225 виборців, з них </w:t>
      </w:r>
      <w:r>
        <w:rPr>
          <w:rFonts w:eastAsia="Arial Unicode MS" w:cs="Tahoma"/>
          <w:color w:val="000000"/>
          <w:kern w:val="2"/>
          <w:szCs w:val="28"/>
          <w:lang w:val="uk-UA"/>
        </w:rPr>
        <w:t xml:space="preserve">165 — через  електронний сервіс, 60 — звернулися особисто. 12-ти виборцям було відмовлено в задоволенні заяв у зв'язку із невідповідністю відомостей поданих у заявах та у Реєстрі. </w:t>
      </w:r>
      <w:r>
        <w:rPr>
          <w:rStyle w:val="Strong"/>
          <w:rFonts w:eastAsia="Mangal"/>
          <w:b w:val="false"/>
          <w:color w:val="000000"/>
          <w:spacing w:val="-6"/>
          <w:kern w:val="2"/>
          <w:szCs w:val="28"/>
          <w:lang w:val="uk-UA" w:eastAsia="hi-IN" w:bidi="hi-IN"/>
        </w:rPr>
        <w:t>Усі заявники були своєчасно проінформовані про результати розгляду їх звернень.</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b/>
          <w:b/>
          <w:lang w:val="uk-UA"/>
        </w:rPr>
      </w:pPr>
      <w:r>
        <w:rPr>
          <w:rStyle w:val="Strong"/>
          <w:rFonts w:eastAsia="Calibri"/>
          <w:b w:val="false"/>
          <w:szCs w:val="28"/>
          <w:lang w:val="uk-UA" w:eastAsia="en-US" w:bidi="hi-IN"/>
        </w:rPr>
        <w:t>Відділ ведення Реєстру Луцької міської ради виготовлятиме списки виборців та іменні запрошення для вибор</w:t>
      </w:r>
      <w:r>
        <w:rPr>
          <w:rStyle w:val="Strong"/>
          <w:rFonts w:eastAsia="Calibri"/>
          <w:b w:val="false"/>
          <w:kern w:val="2"/>
          <w:szCs w:val="28"/>
          <w:lang w:val="uk-UA" w:eastAsia="en-US" w:bidi="hi-IN"/>
        </w:rPr>
        <w:t>ців</w:t>
      </w:r>
      <w:r>
        <w:rPr>
          <w:rStyle w:val="Strong"/>
          <w:rFonts w:eastAsia="Calibri"/>
          <w:b w:val="false"/>
          <w:szCs w:val="28"/>
          <w:lang w:val="uk-UA" w:eastAsia="en-US" w:bidi="hi-IN"/>
        </w:rPr>
        <w:t>, виборча адреса яких знаходяться у межах міста Луцька і передаватиме їх кожній дільничній виборчій комісії окремо. Для виборців Луцької територіальної громади, виборча адреса яких знаходиться за межами м.Луцька, списки виборців та іменні запрошення виготовлятимуться відділами ведення Реєстру апаратів райдержадміністрацій, а саме:</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b/>
          <w:b/>
          <w:lang w:val="uk-UA"/>
        </w:rPr>
      </w:pPr>
      <w:r>
        <w:rPr>
          <w:rStyle w:val="Strong"/>
          <w:rFonts w:eastAsia="Calibri"/>
          <w:b w:val="false"/>
          <w:szCs w:val="28"/>
          <w:lang w:val="uk-UA" w:eastAsia="en-US" w:bidi="hi-IN"/>
        </w:rPr>
        <w:t>- для виборців Жидичинської об’єднаної територіальної громади та Прилуцького старостинського округу — відділом ведення Реєстру апарату Ківерцівської райдержадміністрації;</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b/>
          <w:b/>
          <w:lang w:val="uk-UA"/>
        </w:rPr>
      </w:pPr>
      <w:r>
        <w:rPr>
          <w:rStyle w:val="Strong"/>
          <w:rFonts w:eastAsia="Calibri"/>
          <w:b w:val="false"/>
          <w:szCs w:val="28"/>
          <w:lang w:val="uk-UA" w:eastAsia="en-US" w:bidi="hi-IN"/>
        </w:rPr>
        <w:t>- для виборців Заборольської об’єднаної територіальної громади та Княгининівської об’єднаної територіальної громади — відділом ведення Реєстру апарату Луцької райдержадміністрації;</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76"/>
        <w:ind w:firstLine="709"/>
        <w:jc w:val="both"/>
        <w:rPr>
          <w:b/>
          <w:b/>
          <w:lang w:val="uk-UA"/>
        </w:rPr>
      </w:pPr>
      <w:r>
        <w:rPr>
          <w:rStyle w:val="Strong"/>
          <w:rFonts w:eastAsia="Calibri"/>
          <w:b w:val="false"/>
          <w:szCs w:val="28"/>
          <w:lang w:val="uk-UA" w:eastAsia="en-US" w:bidi="hi-IN"/>
        </w:rPr>
        <w:t>- для вибор</w:t>
      </w:r>
      <w:r>
        <w:rPr>
          <w:rStyle w:val="Strong"/>
          <w:rFonts w:eastAsia="Calibri"/>
          <w:b w:val="false"/>
          <w:kern w:val="2"/>
          <w:szCs w:val="28"/>
          <w:lang w:val="uk-UA" w:eastAsia="en-US" w:bidi="hi-IN"/>
        </w:rPr>
        <w:t>ців</w:t>
      </w:r>
      <w:r>
        <w:rPr>
          <w:rStyle w:val="Strong"/>
          <w:rFonts w:eastAsia="Calibri"/>
          <w:b w:val="false"/>
          <w:szCs w:val="28"/>
          <w:lang w:val="uk-UA" w:eastAsia="en-US" w:bidi="hi-IN"/>
        </w:rPr>
        <w:t xml:space="preserve"> с.Іванчиці, с.Озденіж — відділом ведення Реєстру апарату Рожищенської райдержадміністрації.</w:t>
      </w:r>
    </w:p>
    <w:p>
      <w:pPr>
        <w:pStyle w:val="Normal"/>
        <w:snapToGrid w:val="false"/>
        <w:spacing w:lineRule="auto" w:line="276"/>
        <w:ind w:firstLine="708"/>
        <w:jc w:val="both"/>
        <w:rPr>
          <w:lang w:val="uk-UA"/>
        </w:rPr>
      </w:pPr>
      <w:r>
        <w:rPr>
          <w:lang w:val="uk-UA"/>
        </w:rPr>
        <w:t xml:space="preserve">Відповідно до  Виборчого кодексу України  розпорядженнями міського голови від 04.09.2020 № 245 та від 10.09.2020 № 253 визначено місця для розміщення матеріалів передвиборчої агітації. У місті відведено тумби для оголошень та  </w:t>
      </w:r>
      <w:r>
        <w:rPr>
          <w:szCs w:val="28"/>
          <w:lang w:val="uk-UA"/>
        </w:rPr>
        <w:t xml:space="preserve">дошки для оголошень,  що розміщені біля входів у під’їзди житлових будинків. Інформація про це, а також перелік місць розташування тумб для розміщення матеріалів передвиборчої агітації на території громад, що увійшли до складу Луцької міської територіальної громади оприлюднена відповідно до законодавства. </w:t>
      </w:r>
      <w:r>
        <w:rPr>
          <w:lang w:val="uk-UA"/>
        </w:rPr>
        <w:t xml:space="preserve">Щотижнево департамент житлово-комунального господарства спільно з інспекторами департаменту муніципальної варти проводять моніторинг усіх відведених місць щодо утримання їх у належному стані. Працівники департаменту муніципальної варти проводять щоденні рейди з метою виявлення матеріалів передвиборчої агітації, розміщених у не визначених для цього місцях (стовпах, опорах, парапетах тощо). </w:t>
      </w:r>
    </w:p>
    <w:p>
      <w:pPr>
        <w:pStyle w:val="Normal"/>
        <w:snapToGrid w:val="false"/>
        <w:spacing w:lineRule="auto" w:line="276"/>
        <w:ind w:firstLine="708"/>
        <w:jc w:val="both"/>
        <w:rPr>
          <w:lang w:val="uk-UA"/>
        </w:rPr>
      </w:pPr>
      <w:r>
        <w:rPr>
          <w:lang w:val="uk-UA"/>
        </w:rPr>
        <w:t>За звітний період, що триває виборчий процес, у Луцьку міську раду ще не звертались офіційні місії міжнародних спостерігачів чи відповідні громадські організації, що здійснюють аналіз та моніторинг виборчого процесу.</w:t>
      </w:r>
    </w:p>
    <w:p>
      <w:pPr>
        <w:pStyle w:val="Normal"/>
        <w:spacing w:lineRule="auto" w:line="276"/>
        <w:ind w:firstLine="708"/>
        <w:jc w:val="both"/>
        <w:rPr>
          <w:lang w:val="uk-UA"/>
        </w:rPr>
      </w:pPr>
      <w:r>
        <w:rPr>
          <w:lang w:val="uk-UA"/>
        </w:rPr>
        <w:t>Уся необхідна актуальна інформація для виборців та членів дільничних виборчих комісій, включно з посиланнями на чинне виборче законодавство та нормативно-правові акти, розміщена в окремому банері «Виборець повинен знати» на офіційному сайті Луцької міської ради</w:t>
      </w:r>
    </w:p>
    <w:p>
      <w:pPr>
        <w:pStyle w:val="Normal"/>
        <w:spacing w:lineRule="auto" w:line="276"/>
        <w:ind w:firstLine="708"/>
        <w:jc w:val="both"/>
        <w:rPr>
          <w:szCs w:val="28"/>
          <w:lang w:val="uk-UA"/>
        </w:rPr>
      </w:pPr>
      <w:r>
        <w:rPr>
          <w:lang w:val="uk-UA"/>
        </w:rPr>
        <w:t xml:space="preserve">Першочергове завдання, яке сьогодні стоїть перед виконавчим комітетом міської ради – забезпечення належної організації процесу волевиявлення громадян та роботи дільничних виборчих комісій у день голосування 25 жовтня 2020 року.  </w:t>
      </w:r>
    </w:p>
    <w:p>
      <w:pPr>
        <w:pStyle w:val="Normal"/>
        <w:spacing w:lineRule="auto" w:line="276"/>
        <w:jc w:val="both"/>
        <w:rPr>
          <w:szCs w:val="28"/>
          <w:lang w:val="uk-UA"/>
        </w:rPr>
      </w:pPr>
      <w:r>
        <w:rPr/>
      </w:r>
    </w:p>
    <w:p>
      <w:pPr>
        <w:pStyle w:val="Normal"/>
        <w:spacing w:lineRule="auto" w:line="276"/>
        <w:jc w:val="both"/>
        <w:rPr>
          <w:szCs w:val="28"/>
          <w:lang w:val="uk-UA"/>
        </w:rPr>
      </w:pPr>
      <w:r>
        <w:rPr/>
      </w:r>
    </w:p>
    <w:p>
      <w:pPr>
        <w:pStyle w:val="Normal"/>
        <w:spacing w:lineRule="auto" w:line="276"/>
        <w:jc w:val="both"/>
        <w:rPr>
          <w:szCs w:val="28"/>
          <w:lang w:val="uk-UA"/>
        </w:rPr>
      </w:pPr>
      <w:r>
        <w:rPr>
          <w:szCs w:val="28"/>
          <w:lang w:val="uk-UA"/>
        </w:rPr>
        <w:t>Начальник організаційного відділу</w:t>
        <w:tab/>
        <w:tab/>
        <w:tab/>
        <w:tab/>
        <w:tab/>
        <w:t xml:space="preserve">    Олена БАРСЬКА</w:t>
      </w:r>
    </w:p>
    <w:p>
      <w:pPr>
        <w:pStyle w:val="Normal"/>
        <w:spacing w:lineRule="auto" w:line="276"/>
        <w:rPr/>
      </w:pPr>
      <w:r>
        <w:rPr/>
      </w:r>
    </w:p>
    <w:sectPr>
      <w:headerReference w:type="default" r:id="rId2"/>
      <w:headerReference w:type="first" r:id="rId3"/>
      <w:type w:val="nextPage"/>
      <w:pgSz w:w="11906" w:h="16838"/>
      <w:pgMar w:left="1417" w:right="850" w:header="850" w:top="1455" w:footer="0" w:bottom="85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jc w:val="center"/>
      <w:rPr/>
    </w:pPr>
    <w:r>
      <w:rPr/>
      <w:fldChar w:fldCharType="begin"/>
    </w:r>
    <w:r>
      <w:rPr/>
      <w:instrText> PAGE </w:instrText>
    </w:r>
    <w:r>
      <w:rPr/>
      <w:fldChar w:fldCharType="separate"/>
    </w:r>
    <w:r>
      <w:rPr/>
      <w:t>6</w:t>
    </w:r>
    <w:r>
      <w:rPr/>
      <w:fldChar w:fldCharType="end"/>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jc w:val="center"/>
      <w:rPr/>
    </w:pPr>
    <w:r>
      <w:rPr/>
    </w:r>
  </w:p>
</w:hdr>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16874"/>
    <w:pPr>
      <w:widowControl/>
      <w:bidi w:val="0"/>
      <w:jc w:val="left"/>
    </w:pPr>
    <w:rPr>
      <w:rFonts w:ascii="Times New Roman" w:hAnsi="Times New Roman" w:eastAsia="Times New Roman" w:cs="Times New Roman"/>
      <w:color w:val="auto"/>
      <w:kern w:val="0"/>
      <w:sz w:val="28"/>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qFormat/>
    <w:rsid w:val="00116874"/>
    <w:rPr>
      <w:rFonts w:ascii="Times New Roman" w:hAnsi="Times New Roman" w:eastAsia="Times New Roman" w:cs="Times New Roman"/>
      <w:sz w:val="28"/>
      <w:szCs w:val="24"/>
      <w:lang w:eastAsia="ru-RU"/>
    </w:rPr>
  </w:style>
  <w:style w:type="character" w:styleId="Pagenumber">
    <w:name w:val="page number"/>
    <w:basedOn w:val="DefaultParagraphFont"/>
    <w:qFormat/>
    <w:rsid w:val="00116874"/>
    <w:rPr/>
  </w:style>
  <w:style w:type="character" w:styleId="Strong">
    <w:name w:val="Strong"/>
    <w:basedOn w:val="DefaultParagraphFont"/>
    <w:qFormat/>
    <w:rsid w:val="00116874"/>
    <w:rPr>
      <w:b/>
      <w:bCs/>
    </w:rPr>
  </w:style>
  <w:style w:type="character" w:styleId="Style15" w:customStyle="1">
    <w:name w:val="Основной текст Знак"/>
    <w:basedOn w:val="DefaultParagraphFont"/>
    <w:link w:val="a7"/>
    <w:qFormat/>
    <w:rsid w:val="0052329d"/>
    <w:rPr>
      <w:rFonts w:ascii="Times New Roman" w:hAnsi="Times New Roman" w:eastAsia="Arial Unicode MS" w:cs="Times New Roman"/>
      <w:kern w:val="2"/>
      <w:sz w:val="24"/>
      <w:szCs w:val="24"/>
      <w:lang w:val="uk-UA"/>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link w:val="a8"/>
    <w:rsid w:val="0052329d"/>
    <w:pPr>
      <w:widowControl w:val="false"/>
      <w:suppressAutoHyphens w:val="true"/>
      <w:spacing w:before="0" w:after="120"/>
    </w:pPr>
    <w:rPr>
      <w:rFonts w:eastAsia="Arial Unicode MS"/>
      <w:kern w:val="2"/>
      <w:sz w:val="24"/>
      <w:lang w:val="uk-UA"/>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paragraph" w:styleId="Style21">
    <w:name w:val="Header"/>
    <w:basedOn w:val="Normal"/>
    <w:link w:val="a4"/>
    <w:rsid w:val="00116874"/>
    <w:pPr>
      <w:tabs>
        <w:tab w:val="center" w:pos="4819" w:leader="none"/>
        <w:tab w:val="right" w:pos="9639" w:leader="none"/>
      </w:tabs>
    </w:pPr>
    <w:rPr/>
  </w:style>
  <w:style w:type="paragraph" w:styleId="Style22" w:customStyle="1">
    <w:name w:val="Содержимое таблицы"/>
    <w:basedOn w:val="Normal"/>
    <w:qFormat/>
    <w:rsid w:val="0052329d"/>
    <w:pPr>
      <w:widowControl w:val="false"/>
      <w:suppressLineNumbers/>
      <w:suppressAutoHyphens w:val="true"/>
    </w:pPr>
    <w:rPr>
      <w:rFonts w:eastAsia="Arial Unicode MS"/>
      <w:kern w:val="2"/>
      <w:sz w:val="24"/>
      <w:lang w:val="uk-UA"/>
    </w:rPr>
  </w:style>
  <w:style w:type="paragraph" w:styleId="Style23" w:customStyle="1">
    <w:name w:val="Текст у вказаному форматі"/>
    <w:basedOn w:val="Normal"/>
    <w:qFormat/>
    <w:rsid w:val="0052329d"/>
    <w:pPr>
      <w:widowControl w:val="false"/>
      <w:suppressAutoHyphens w:val="true"/>
    </w:pPr>
    <w:rPr>
      <w:rFonts w:ascii="Courier New" w:hAnsi="Courier New" w:eastAsia="Courier New" w:cs="Courier New"/>
      <w:kern w:val="2"/>
      <w:sz w:val="20"/>
      <w:szCs w:val="20"/>
      <w:lang w:val="uk-UA"/>
    </w:rPr>
  </w:style>
  <w:style w:type="paragraph" w:styleId="NoSpacing">
    <w:name w:val="No Spacing"/>
    <w:uiPriority w:val="1"/>
    <w:qFormat/>
    <w:rsid w:val="0052329d"/>
    <w:pPr>
      <w:widowControl/>
      <w:bidi w:val="0"/>
      <w:jc w:val="left"/>
    </w:pPr>
    <w:rPr>
      <w:rFonts w:ascii="Times New Roman" w:hAnsi="Times New Roman" w:eastAsia="Times New Roman" w:cs="Times New Roman"/>
      <w:color w:val="auto"/>
      <w:kern w:val="0"/>
      <w:sz w:val="28"/>
      <w:szCs w:val="24"/>
      <w:lang w:val="ru-RU" w:eastAsia="ru-RU" w:bidi="ar-SA"/>
    </w:rPr>
  </w:style>
  <w:style w:type="paragraph" w:styleId="Style24">
    <w:name w:val="Вміст рам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683EC-906A-4922-8357-44875DE20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Application>LibreOffice/6.1.0.3$Windows_x86 LibreOffice_project/efb621ed25068d70781dc026f7e9c5187a4decd1</Application>
  <Pages>6</Pages>
  <Words>1841</Words>
  <Characters>12240</Characters>
  <CharactersWithSpaces>14123</CharactersWithSpaces>
  <Paragraphs>50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2020-09-21T13:12:00Z</dcterms:created>
  <dc:creator>barska</dc:creator>
  <dc:description/>
  <dc:language>uk-UA</dc:language>
  <cp:lastModifiedBy/>
  <cp:lastPrinted>2020-09-22T07:05:00Z</cp:lastPrinted>
  <dcterms:modified xsi:type="dcterms:W3CDTF">2020-09-23T10:45:50Z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