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18E" w:rsidRPr="00907B18" w:rsidRDefault="0078318E" w:rsidP="00AB44BA">
      <w:pPr>
        <w:tabs>
          <w:tab w:val="left" w:pos="5812"/>
        </w:tabs>
        <w:suppressAutoHyphens/>
        <w:spacing w:after="0" w:line="240" w:lineRule="auto"/>
        <w:ind w:left="5245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907B1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Додаток </w:t>
      </w:r>
    </w:p>
    <w:p w:rsidR="0078318E" w:rsidRPr="00907B18" w:rsidRDefault="000E7D55" w:rsidP="00AB44BA">
      <w:pPr>
        <w:suppressAutoHyphens/>
        <w:spacing w:after="0" w:line="240" w:lineRule="auto"/>
        <w:ind w:left="5245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до рішення</w:t>
      </w:r>
      <w:r w:rsidR="0078318E" w:rsidRPr="00907B1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міської ради</w:t>
      </w:r>
    </w:p>
    <w:p w:rsidR="0078318E" w:rsidRPr="00907B18" w:rsidRDefault="0078318E" w:rsidP="00AB44BA">
      <w:pPr>
        <w:suppressAutoHyphens/>
        <w:spacing w:after="0" w:line="240" w:lineRule="auto"/>
        <w:ind w:left="5245"/>
        <w:jc w:val="both"/>
        <w:textAlignment w:val="top"/>
        <w:rPr>
          <w:rFonts w:ascii="Times New Roman" w:eastAsia="Times New Roman" w:hAnsi="Times New Roman" w:cs="Times New Roman"/>
          <w:bCs/>
          <w:sz w:val="16"/>
          <w:szCs w:val="16"/>
          <w:lang w:val="uk-UA" w:eastAsia="zh-CN"/>
        </w:rPr>
      </w:pPr>
      <w:r w:rsidRPr="00907B18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_____________№_____</w:t>
      </w:r>
    </w:p>
    <w:p w:rsidR="0078318E" w:rsidRPr="00907B18" w:rsidRDefault="0078318E" w:rsidP="004C13A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4C13A0" w:rsidRPr="00907B18" w:rsidRDefault="00C53F07" w:rsidP="00907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907B18">
        <w:rPr>
          <w:rFonts w:ascii="Times New Roman" w:hAnsi="Times New Roman" w:cs="Times New Roman"/>
          <w:b/>
          <w:sz w:val="28"/>
          <w:szCs w:val="24"/>
          <w:lang w:val="uk-UA"/>
        </w:rPr>
        <w:t>ПРОГРАМА</w:t>
      </w:r>
    </w:p>
    <w:p w:rsidR="004C13A0" w:rsidRPr="00907B18" w:rsidRDefault="004C13A0" w:rsidP="00907B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підтримки та розвитку </w:t>
      </w:r>
      <w:r w:rsidR="003306BB" w:rsidRPr="00907B18">
        <w:rPr>
          <w:rFonts w:ascii="Times New Roman" w:hAnsi="Times New Roman" w:cs="Times New Roman"/>
          <w:b/>
          <w:sz w:val="28"/>
          <w:szCs w:val="24"/>
          <w:lang w:val="uk-UA"/>
        </w:rPr>
        <w:t>громадських організацій соціального спрямування</w:t>
      </w:r>
      <w:r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="002B3F5F" w:rsidRPr="00907B18">
        <w:rPr>
          <w:rFonts w:ascii="Times New Roman" w:hAnsi="Times New Roman" w:cs="Times New Roman"/>
          <w:b/>
          <w:sz w:val="28"/>
          <w:szCs w:val="24"/>
          <w:lang w:val="uk-UA"/>
        </w:rPr>
        <w:t>на 202</w:t>
      </w:r>
      <w:r w:rsidR="00606A72" w:rsidRPr="00907B18">
        <w:rPr>
          <w:rFonts w:ascii="Times New Roman" w:hAnsi="Times New Roman" w:cs="Times New Roman"/>
          <w:b/>
          <w:sz w:val="28"/>
          <w:szCs w:val="24"/>
          <w:lang w:val="uk-UA"/>
        </w:rPr>
        <w:t>1-2025</w:t>
      </w:r>
      <w:r w:rsidR="00D33312"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 роки</w:t>
      </w:r>
    </w:p>
    <w:p w:rsidR="00597EB3" w:rsidRPr="00907B18" w:rsidRDefault="00597EB3" w:rsidP="000E7D5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3312" w:rsidRPr="00907B18" w:rsidRDefault="00D33312" w:rsidP="00D3331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sz w:val="28"/>
          <w:szCs w:val="28"/>
          <w:lang w:val="uk-UA"/>
        </w:rPr>
        <w:t>ПАСПОРТ ПРОГРАМИ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533"/>
        <w:gridCol w:w="5103"/>
      </w:tblGrid>
      <w:tr w:rsidR="00D33312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CC3D59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міська рада</w:t>
            </w:r>
          </w:p>
        </w:tc>
      </w:tr>
      <w:tr w:rsidR="00D33312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8E66EC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D33312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CD3574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</w:tr>
      <w:tr w:rsidR="00D4477A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A" w:rsidRPr="00907B18" w:rsidRDefault="00D4477A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A" w:rsidRPr="00907B18" w:rsidRDefault="00D4477A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7A" w:rsidRPr="00907B18" w:rsidRDefault="00D4477A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</w:t>
            </w:r>
          </w:p>
        </w:tc>
      </w:tr>
      <w:tr w:rsidR="00D33312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</w:tr>
      <w:tr w:rsidR="00D33312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783DEF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D33312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освіти,</w:t>
            </w:r>
            <w:r w:rsidR="003306B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департамент сім’ї, молоді та спорту</w:t>
            </w:r>
            <w:r w:rsidR="005579A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громадські організації</w:t>
            </w:r>
          </w:p>
        </w:tc>
      </w:tr>
      <w:tr w:rsidR="00D33312" w:rsidRPr="00907B18" w:rsidTr="00DF2A81">
        <w:trPr>
          <w:trHeight w:val="7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606A72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D33312" w:rsidRPr="00907B18" w:rsidTr="00DF2A81">
        <w:trPr>
          <w:trHeight w:val="1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8157B9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511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</w:t>
            </w:r>
            <w:r w:rsidR="00DF2A81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хідних для реалізації Програми, 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07" w:rsidRPr="00907B18" w:rsidRDefault="00C53F07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33312" w:rsidRPr="00907B18" w:rsidRDefault="00951165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8 875,0</w:t>
            </w: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тис. грн</w:t>
            </w:r>
          </w:p>
        </w:tc>
      </w:tr>
      <w:tr w:rsidR="00D33312" w:rsidRPr="00907B18" w:rsidTr="009978F2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у тому числі: </w:t>
            </w:r>
          </w:p>
        </w:tc>
      </w:tr>
      <w:tr w:rsidR="00D33312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D33312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3306BB" w:rsidP="009978F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</w:t>
            </w:r>
            <w:r w:rsidR="005579A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78F2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312" w:rsidRPr="00907B18" w:rsidRDefault="00951165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8 875,0</w:t>
            </w: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тис. грн</w:t>
            </w:r>
          </w:p>
        </w:tc>
      </w:tr>
      <w:tr w:rsidR="00B337BF" w:rsidRPr="00907B18" w:rsidTr="00DF2A8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BF" w:rsidRPr="00907B18" w:rsidRDefault="00B337BF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7.2.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BF" w:rsidRPr="00907B18" w:rsidRDefault="00B337BF" w:rsidP="009978F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з інших джерел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BF" w:rsidRPr="00907B18" w:rsidRDefault="00B337BF" w:rsidP="009978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D33312" w:rsidRPr="00907B18" w:rsidRDefault="00D33312" w:rsidP="00D333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78F2" w:rsidRPr="00907B18" w:rsidRDefault="009978F2" w:rsidP="00D333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1C94" w:rsidRPr="00907B18" w:rsidRDefault="00D01C94" w:rsidP="00D3331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312" w:rsidRPr="00907B18" w:rsidRDefault="00D33312" w:rsidP="00907B18">
      <w:pPr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ВИЗНАЧЕННЯ ПРОБЛЕМ, НА РОЗВ’ЯЗАННЯ ЯКИХ СПРЯМОВАНА ПРОГРАМА</w:t>
      </w:r>
    </w:p>
    <w:p w:rsidR="00E0133C" w:rsidRPr="00907B18" w:rsidRDefault="00E0133C" w:rsidP="00907B18">
      <w:pPr>
        <w:autoSpaceDE w:val="0"/>
        <w:autoSpaceDN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669CE" w:rsidRPr="00907B18" w:rsidRDefault="00F669CE" w:rsidP="00907B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Становлення України, як демократичної т</w:t>
      </w:r>
      <w:r w:rsidR="00E0133C" w:rsidRPr="00907B18">
        <w:rPr>
          <w:rFonts w:ascii="Times New Roman" w:hAnsi="Times New Roman" w:cs="Times New Roman"/>
          <w:sz w:val="28"/>
          <w:szCs w:val="28"/>
          <w:lang w:val="uk-UA"/>
        </w:rPr>
        <w:t>а соціальної держави, тісно пов’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язане з розвитком громадського сектора. Дедалі більшою стає роль громадських організацій у таких сферах життя суспільства,</w:t>
      </w:r>
      <w:r w:rsidR="00F2262B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F2262B"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захист прав людини та громадянина, представлення інтересів різних груп громадян, надання </w:t>
      </w:r>
      <w:r w:rsidR="009165AD"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соціаль</w:t>
      </w:r>
      <w:r w:rsid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них послуг, волонтерська діяльні</w:t>
      </w:r>
      <w:r w:rsidR="009165AD"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сть, реалізація освітніх і культурних проє</w:t>
      </w:r>
      <w:r w:rsidR="004356AE"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ктів, благодійництво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тощо. Активізуючи громадян і залучаючи їх до участі</w:t>
      </w:r>
      <w:r w:rsidR="004356AE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у суспільному житті, неурядові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наближують втілення ідеї громадянського суспільства.</w:t>
      </w:r>
    </w:p>
    <w:p w:rsidR="00F669CE" w:rsidRPr="00907B18" w:rsidRDefault="003F721B" w:rsidP="00907B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Головним призначенням громадських організацій у суспільстві є узгодження різноманітних особистих інтересів та вимог окремих громадян із інтересами та завданнями соціальних груп, на основі чого й реалізується загальновизнана мета діяльності будь-якої організації. Громадська організація виробляє механізм, що відповідає людсь</w:t>
      </w:r>
      <w:r w:rsidR="00E0133C" w:rsidRPr="00907B18">
        <w:rPr>
          <w:rFonts w:ascii="Times New Roman" w:hAnsi="Times New Roman" w:cs="Times New Roman"/>
          <w:sz w:val="28"/>
          <w:szCs w:val="28"/>
          <w:lang w:val="uk-UA"/>
        </w:rPr>
        <w:t>ким потребам та забезпечує розв’</w:t>
      </w:r>
      <w:r w:rsidR="00AB44BA">
        <w:rPr>
          <w:rFonts w:ascii="Times New Roman" w:hAnsi="Times New Roman" w:cs="Times New Roman"/>
          <w:sz w:val="28"/>
          <w:szCs w:val="28"/>
          <w:lang w:val="uk-UA"/>
        </w:rPr>
        <w:t xml:space="preserve">язання життєво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важливих суспільних проблем і, таким чином, стає</w:t>
      </w:r>
      <w:r w:rsidR="009E3EFD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засобом реального покращення життя людей і захисту інтересів різних соціальних верств населення.</w:t>
      </w:r>
    </w:p>
    <w:p w:rsidR="00F8335B" w:rsidRPr="00907B18" w:rsidRDefault="00E0133C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Одним з об</w:t>
      </w:r>
      <w:r w:rsidR="00750753" w:rsidRPr="00907B1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8335B" w:rsidRPr="00907B18">
        <w:rPr>
          <w:rFonts w:ascii="Times New Roman" w:hAnsi="Times New Roman" w:cs="Times New Roman"/>
          <w:sz w:val="28"/>
          <w:szCs w:val="28"/>
          <w:lang w:val="uk-UA"/>
        </w:rPr>
        <w:t>єктів роботи громадських організацій соціального спрямування виступає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сім’</w:t>
      </w:r>
      <w:r w:rsidR="00F8335B" w:rsidRPr="00907B18">
        <w:rPr>
          <w:rFonts w:ascii="Times New Roman" w:hAnsi="Times New Roman" w:cs="Times New Roman"/>
          <w:sz w:val="28"/>
          <w:szCs w:val="28"/>
          <w:lang w:val="uk-UA"/>
        </w:rPr>
        <w:t>я, різні категорії дітей та молоді, які за особливостями своєї життєдіяльності потребують соціальної підтримки, допомоги й реабілітації. Це сім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’ї,</w:t>
      </w:r>
      <w:r w:rsidR="00F8335B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які опинились в складних життєвих обставинах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0753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багатодітні</w:t>
      </w:r>
      <w:r w:rsidR="00A91BBF" w:rsidRPr="00907B18">
        <w:rPr>
          <w:rFonts w:ascii="Times New Roman" w:hAnsi="Times New Roman" w:cs="Times New Roman"/>
          <w:sz w:val="28"/>
          <w:szCs w:val="28"/>
          <w:lang w:val="uk-UA"/>
        </w:rPr>
        <w:t>, сім’</w:t>
      </w:r>
      <w:r w:rsidR="00F8335B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ї неповнолітніх </w:t>
      </w:r>
      <w:r w:rsidR="002E48D8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та одиноких </w:t>
      </w:r>
      <w:r w:rsidR="00F8335B" w:rsidRPr="00907B18">
        <w:rPr>
          <w:rFonts w:ascii="Times New Roman" w:hAnsi="Times New Roman" w:cs="Times New Roman"/>
          <w:sz w:val="28"/>
          <w:szCs w:val="28"/>
          <w:lang w:val="uk-UA"/>
        </w:rPr>
        <w:t>матерів</w:t>
      </w:r>
      <w:r w:rsidR="00750753" w:rsidRPr="00907B18">
        <w:rPr>
          <w:rFonts w:ascii="Times New Roman" w:hAnsi="Times New Roman" w:cs="Times New Roman"/>
          <w:sz w:val="28"/>
          <w:szCs w:val="28"/>
          <w:lang w:val="uk-UA"/>
        </w:rPr>
        <w:t>, сім’ї, які виховують дітей та молодь з інвалідністю</w:t>
      </w:r>
      <w:r w:rsidR="00F8335B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3B32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48D8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Упродовж останніх років у місті Луцьку </w:t>
      </w:r>
      <w:r w:rsidR="00750753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особливо </w:t>
      </w:r>
      <w:r w:rsidR="002E48D8" w:rsidRPr="00907B18">
        <w:rPr>
          <w:rFonts w:ascii="Times New Roman" w:hAnsi="Times New Roman" w:cs="Times New Roman"/>
          <w:sz w:val="28"/>
          <w:szCs w:val="28"/>
          <w:lang w:val="uk-UA"/>
        </w:rPr>
        <w:t>активізована робота громадськими організаціями, які опікуються питаннями дітей та молоді</w:t>
      </w:r>
      <w:r w:rsidR="00750753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з інвалідністю.</w:t>
      </w:r>
    </w:p>
    <w:p w:rsidR="00A51805" w:rsidRPr="00907B18" w:rsidRDefault="00E0133C" w:rsidP="00907B1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7B18">
        <w:rPr>
          <w:color w:val="000000"/>
          <w:sz w:val="28"/>
          <w:szCs w:val="28"/>
        </w:rPr>
        <w:t>Динаміка розвитку громадських організацій соціального спрямування</w:t>
      </w:r>
      <w:r w:rsidR="006F72E4" w:rsidRPr="00907B18">
        <w:rPr>
          <w:color w:val="000000"/>
          <w:sz w:val="28"/>
          <w:szCs w:val="28"/>
        </w:rPr>
        <w:t xml:space="preserve"> в Луцькій міській</w:t>
      </w:r>
      <w:r w:rsidR="00F52AEE" w:rsidRPr="00907B18">
        <w:rPr>
          <w:color w:val="000000"/>
          <w:sz w:val="28"/>
          <w:szCs w:val="28"/>
        </w:rPr>
        <w:t xml:space="preserve"> територіальній громаді характеризується переважно позитивними тенденціями. Разом з тим, аналіз цього процесу свідчить про </w:t>
      </w:r>
      <w:r w:rsidRPr="00907B18">
        <w:rPr>
          <w:color w:val="000000"/>
          <w:sz w:val="28"/>
          <w:szCs w:val="28"/>
        </w:rPr>
        <w:t>наявність комплексу проблем</w:t>
      </w:r>
      <w:r w:rsidR="00F52AEE" w:rsidRPr="00907B18">
        <w:rPr>
          <w:color w:val="000000"/>
          <w:sz w:val="28"/>
          <w:szCs w:val="28"/>
        </w:rPr>
        <w:t>. Взаємодія органів місцевого самоврядування з громадськістю залишається малоефективною через низький рівень взаємної довіри.</w:t>
      </w:r>
      <w:r w:rsidRPr="00907B18">
        <w:rPr>
          <w:color w:val="000000"/>
          <w:sz w:val="28"/>
          <w:szCs w:val="28"/>
        </w:rPr>
        <w:t xml:space="preserve"> Г</w:t>
      </w:r>
      <w:r w:rsidR="00065422" w:rsidRPr="00907B18">
        <w:rPr>
          <w:color w:val="000000"/>
          <w:sz w:val="28"/>
          <w:szCs w:val="28"/>
        </w:rPr>
        <w:t>острою проблемою для Луцької міської територіальної громади</w:t>
      </w:r>
      <w:r w:rsidR="00F52AEE" w:rsidRPr="00907B18">
        <w:rPr>
          <w:color w:val="000000"/>
          <w:sz w:val="28"/>
          <w:szCs w:val="28"/>
        </w:rPr>
        <w:t xml:space="preserve"> залишається значна кількість громадських організацій соціального спрямування, які офіційно зареєстровані, проте тимчасово не ведуть публічної діяльності. Низький рівень їх активності спричинений не тільки внутрішніми чинниками, а й недостатніми умо</w:t>
      </w:r>
      <w:r w:rsidR="00A91BBF" w:rsidRPr="00907B18">
        <w:rPr>
          <w:color w:val="000000"/>
          <w:sz w:val="28"/>
          <w:szCs w:val="28"/>
        </w:rPr>
        <w:t>вами для повноцінної діяльності. Ф</w:t>
      </w:r>
      <w:r w:rsidR="00A91BBF" w:rsidRPr="00907B18">
        <w:rPr>
          <w:sz w:val="28"/>
          <w:szCs w:val="28"/>
        </w:rPr>
        <w:t>ундаментальною проблемою залишається низька фінансова самодостатність громадських організацій соціального спрямування, оскільки вони є неприбутковими.</w:t>
      </w:r>
    </w:p>
    <w:p w:rsidR="003013F8" w:rsidRPr="00907B18" w:rsidRDefault="003013F8" w:rsidP="00AB44BA">
      <w:pPr>
        <w:pStyle w:val="a7"/>
        <w:tabs>
          <w:tab w:val="left" w:pos="993"/>
        </w:tabs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07B18">
        <w:rPr>
          <w:color w:val="000000"/>
          <w:sz w:val="28"/>
          <w:szCs w:val="28"/>
        </w:rPr>
        <w:t>Такий стан справ призвів до того, що:</w:t>
      </w:r>
    </w:p>
    <w:p w:rsidR="003013F8" w:rsidRPr="00907B18" w:rsidRDefault="003013F8" w:rsidP="00AB44BA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907B18">
        <w:rPr>
          <w:color w:val="000000"/>
          <w:sz w:val="28"/>
          <w:szCs w:val="28"/>
        </w:rPr>
        <w:t>недостатньою є практика залучення громадськості до фо</w:t>
      </w:r>
      <w:r w:rsidR="00A91BBF" w:rsidRPr="00907B18">
        <w:rPr>
          <w:color w:val="000000"/>
          <w:sz w:val="28"/>
          <w:szCs w:val="28"/>
        </w:rPr>
        <w:t>рмування та реалізації місцевої соціальної</w:t>
      </w:r>
      <w:r w:rsidRPr="00907B18">
        <w:rPr>
          <w:color w:val="000000"/>
          <w:sz w:val="28"/>
          <w:szCs w:val="28"/>
        </w:rPr>
        <w:t xml:space="preserve"> політики і вирішення </w:t>
      </w:r>
      <w:r w:rsidR="00A91BBF" w:rsidRPr="00907B18">
        <w:rPr>
          <w:color w:val="000000"/>
          <w:sz w:val="28"/>
          <w:szCs w:val="28"/>
        </w:rPr>
        <w:t xml:space="preserve">соціальних </w:t>
      </w:r>
      <w:r w:rsidRPr="00907B18">
        <w:rPr>
          <w:color w:val="000000"/>
          <w:sz w:val="28"/>
          <w:szCs w:val="28"/>
        </w:rPr>
        <w:t>питань місцевого значення;</w:t>
      </w:r>
    </w:p>
    <w:p w:rsidR="00A91BBF" w:rsidRPr="00907B18" w:rsidRDefault="00A91BBF" w:rsidP="00AB44BA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907B18">
        <w:rPr>
          <w:color w:val="000000"/>
          <w:sz w:val="28"/>
          <w:szCs w:val="28"/>
        </w:rPr>
        <w:lastRenderedPageBreak/>
        <w:t>потенціал громадських організацій соціального спрямування</w:t>
      </w:r>
      <w:r w:rsidR="003013F8" w:rsidRPr="00907B18">
        <w:rPr>
          <w:color w:val="000000"/>
          <w:sz w:val="28"/>
          <w:szCs w:val="28"/>
        </w:rPr>
        <w:t xml:space="preserve"> </w:t>
      </w:r>
      <w:r w:rsidRPr="00907B18">
        <w:rPr>
          <w:color w:val="000000"/>
          <w:sz w:val="28"/>
          <w:szCs w:val="28"/>
        </w:rPr>
        <w:t>майже не</w:t>
      </w:r>
      <w:r w:rsidR="003013F8" w:rsidRPr="00907B18">
        <w:rPr>
          <w:color w:val="000000"/>
          <w:sz w:val="28"/>
          <w:szCs w:val="28"/>
        </w:rPr>
        <w:t xml:space="preserve"> використовуєт</w:t>
      </w:r>
      <w:r w:rsidRPr="00907B18">
        <w:rPr>
          <w:color w:val="000000"/>
          <w:sz w:val="28"/>
          <w:szCs w:val="28"/>
        </w:rPr>
        <w:t>ься</w:t>
      </w:r>
      <w:r w:rsidR="003013F8" w:rsidRPr="00907B18">
        <w:rPr>
          <w:color w:val="000000"/>
          <w:sz w:val="28"/>
          <w:szCs w:val="28"/>
        </w:rPr>
        <w:t xml:space="preserve"> для надання соціальних та інших суспільно значущих послуг;</w:t>
      </w:r>
    </w:p>
    <w:p w:rsidR="003013F8" w:rsidRPr="00907B18" w:rsidRDefault="00442DDE" w:rsidP="00AB44BA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907B18">
        <w:rPr>
          <w:color w:val="000000"/>
          <w:sz w:val="28"/>
          <w:szCs w:val="28"/>
        </w:rPr>
        <w:t>рівень практичного залучення громадян у діяльність громадських організацій</w:t>
      </w:r>
      <w:r w:rsidR="000770CF" w:rsidRPr="00907B18">
        <w:rPr>
          <w:color w:val="000000"/>
          <w:sz w:val="28"/>
          <w:szCs w:val="28"/>
        </w:rPr>
        <w:t xml:space="preserve"> соціального спрямування досі є не</w:t>
      </w:r>
      <w:r w:rsidRPr="00907B18">
        <w:rPr>
          <w:color w:val="000000"/>
          <w:sz w:val="28"/>
          <w:szCs w:val="28"/>
        </w:rPr>
        <w:t xml:space="preserve"> високим, що можна пояснити недостатнім розумінням переваг громадської діяльності, незнанням форм можливої співпраці з вже існуючими організаціями, процедур створення нових організацій;</w:t>
      </w:r>
    </w:p>
    <w:p w:rsidR="009E13F8" w:rsidRPr="00907B18" w:rsidRDefault="009E13F8" w:rsidP="00AB44BA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907B18">
        <w:rPr>
          <w:color w:val="000000"/>
          <w:sz w:val="28"/>
          <w:szCs w:val="28"/>
        </w:rPr>
        <w:t>проблемним питанням залишається і низький рівень інституційного розвитку громадських організацій, відсутність стабільного залучення професійних кадрів та фінансових і матеріальних ресурсів, дієвих практик партнерства з органами місцевого самоврядування.</w:t>
      </w:r>
    </w:p>
    <w:p w:rsidR="00E5634B" w:rsidRPr="00907B18" w:rsidRDefault="00E5634B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Розроблення та прийняття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Програми підтримки та розвитку громадських організацій со</w:t>
      </w:r>
      <w:r w:rsidR="00AB44BA">
        <w:rPr>
          <w:rFonts w:ascii="Times New Roman" w:hAnsi="Times New Roman" w:cs="Times New Roman"/>
          <w:sz w:val="28"/>
          <w:szCs w:val="28"/>
          <w:lang w:val="uk-UA"/>
        </w:rPr>
        <w:t>ціального спрямування на 2021–</w:t>
      </w:r>
      <w:r w:rsidR="006F72E4" w:rsidRPr="00907B18">
        <w:rPr>
          <w:rFonts w:ascii="Times New Roman" w:hAnsi="Times New Roman" w:cs="Times New Roman"/>
          <w:sz w:val="28"/>
          <w:szCs w:val="28"/>
          <w:lang w:val="uk-UA"/>
        </w:rPr>
        <w:t>2025 роки спрямовано</w:t>
      </w:r>
      <w:r w:rsidR="00631793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9B531B" w:rsidRPr="00907B18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631793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ефективного механізму налагодження комунікацій та створення сприятливих умов для розвитку громадянського суспільства, а саме: впровадження соціального партнерства між </w:t>
      </w:r>
      <w:r w:rsidR="006F72E4" w:rsidRPr="00907B18">
        <w:rPr>
          <w:rFonts w:ascii="Times New Roman" w:hAnsi="Times New Roman" w:cs="Times New Roman"/>
          <w:sz w:val="28"/>
          <w:szCs w:val="28"/>
          <w:lang w:val="uk-UA"/>
        </w:rPr>
        <w:t>Луцькою міською радою</w:t>
      </w:r>
      <w:r w:rsidR="00BA1CB6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та громадою через інститути громадянського суспільства</w:t>
      </w:r>
      <w:r w:rsidR="00DD2205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спрямування.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Співробітництво органу місцевого самоврядування з такими організаціями може стати важливим фактором підвищення ефективності використання коштів, покращення якості надання послуг, дасть можливість залучати додаткові ресурси для реалізації різноманітних програм, а тако</w:t>
      </w:r>
      <w:r w:rsidR="006F72E4" w:rsidRPr="00907B18">
        <w:rPr>
          <w:rFonts w:ascii="Times New Roman" w:hAnsi="Times New Roman" w:cs="Times New Roman"/>
          <w:sz w:val="28"/>
          <w:szCs w:val="28"/>
          <w:lang w:val="uk-UA"/>
        </w:rPr>
        <w:t>ж заощаджувати кошти Луцької міської територіальної громади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6614" w:rsidRPr="00907B18" w:rsidRDefault="00646614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58"/>
      <w:bookmarkStart w:id="1" w:name="59"/>
      <w:bookmarkStart w:id="2" w:name="60"/>
      <w:bookmarkEnd w:id="0"/>
      <w:bookmarkEnd w:id="1"/>
      <w:bookmarkEnd w:id="2"/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цієї Програми обумовлена зростанням ролі інститутів громадянського суспільства у місцевому самоврядуванні, </w:t>
      </w:r>
      <w:r w:rsidR="00406281" w:rsidRPr="00907B18">
        <w:rPr>
          <w:rFonts w:ascii="Times New Roman" w:hAnsi="Times New Roman" w:cs="Times New Roman"/>
          <w:sz w:val="28"/>
          <w:szCs w:val="28"/>
          <w:lang w:val="uk-UA"/>
        </w:rPr>
        <w:t>у наданні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соціальн</w:t>
      </w:r>
      <w:r w:rsidR="00065422" w:rsidRPr="00907B18">
        <w:rPr>
          <w:rFonts w:ascii="Times New Roman" w:hAnsi="Times New Roman" w:cs="Times New Roman"/>
          <w:sz w:val="28"/>
          <w:szCs w:val="28"/>
          <w:lang w:val="uk-UA"/>
        </w:rPr>
        <w:t>их послуг мешканцям Луцької міської територіальної громади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, необхідністю надання громаді тих соціальних послуг, які вона найбільше потребує, вдосконаленням системи забезпечення їх діяльності, встановле</w:t>
      </w:r>
      <w:r w:rsidR="006F72E4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нням партнерських відносин між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владою і громадськ</w:t>
      </w:r>
      <w:r w:rsidR="00B47D20" w:rsidRPr="00907B18">
        <w:rPr>
          <w:rFonts w:ascii="Times New Roman" w:hAnsi="Times New Roman" w:cs="Times New Roman"/>
          <w:sz w:val="28"/>
          <w:szCs w:val="28"/>
          <w:lang w:val="uk-UA"/>
        </w:rPr>
        <w:t>ими організаціями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, підвищенням їх ролі та авторитету щодо у</w:t>
      </w:r>
      <w:r w:rsidR="00B47D20" w:rsidRPr="00907B18">
        <w:rPr>
          <w:rFonts w:ascii="Times New Roman" w:hAnsi="Times New Roman" w:cs="Times New Roman"/>
          <w:sz w:val="28"/>
          <w:szCs w:val="28"/>
          <w:lang w:val="uk-UA"/>
        </w:rPr>
        <w:t>часті у громадському житті громади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2855" w:rsidRDefault="00C53F07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З огл</w:t>
      </w:r>
      <w:r w:rsidR="006F72E4" w:rsidRPr="00907B18">
        <w:rPr>
          <w:rFonts w:ascii="Times New Roman" w:hAnsi="Times New Roman" w:cs="Times New Roman"/>
          <w:sz w:val="28"/>
          <w:szCs w:val="28"/>
          <w:lang w:val="uk-UA"/>
        </w:rPr>
        <w:t>яду на вищевказане, існує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потреба у розроблені, затвердженні</w:t>
      </w:r>
      <w:r w:rsidR="004343A2">
        <w:rPr>
          <w:rFonts w:ascii="Times New Roman" w:hAnsi="Times New Roman" w:cs="Times New Roman"/>
          <w:sz w:val="28"/>
          <w:szCs w:val="28"/>
          <w:lang w:val="uk-UA"/>
        </w:rPr>
        <w:t xml:space="preserve"> та виконанні протягом 2021–</w:t>
      </w:r>
      <w:r w:rsidR="006F72E4" w:rsidRPr="00907B18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4A0061" w:rsidRPr="00907B18">
        <w:rPr>
          <w:rFonts w:ascii="Times New Roman" w:hAnsi="Times New Roman" w:cs="Times New Roman"/>
          <w:sz w:val="28"/>
          <w:szCs w:val="24"/>
          <w:lang w:val="uk-UA"/>
        </w:rPr>
        <w:t>підтримки та розвитку громадсь</w:t>
      </w:r>
      <w:r w:rsidR="00B47D20" w:rsidRPr="00907B18">
        <w:rPr>
          <w:rFonts w:ascii="Times New Roman" w:hAnsi="Times New Roman" w:cs="Times New Roman"/>
          <w:sz w:val="28"/>
          <w:szCs w:val="24"/>
          <w:lang w:val="uk-UA"/>
        </w:rPr>
        <w:t>ких організацій соціального спрямування</w:t>
      </w:r>
      <w:r w:rsidR="00406281" w:rsidRPr="00907B18">
        <w:rPr>
          <w:rFonts w:ascii="Times New Roman" w:hAnsi="Times New Roman" w:cs="Times New Roman"/>
          <w:sz w:val="28"/>
          <w:szCs w:val="24"/>
          <w:lang w:val="uk-UA"/>
        </w:rPr>
        <w:t>.</w:t>
      </w:r>
    </w:p>
    <w:p w:rsidR="00AB44BA" w:rsidRPr="00907B18" w:rsidRDefault="00AB44BA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CB112B" w:rsidRPr="00907B18" w:rsidRDefault="00CB112B" w:rsidP="00AB44BA">
      <w:pPr>
        <w:pStyle w:val="a4"/>
        <w:numPr>
          <w:ilvl w:val="0"/>
          <w:numId w:val="2"/>
        </w:numPr>
        <w:autoSpaceDE w:val="0"/>
        <w:autoSpaceDN w:val="0"/>
        <w:spacing w:after="0" w:line="240" w:lineRule="auto"/>
        <w:ind w:left="0" w:firstLine="5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ПРОГРАМИ</w:t>
      </w:r>
    </w:p>
    <w:p w:rsidR="00983FF4" w:rsidRPr="00907B18" w:rsidRDefault="00983FF4" w:rsidP="00907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uk-UA"/>
        </w:rPr>
      </w:pPr>
    </w:p>
    <w:p w:rsidR="00406281" w:rsidRPr="00907B18" w:rsidRDefault="00D54DE2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Мета П</w:t>
      </w:r>
      <w:r w:rsidR="00983FF4"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рограми </w:t>
      </w:r>
      <w:r w:rsidR="00AB44B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створення сприятливих передумов для розвитку громадських організацій</w:t>
      </w:r>
      <w:r w:rsidR="00406281"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соціального спрямування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шляхом надання їм практичної, методичної і фінансової підтримки, налагодження взаємодії, соціального партнерства між органами місцевого самоврядування та громадськими організаціями по захисту прав, соціальних, економічних та інших інтересів</w:t>
      </w:r>
      <w:r w:rsidR="00406281"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сімей,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дітей та м</w:t>
      </w:r>
      <w:r w:rsidR="00406281"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олоді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406281" w:rsidRPr="00907B18" w:rsidRDefault="00406281" w:rsidP="00907B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8576D" w:rsidRPr="00907B18" w:rsidRDefault="00406281" w:rsidP="00907B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3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98576D" w:rsidRPr="00907B18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ШЛЯХІВ І ЗАСОБІВ РОЗВ’ЯЗАННЯ ПРОБЛЕМИ, ОБСЯГІВ ТА ДЖЕРЕЛ ФІНАНСУВАННЯ, ТЕРМІНИ ВИКОНАННЯ ЗАВДАНЬ, ЗАХОДІВ</w:t>
      </w:r>
    </w:p>
    <w:p w:rsidR="00406281" w:rsidRPr="00907B18" w:rsidRDefault="00406281" w:rsidP="00907B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06281" w:rsidRPr="00907B18" w:rsidRDefault="00B41E33" w:rsidP="00907B18">
      <w:pPr>
        <w:pStyle w:val="a7"/>
        <w:shd w:val="clear" w:color="auto" w:fill="FFFFFF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907B18">
        <w:rPr>
          <w:color w:val="000000" w:themeColor="text1"/>
          <w:sz w:val="28"/>
          <w:szCs w:val="28"/>
        </w:rPr>
        <w:t>Програми сп</w:t>
      </w:r>
      <w:r w:rsidR="00D54DE2" w:rsidRPr="00907B18">
        <w:rPr>
          <w:color w:val="000000" w:themeColor="text1"/>
          <w:sz w:val="28"/>
          <w:szCs w:val="28"/>
        </w:rPr>
        <w:t xml:space="preserve">рямована на </w:t>
      </w:r>
      <w:r w:rsidR="00406281" w:rsidRPr="00907B18">
        <w:rPr>
          <w:sz w:val="28"/>
          <w:szCs w:val="28"/>
        </w:rPr>
        <w:t xml:space="preserve">забезпечення ефективного механізму налагодження комунікацій та створення сприятливих </w:t>
      </w:r>
      <w:r w:rsidR="008A328E" w:rsidRPr="00907B18">
        <w:rPr>
          <w:sz w:val="28"/>
          <w:szCs w:val="28"/>
        </w:rPr>
        <w:t>умов для розвитку громад</w:t>
      </w:r>
      <w:r w:rsidR="00406281" w:rsidRPr="00907B18">
        <w:rPr>
          <w:sz w:val="28"/>
          <w:szCs w:val="28"/>
        </w:rPr>
        <w:t>ських організацій соціального спрямування. Співробітництво органу місцевого самоврядування з такими організаціями може стати важливим фактором підвищення ефективності використання коштів, покращення якості надання послуг.</w:t>
      </w:r>
    </w:p>
    <w:p w:rsidR="0098576D" w:rsidRPr="00907B18" w:rsidRDefault="00406281" w:rsidP="00907B18">
      <w:pPr>
        <w:pStyle w:val="a7"/>
        <w:shd w:val="clear" w:color="auto" w:fill="FFFFFF"/>
        <w:spacing w:before="0" w:beforeAutospacing="0" w:after="0" w:afterAutospacing="0"/>
        <w:ind w:firstLine="700"/>
        <w:jc w:val="both"/>
        <w:rPr>
          <w:spacing w:val="-4"/>
          <w:sz w:val="28"/>
          <w:szCs w:val="28"/>
        </w:rPr>
      </w:pPr>
      <w:r w:rsidRPr="00907B18">
        <w:rPr>
          <w:spacing w:val="-4"/>
          <w:sz w:val="28"/>
          <w:szCs w:val="28"/>
        </w:rPr>
        <w:t>Розв’язання проблем у</w:t>
      </w:r>
      <w:r w:rsidR="0098576D" w:rsidRPr="00907B18">
        <w:rPr>
          <w:spacing w:val="-4"/>
          <w:sz w:val="28"/>
          <w:szCs w:val="28"/>
        </w:rPr>
        <w:t xml:space="preserve"> сфері підтримки та розвитку </w:t>
      </w:r>
      <w:r w:rsidRPr="00907B18">
        <w:rPr>
          <w:spacing w:val="-4"/>
          <w:sz w:val="28"/>
          <w:szCs w:val="28"/>
        </w:rPr>
        <w:t>громадських організацій соціального спрямування</w:t>
      </w:r>
      <w:r w:rsidR="0098576D" w:rsidRPr="00907B18">
        <w:rPr>
          <w:spacing w:val="-4"/>
          <w:sz w:val="28"/>
          <w:szCs w:val="28"/>
        </w:rPr>
        <w:t xml:space="preserve"> передбачає:</w:t>
      </w:r>
    </w:p>
    <w:p w:rsidR="0098576D" w:rsidRPr="00907B18" w:rsidRDefault="0098576D" w:rsidP="00907B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-</w:t>
      </w:r>
      <w:r w:rsidR="004343A2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="00B30B5E"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посилення співпраці з інститутами громадянського суспільства у розвитку соціальної сфери</w:t>
      </w: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:rsidR="0098576D" w:rsidRPr="00907B18" w:rsidRDefault="004343A2" w:rsidP="00907B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- </w:t>
      </w:r>
      <w:r w:rsidR="00C00B0D" w:rsidRPr="00907B18">
        <w:rPr>
          <w:rFonts w:ascii="Times New Roman" w:hAnsi="Times New Roman" w:cs="Times New Roman"/>
          <w:sz w:val="28"/>
          <w:szCs w:val="28"/>
          <w:lang w:val="uk-UA"/>
        </w:rPr>
        <w:t>підтримка статутної діяльності, ініціатив та заходів громадських організацій соціального спрямування</w:t>
      </w:r>
      <w:r w:rsidR="0098576D"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:rsidR="009B7534" w:rsidRPr="00907B18" w:rsidRDefault="004343A2" w:rsidP="00907B1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BE61DE" w:rsidRPr="00907B18">
        <w:rPr>
          <w:rFonts w:ascii="Times New Roman" w:hAnsi="Times New Roman" w:cs="Times New Roman"/>
          <w:sz w:val="28"/>
          <w:szCs w:val="28"/>
          <w:lang w:val="uk-UA"/>
        </w:rPr>
        <w:t>підтримка проєктів та заходів соціального спрямування</w:t>
      </w:r>
      <w:r w:rsidR="00BE61DE"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громадських організацій, вихованцями яких є діти та молодь з інвалідністю;</w:t>
      </w:r>
    </w:p>
    <w:p w:rsidR="009B7534" w:rsidRPr="00907B18" w:rsidRDefault="004343A2" w:rsidP="00907B1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9B7534" w:rsidRPr="00907B18">
        <w:rPr>
          <w:rFonts w:ascii="Times New Roman" w:hAnsi="Times New Roman" w:cs="Times New Roman"/>
          <w:sz w:val="28"/>
          <w:szCs w:val="28"/>
          <w:lang w:val="uk-UA"/>
        </w:rPr>
        <w:t>здійснення заходів, спрямованих на зміцнення здоров’я дітей та молоді</w:t>
      </w:r>
      <w:r w:rsidR="00E37BA5" w:rsidRPr="00907B1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E61DE" w:rsidRPr="00907B18" w:rsidRDefault="004343A2" w:rsidP="00907B18">
      <w:pPr>
        <w:pStyle w:val="a4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="009B7534" w:rsidRPr="00907B18">
        <w:rPr>
          <w:rFonts w:ascii="Times New Roman" w:hAnsi="Times New Roman" w:cs="Times New Roman"/>
          <w:sz w:val="28"/>
          <w:szCs w:val="28"/>
          <w:lang w:val="uk-UA"/>
        </w:rPr>
        <w:t>посилення співпраці з громадськими організаціями щодо забезпечення захисту інституту сім’ї та пропаганди родинних цінностей</w:t>
      </w:r>
      <w:r w:rsidR="00357322" w:rsidRPr="00907B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4016" w:rsidRPr="00907B18" w:rsidRDefault="00DF4016" w:rsidP="00907B18">
      <w:pPr>
        <w:pStyle w:val="1"/>
        <w:spacing w:before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907B18">
        <w:rPr>
          <w:color w:val="000000"/>
          <w:sz w:val="28"/>
          <w:szCs w:val="28"/>
          <w:lang w:val="uk-UA"/>
        </w:rPr>
        <w:t>Фінансування заходів на виконання Програми здійснюється за рахунок коштів бюджету Луцької міської територіальної громади.</w:t>
      </w:r>
    </w:p>
    <w:p w:rsidR="00DF4016" w:rsidRPr="00907B18" w:rsidRDefault="00DF4016" w:rsidP="00907B18">
      <w:pPr>
        <w:pStyle w:val="1"/>
        <w:spacing w:before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907B18">
        <w:rPr>
          <w:color w:val="000000"/>
          <w:sz w:val="28"/>
          <w:szCs w:val="28"/>
          <w:lang w:val="uk-UA"/>
        </w:rPr>
        <w:t>Обсяги фінансових витрат, необ</w:t>
      </w:r>
      <w:r w:rsidR="000A3D63" w:rsidRPr="00907B18">
        <w:rPr>
          <w:color w:val="000000"/>
          <w:sz w:val="28"/>
          <w:szCs w:val="28"/>
          <w:lang w:val="uk-UA"/>
        </w:rPr>
        <w:t>хідних для виконання Програми в</w:t>
      </w:r>
      <w:r w:rsidR="00F1761C" w:rsidRPr="00907B18">
        <w:rPr>
          <w:color w:val="000000"/>
          <w:sz w:val="28"/>
          <w:szCs w:val="28"/>
          <w:lang w:val="uk-UA"/>
        </w:rPr>
        <w:t xml:space="preserve"> </w:t>
      </w:r>
      <w:r w:rsidRPr="00907B18">
        <w:rPr>
          <w:color w:val="000000"/>
          <w:sz w:val="28"/>
          <w:szCs w:val="28"/>
          <w:lang w:val="uk-UA"/>
        </w:rPr>
        <w:t xml:space="preserve">цілому та за роками, а також джерела фінансування </w:t>
      </w:r>
      <w:r w:rsidR="000A3D63" w:rsidRPr="00907B18">
        <w:rPr>
          <w:color w:val="000000"/>
          <w:sz w:val="28"/>
          <w:szCs w:val="28"/>
          <w:lang w:val="uk-UA"/>
        </w:rPr>
        <w:t>вказані у д</w:t>
      </w:r>
      <w:r w:rsidRPr="00907B18">
        <w:rPr>
          <w:color w:val="000000"/>
          <w:sz w:val="28"/>
          <w:szCs w:val="28"/>
          <w:lang w:val="uk-UA"/>
        </w:rPr>
        <w:t>одатку 1 до Програми.</w:t>
      </w:r>
    </w:p>
    <w:p w:rsidR="00DF4016" w:rsidRPr="00907B18" w:rsidRDefault="00357322" w:rsidP="00907B18">
      <w:pPr>
        <w:pStyle w:val="1"/>
        <w:spacing w:before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907B18">
        <w:rPr>
          <w:color w:val="000000"/>
          <w:sz w:val="28"/>
          <w:szCs w:val="28"/>
          <w:lang w:val="uk-UA"/>
        </w:rPr>
        <w:t>Програма</w:t>
      </w:r>
      <w:r w:rsidR="00DF4016" w:rsidRPr="00907B18">
        <w:rPr>
          <w:color w:val="000000"/>
          <w:sz w:val="28"/>
          <w:szCs w:val="28"/>
          <w:lang w:val="uk-UA"/>
        </w:rPr>
        <w:t xml:space="preserve"> здій</w:t>
      </w:r>
      <w:r w:rsidRPr="00907B18">
        <w:rPr>
          <w:color w:val="000000"/>
          <w:sz w:val="28"/>
          <w:szCs w:val="28"/>
          <w:lang w:val="uk-UA"/>
        </w:rPr>
        <w:t>снюватиметься протягом 2021–2025</w:t>
      </w:r>
      <w:r w:rsidR="00DF4016" w:rsidRPr="00907B18">
        <w:rPr>
          <w:color w:val="000000"/>
          <w:sz w:val="28"/>
          <w:szCs w:val="28"/>
          <w:lang w:val="uk-UA"/>
        </w:rPr>
        <w:t xml:space="preserve"> років. Коригування плану заходів Програми та термінів їх виконання здійснюватиметься за необхідністю.</w:t>
      </w:r>
    </w:p>
    <w:p w:rsidR="002540AB" w:rsidRPr="00907B18" w:rsidRDefault="002540AB" w:rsidP="0090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98576D" w:rsidRPr="00907B18" w:rsidRDefault="0098576D" w:rsidP="00907B18">
      <w:pPr>
        <w:tabs>
          <w:tab w:val="left" w:pos="4500"/>
        </w:tabs>
        <w:spacing w:line="240" w:lineRule="auto"/>
        <w:ind w:left="709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4. ПЕРЕЛІК ЗАВДАНЬ І ЗАХОДІВ ПРОГРАМИ, НАПРЯМКИ ВИКОРИСТАННЯ БЮДЖЕТНИХ КОШТІВ ТА РЕЗУЛЬТАТИВНІ ПОКАЗНИКИ </w:t>
      </w:r>
    </w:p>
    <w:p w:rsidR="0098576D" w:rsidRPr="00907B18" w:rsidRDefault="0098576D" w:rsidP="00907B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Основне завдання – реалізація системи комплексних програмних заходів з питань підтримки та розвитку громадських організацій</w:t>
      </w:r>
      <w:r w:rsidR="00E37BA5"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соціального спрямування</w:t>
      </w: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 досягнення головної мети Програми.</w:t>
      </w:r>
    </w:p>
    <w:p w:rsidR="0098576D" w:rsidRPr="00907B18" w:rsidRDefault="0098576D" w:rsidP="00907B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Завдання і заходи з виконання Програми наведені у додатку 2 до Програми.</w:t>
      </w:r>
    </w:p>
    <w:p w:rsidR="004C13A0" w:rsidRDefault="004C13A0" w:rsidP="0090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343A2" w:rsidRDefault="004343A2" w:rsidP="0090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343A2" w:rsidRDefault="004343A2" w:rsidP="0090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343A2" w:rsidRDefault="004343A2" w:rsidP="0090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343A2" w:rsidRPr="00907B18" w:rsidRDefault="004343A2" w:rsidP="00907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98576D" w:rsidRPr="00907B18" w:rsidRDefault="0098576D" w:rsidP="00907B18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5. КООРДИНАЦІЯ ТА КОНТРОЛЬ </w:t>
      </w:r>
    </w:p>
    <w:p w:rsidR="0098576D" w:rsidRPr="00907B18" w:rsidRDefault="0098576D" w:rsidP="00907B18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ХОДОМ ВИКОНАННЯ ПРОГРАМИ</w:t>
      </w:r>
    </w:p>
    <w:p w:rsidR="0098576D" w:rsidRPr="00907B18" w:rsidRDefault="0098576D" w:rsidP="00907B18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576D" w:rsidRPr="00907B18" w:rsidRDefault="0098576D" w:rsidP="00907B18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Cs/>
          <w:sz w:val="28"/>
          <w:szCs w:val="28"/>
          <w:lang w:val="uk-UA"/>
        </w:rPr>
        <w:t>Координацію за ходом виконання Програми здійснює управління соціальних служб для сім’ї, дітей та молоді.</w:t>
      </w:r>
    </w:p>
    <w:p w:rsidR="0098576D" w:rsidRPr="00907B18" w:rsidRDefault="0098576D" w:rsidP="00907B18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Cs/>
          <w:sz w:val="28"/>
          <w:szCs w:val="28"/>
          <w:lang w:val="uk-UA"/>
        </w:rPr>
        <w:t>Контроль за виконанням Програми та цільовим використанням коштів здійснює постійна комісія міської ради з питань соціального захисту, охорони здоров'я, материнства та дитинства, освіти, науки, культури, мови.</w:t>
      </w:r>
    </w:p>
    <w:p w:rsidR="0098576D" w:rsidRPr="00907B18" w:rsidRDefault="0098576D" w:rsidP="00907B18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Звіт про хід виконання Програми заслуховується на сесії міської ради щороку.</w:t>
      </w:r>
    </w:p>
    <w:p w:rsidR="0098576D" w:rsidRPr="00907B18" w:rsidRDefault="0098576D" w:rsidP="004343A2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C13A0" w:rsidRPr="00907B18" w:rsidRDefault="004C13A0" w:rsidP="004C13A0">
      <w:pPr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596F5C" w:rsidRPr="00907B18" w:rsidRDefault="00596F5C" w:rsidP="004C13A0">
      <w:pPr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596F5C" w:rsidRPr="001706FD" w:rsidRDefault="001706FD" w:rsidP="001706FD">
      <w:pPr>
        <w:suppressAutoHyphens/>
        <w:spacing w:after="0" w:line="240" w:lineRule="auto"/>
        <w:jc w:val="both"/>
        <w:textAlignment w:val="top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zh-CN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Секретар міської ради                                                                Юрій БЕЗПЯТКО</w:t>
      </w:r>
    </w:p>
    <w:p w:rsidR="004C13A0" w:rsidRPr="00907B18" w:rsidRDefault="004C13A0" w:rsidP="004C13A0">
      <w:pPr>
        <w:spacing w:after="0"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p w:rsidR="004C13A0" w:rsidRPr="00907B18" w:rsidRDefault="004C13A0" w:rsidP="004C13A0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:rsidR="00B41E33" w:rsidRPr="00907B18" w:rsidRDefault="00B41E33" w:rsidP="004C13A0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</w:p>
    <w:p w:rsidR="00B41E33" w:rsidRPr="00907B18" w:rsidRDefault="00B41E33" w:rsidP="00B41E33">
      <w:pPr>
        <w:pStyle w:val="a7"/>
        <w:shd w:val="clear" w:color="auto" w:fill="FFFFFF"/>
        <w:spacing w:before="225" w:beforeAutospacing="0" w:after="225" w:afterAutospacing="0"/>
        <w:jc w:val="both"/>
        <w:rPr>
          <w:sz w:val="28"/>
        </w:rPr>
      </w:pPr>
    </w:p>
    <w:p w:rsidR="00B41E33" w:rsidRPr="00907B18" w:rsidRDefault="00B41E33" w:rsidP="004C13A0">
      <w:pPr>
        <w:spacing w:after="0"/>
        <w:rPr>
          <w:rFonts w:ascii="Times New Roman" w:hAnsi="Times New Roman" w:cs="Times New Roman"/>
          <w:b/>
          <w:sz w:val="28"/>
          <w:szCs w:val="24"/>
          <w:lang w:val="uk-UA"/>
        </w:rPr>
        <w:sectPr w:rsidR="00B41E33" w:rsidRPr="00907B18" w:rsidSect="00AB44BA">
          <w:headerReference w:type="default" r:id="rId8"/>
          <w:pgSz w:w="11906" w:h="16838"/>
          <w:pgMar w:top="567" w:right="567" w:bottom="1134" w:left="1985" w:header="709" w:footer="709" w:gutter="0"/>
          <w:pgNumType w:start="2"/>
          <w:cols w:space="708"/>
          <w:docGrid w:linePitch="360"/>
        </w:sectPr>
      </w:pPr>
    </w:p>
    <w:p w:rsidR="00596F5C" w:rsidRPr="00907B18" w:rsidRDefault="00597EB3" w:rsidP="00596F5C">
      <w:pPr>
        <w:pStyle w:val="6"/>
        <w:spacing w:before="0" w:after="0"/>
        <w:ind w:left="9923"/>
        <w:rPr>
          <w:rFonts w:ascii="Times New Roman" w:hAnsi="Times New Roman"/>
          <w:b w:val="0"/>
          <w:sz w:val="28"/>
          <w:szCs w:val="28"/>
          <w:lang w:val="uk-UA"/>
        </w:rPr>
      </w:pPr>
      <w:r w:rsidRPr="00907B18">
        <w:rPr>
          <w:rFonts w:ascii="Times New Roman" w:hAnsi="Times New Roman"/>
          <w:b w:val="0"/>
          <w:sz w:val="28"/>
          <w:szCs w:val="28"/>
          <w:lang w:val="uk-UA"/>
        </w:rPr>
        <w:lastRenderedPageBreak/>
        <w:t xml:space="preserve">Додаток 1 </w:t>
      </w:r>
    </w:p>
    <w:p w:rsidR="00596F5C" w:rsidRPr="00907B18" w:rsidRDefault="00597EB3" w:rsidP="00596F5C">
      <w:pPr>
        <w:tabs>
          <w:tab w:val="left" w:pos="5580"/>
        </w:tabs>
        <w:suppressAutoHyphens/>
        <w:spacing w:after="0" w:line="240" w:lineRule="auto"/>
        <w:ind w:left="9923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</w:pPr>
      <w:r w:rsidRPr="00907B18">
        <w:rPr>
          <w:rFonts w:ascii="Times New Roman" w:hAnsi="Times New Roman"/>
          <w:sz w:val="28"/>
          <w:szCs w:val="28"/>
          <w:lang w:val="uk-UA"/>
        </w:rPr>
        <w:t>до Програми</w:t>
      </w:r>
      <w:r w:rsidR="00596F5C"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підтримки та розвитку громадських організацій соціального спрямування</w:t>
      </w:r>
      <w:r w:rsidR="00224725"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на 2021</w:t>
      </w:r>
      <w:r w:rsidR="004343A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>–</w:t>
      </w:r>
      <w:r w:rsidR="00224725"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>2025</w:t>
      </w:r>
      <w:r w:rsidR="00596F5C"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роки</w:t>
      </w:r>
    </w:p>
    <w:p w:rsidR="00597EB3" w:rsidRPr="00907B18" w:rsidRDefault="00597EB3" w:rsidP="00AD051C">
      <w:pP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97EB3" w:rsidRPr="00907B18" w:rsidRDefault="00597EB3" w:rsidP="00597E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РЕСУРСНЕ ЗАБЕЗПЕЧЕННЯ</w:t>
      </w:r>
    </w:p>
    <w:p w:rsidR="00597EB3" w:rsidRPr="00907B18" w:rsidRDefault="004343A2" w:rsidP="00DF401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Програми </w:t>
      </w:r>
      <w:r w:rsidR="00597EB3"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підтримки та розвитку </w:t>
      </w:r>
      <w:r w:rsidR="00DF4016" w:rsidRPr="00907B18">
        <w:rPr>
          <w:rFonts w:ascii="Times New Roman" w:hAnsi="Times New Roman" w:cs="Times New Roman"/>
          <w:b/>
          <w:sz w:val="28"/>
          <w:szCs w:val="24"/>
          <w:lang w:val="uk-UA"/>
        </w:rPr>
        <w:t>громадських організацій соціального спрямування</w:t>
      </w:r>
    </w:p>
    <w:p w:rsidR="00597EB3" w:rsidRPr="00907B18" w:rsidRDefault="008D2397" w:rsidP="00597EB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907B18">
        <w:rPr>
          <w:rFonts w:ascii="Times New Roman" w:hAnsi="Times New Roman" w:cs="Times New Roman"/>
          <w:b/>
          <w:sz w:val="28"/>
          <w:szCs w:val="24"/>
          <w:lang w:val="uk-UA"/>
        </w:rPr>
        <w:t>на 2021-2025</w:t>
      </w:r>
      <w:r w:rsidR="00597EB3"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 роки </w:t>
      </w:r>
    </w:p>
    <w:p w:rsidR="002C73CA" w:rsidRPr="00907B18" w:rsidRDefault="002C73CA" w:rsidP="00597EB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268"/>
        <w:gridCol w:w="1283"/>
        <w:gridCol w:w="1186"/>
        <w:gridCol w:w="1191"/>
        <w:gridCol w:w="1191"/>
        <w:gridCol w:w="1191"/>
        <w:gridCol w:w="2659"/>
      </w:tblGrid>
      <w:tr w:rsidR="004343A2" w:rsidRPr="00907B18" w:rsidTr="004343A2">
        <w:trPr>
          <w:trHeight w:val="487"/>
          <w:jc w:val="center"/>
        </w:trPr>
        <w:tc>
          <w:tcPr>
            <w:tcW w:w="817" w:type="dxa"/>
            <w:vMerge w:val="restart"/>
          </w:tcPr>
          <w:p w:rsidR="004343A2" w:rsidRDefault="004343A2" w:rsidP="004343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4343A2" w:rsidRPr="004343A2" w:rsidRDefault="004343A2" w:rsidP="004343A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268" w:type="dxa"/>
            <w:vMerge w:val="restart"/>
            <w:vAlign w:val="center"/>
          </w:tcPr>
          <w:p w:rsidR="004343A2" w:rsidRDefault="004343A2" w:rsidP="0043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Обсяг коштів, які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ланується</w:t>
            </w: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залучити </w:t>
            </w:r>
          </w:p>
          <w:p w:rsidR="004343A2" w:rsidRPr="004343A2" w:rsidRDefault="004343A2" w:rsidP="0043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 виконання Програми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 тис. грн</w:t>
            </w:r>
          </w:p>
        </w:tc>
        <w:tc>
          <w:tcPr>
            <w:tcW w:w="6042" w:type="dxa"/>
            <w:gridSpan w:val="5"/>
            <w:vAlign w:val="center"/>
          </w:tcPr>
          <w:p w:rsidR="004343A2" w:rsidRPr="004343A2" w:rsidRDefault="004343A2" w:rsidP="005C64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659" w:type="dxa"/>
            <w:vMerge w:val="restart"/>
            <w:vAlign w:val="center"/>
          </w:tcPr>
          <w:p w:rsidR="004343A2" w:rsidRDefault="004343A2" w:rsidP="0043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Усього витрат на виконання Програми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</w:p>
          <w:p w:rsidR="004343A2" w:rsidRPr="004343A2" w:rsidRDefault="004343A2" w:rsidP="00434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4343A2" w:rsidRPr="00907B18" w:rsidTr="004343A2">
        <w:trPr>
          <w:trHeight w:val="487"/>
          <w:jc w:val="center"/>
        </w:trPr>
        <w:tc>
          <w:tcPr>
            <w:tcW w:w="817" w:type="dxa"/>
            <w:vMerge/>
          </w:tcPr>
          <w:p w:rsidR="004343A2" w:rsidRPr="00907B18" w:rsidRDefault="004343A2" w:rsidP="004343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268" w:type="dxa"/>
            <w:vMerge/>
            <w:vAlign w:val="center"/>
          </w:tcPr>
          <w:p w:rsidR="004343A2" w:rsidRPr="00907B18" w:rsidRDefault="004343A2" w:rsidP="005C64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283" w:type="dxa"/>
            <w:vAlign w:val="center"/>
          </w:tcPr>
          <w:p w:rsidR="004343A2" w:rsidRPr="004343A2" w:rsidRDefault="004343A2" w:rsidP="005C64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186" w:type="dxa"/>
            <w:vAlign w:val="center"/>
          </w:tcPr>
          <w:p w:rsidR="004343A2" w:rsidRPr="004343A2" w:rsidRDefault="004343A2" w:rsidP="005C64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2022</w:t>
            </w:r>
          </w:p>
        </w:tc>
        <w:tc>
          <w:tcPr>
            <w:tcW w:w="1191" w:type="dxa"/>
            <w:vAlign w:val="center"/>
          </w:tcPr>
          <w:p w:rsidR="004343A2" w:rsidRPr="004343A2" w:rsidRDefault="004343A2" w:rsidP="005C64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2023</w:t>
            </w:r>
          </w:p>
        </w:tc>
        <w:tc>
          <w:tcPr>
            <w:tcW w:w="1191" w:type="dxa"/>
            <w:vAlign w:val="center"/>
          </w:tcPr>
          <w:p w:rsidR="004343A2" w:rsidRPr="004343A2" w:rsidRDefault="004343A2" w:rsidP="005C64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2024</w:t>
            </w:r>
          </w:p>
        </w:tc>
        <w:tc>
          <w:tcPr>
            <w:tcW w:w="1191" w:type="dxa"/>
            <w:vAlign w:val="center"/>
          </w:tcPr>
          <w:p w:rsidR="004343A2" w:rsidRPr="004343A2" w:rsidRDefault="004343A2" w:rsidP="005C641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343A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659" w:type="dxa"/>
            <w:vMerge/>
            <w:vAlign w:val="center"/>
          </w:tcPr>
          <w:p w:rsidR="004343A2" w:rsidRPr="00907B18" w:rsidRDefault="004343A2" w:rsidP="005C641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4343A2" w:rsidRPr="00907B18" w:rsidTr="004343A2">
        <w:trPr>
          <w:trHeight w:val="734"/>
          <w:jc w:val="center"/>
        </w:trPr>
        <w:tc>
          <w:tcPr>
            <w:tcW w:w="817" w:type="dxa"/>
          </w:tcPr>
          <w:p w:rsidR="004343A2" w:rsidRPr="00907B18" w:rsidRDefault="004343A2" w:rsidP="004343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268" w:type="dxa"/>
            <w:vAlign w:val="center"/>
          </w:tcPr>
          <w:p w:rsidR="004343A2" w:rsidRPr="00907B18" w:rsidRDefault="004343A2" w:rsidP="00434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фінансових ресурсів усього,</w:t>
            </w:r>
          </w:p>
          <w:p w:rsidR="004343A2" w:rsidRPr="00907B18" w:rsidRDefault="004343A2" w:rsidP="004343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283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1 675,0</w:t>
            </w:r>
          </w:p>
        </w:tc>
        <w:tc>
          <w:tcPr>
            <w:tcW w:w="1186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1 737,0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1 819,0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1 821,0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1 823,0</w:t>
            </w:r>
          </w:p>
        </w:tc>
        <w:tc>
          <w:tcPr>
            <w:tcW w:w="2659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8 875,0</w:t>
            </w:r>
          </w:p>
        </w:tc>
      </w:tr>
      <w:tr w:rsidR="004343A2" w:rsidRPr="00907B18" w:rsidTr="004343A2">
        <w:trPr>
          <w:trHeight w:val="764"/>
          <w:jc w:val="center"/>
        </w:trPr>
        <w:tc>
          <w:tcPr>
            <w:tcW w:w="817" w:type="dxa"/>
          </w:tcPr>
          <w:p w:rsidR="004343A2" w:rsidRPr="00907B18" w:rsidRDefault="004343A2" w:rsidP="004343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5268" w:type="dxa"/>
            <w:vAlign w:val="center"/>
          </w:tcPr>
          <w:p w:rsidR="004343A2" w:rsidRPr="00907B18" w:rsidRDefault="004343A2" w:rsidP="00BF3E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Луцької міської територіальної громади</w:t>
            </w:r>
          </w:p>
        </w:tc>
        <w:tc>
          <w:tcPr>
            <w:tcW w:w="1283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1 675,0</w:t>
            </w:r>
          </w:p>
        </w:tc>
        <w:tc>
          <w:tcPr>
            <w:tcW w:w="1186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1 737,0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1 819,0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1 821,0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1 823,0</w:t>
            </w:r>
          </w:p>
        </w:tc>
        <w:tc>
          <w:tcPr>
            <w:tcW w:w="2659" w:type="dxa"/>
            <w:vAlign w:val="center"/>
          </w:tcPr>
          <w:p w:rsidR="004343A2" w:rsidRPr="00907B18" w:rsidRDefault="004343A2" w:rsidP="004343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8 875,0</w:t>
            </w:r>
          </w:p>
        </w:tc>
      </w:tr>
      <w:tr w:rsidR="004343A2" w:rsidRPr="00907B18" w:rsidTr="004343A2">
        <w:trPr>
          <w:trHeight w:val="665"/>
          <w:jc w:val="center"/>
        </w:trPr>
        <w:tc>
          <w:tcPr>
            <w:tcW w:w="817" w:type="dxa"/>
          </w:tcPr>
          <w:p w:rsidR="004343A2" w:rsidRDefault="004343A2" w:rsidP="004343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5268" w:type="dxa"/>
            <w:vAlign w:val="center"/>
          </w:tcPr>
          <w:p w:rsidR="004343A2" w:rsidRPr="00907B18" w:rsidRDefault="004343A2" w:rsidP="00BF3E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1283" w:type="dxa"/>
            <w:vAlign w:val="center"/>
          </w:tcPr>
          <w:p w:rsidR="004343A2" w:rsidRPr="00907B18" w:rsidRDefault="004343A2" w:rsidP="00C930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86" w:type="dxa"/>
            <w:vAlign w:val="center"/>
          </w:tcPr>
          <w:p w:rsidR="004343A2" w:rsidRPr="00907B18" w:rsidRDefault="004343A2" w:rsidP="00C930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C930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C930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1191" w:type="dxa"/>
            <w:vAlign w:val="center"/>
          </w:tcPr>
          <w:p w:rsidR="004343A2" w:rsidRPr="00907B18" w:rsidRDefault="004343A2" w:rsidP="00C930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2659" w:type="dxa"/>
            <w:vAlign w:val="center"/>
          </w:tcPr>
          <w:p w:rsidR="004343A2" w:rsidRPr="00907B18" w:rsidRDefault="004343A2" w:rsidP="00C930C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</w:tbl>
    <w:p w:rsidR="00AD051C" w:rsidRPr="00907B18" w:rsidRDefault="00AD051C" w:rsidP="00597EB3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74A87" w:rsidRPr="00907B18" w:rsidRDefault="00074A87" w:rsidP="0096375B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</w:p>
    <w:p w:rsidR="00597EB3" w:rsidRPr="00907B18" w:rsidRDefault="00597EB3" w:rsidP="00597EB3">
      <w:pPr>
        <w:tabs>
          <w:tab w:val="left" w:pos="709"/>
        </w:tabs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5138A" w:rsidRPr="00907B18" w:rsidRDefault="00E5138A" w:rsidP="00E5138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F4016" w:rsidRPr="00907B18" w:rsidRDefault="00DF4016" w:rsidP="00D2636D">
      <w:pPr>
        <w:suppressAutoHyphens/>
        <w:spacing w:after="0" w:line="240" w:lineRule="auto"/>
        <w:ind w:left="9923"/>
        <w:textAlignment w:val="top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uk-UA" w:eastAsia="zh-CN"/>
        </w:rPr>
      </w:pPr>
      <w:r w:rsidRPr="00907B18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uk-UA" w:eastAsia="zh-CN"/>
        </w:rPr>
        <w:lastRenderedPageBreak/>
        <w:t>Додаток 2</w:t>
      </w:r>
    </w:p>
    <w:p w:rsidR="00DF4016" w:rsidRPr="00907B18" w:rsidRDefault="00DF4016" w:rsidP="00C76192">
      <w:pPr>
        <w:suppressAutoHyphens/>
        <w:spacing w:after="0" w:line="240" w:lineRule="auto"/>
        <w:ind w:left="9923"/>
        <w:textAlignment w:val="top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</w:pPr>
      <w:r w:rsidRPr="00907B18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uk-UA" w:eastAsia="zh-CN"/>
        </w:rPr>
        <w:t xml:space="preserve">до </w:t>
      </w:r>
      <w:r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>Програми підтримки та розвитку громадських організацій соціального спрямування</w:t>
      </w:r>
      <w:r w:rsidR="008D2397"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на 2021-2025</w:t>
      </w:r>
      <w:r w:rsidRPr="00907B1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val="uk-UA" w:eastAsia="zh-CN"/>
        </w:rPr>
        <w:t xml:space="preserve"> роки</w:t>
      </w:r>
    </w:p>
    <w:p w:rsidR="00DF4016" w:rsidRPr="00907B18" w:rsidRDefault="00DF4016" w:rsidP="00DF4016">
      <w:pPr>
        <w:suppressAutoHyphens/>
        <w:spacing w:after="0" w:line="240" w:lineRule="auto"/>
        <w:ind w:left="9912"/>
        <w:textAlignment w:val="top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val="single"/>
          <w:lang w:val="uk-UA" w:eastAsia="zh-CN"/>
        </w:rPr>
      </w:pPr>
    </w:p>
    <w:p w:rsidR="00DF4016" w:rsidRPr="00907B18" w:rsidRDefault="00DF4016" w:rsidP="00DF4016">
      <w:pPr>
        <w:suppressAutoHyphens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uk-UA" w:eastAsia="zh-CN"/>
        </w:rPr>
      </w:pPr>
      <w:r w:rsidRPr="00907B18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uk-UA" w:eastAsia="zh-CN"/>
        </w:rPr>
        <w:t xml:space="preserve">Напрями діяльності, завдання та заходи </w:t>
      </w:r>
    </w:p>
    <w:p w:rsidR="00DF4016" w:rsidRPr="00907B18" w:rsidRDefault="00DF4016" w:rsidP="00DF4016">
      <w:pPr>
        <w:suppressAutoHyphens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val="uk-UA" w:eastAsia="zh-CN"/>
        </w:rPr>
      </w:pPr>
      <w:r w:rsidRPr="00907B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виконання Програми </w:t>
      </w:r>
      <w:r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підтримки та розвитку громадських організацій соціального спрямування </w:t>
      </w:r>
    </w:p>
    <w:p w:rsidR="00DF4016" w:rsidRPr="00907B18" w:rsidRDefault="008D2397" w:rsidP="00DF4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 на 2021-2025</w:t>
      </w:r>
      <w:r w:rsidR="00DF4016" w:rsidRPr="00907B18">
        <w:rPr>
          <w:rFonts w:ascii="Times New Roman" w:hAnsi="Times New Roman" w:cs="Times New Roman"/>
          <w:b/>
          <w:sz w:val="28"/>
          <w:szCs w:val="24"/>
          <w:lang w:val="uk-UA"/>
        </w:rPr>
        <w:t xml:space="preserve"> роки</w:t>
      </w:r>
    </w:p>
    <w:p w:rsidR="00DF4016" w:rsidRPr="00F844F9" w:rsidRDefault="00DF4016" w:rsidP="00F844F9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50"/>
        <w:gridCol w:w="3856"/>
        <w:gridCol w:w="822"/>
        <w:gridCol w:w="1843"/>
        <w:gridCol w:w="1842"/>
        <w:gridCol w:w="1985"/>
        <w:gridCol w:w="2551"/>
      </w:tblGrid>
      <w:tr w:rsidR="00613CC5" w:rsidRPr="00907B18" w:rsidTr="00B1698A">
        <w:trPr>
          <w:cantSplit/>
          <w:trHeight w:val="2428"/>
        </w:trPr>
        <w:tc>
          <w:tcPr>
            <w:tcW w:w="568" w:type="dxa"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950" w:type="dxa"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3856" w:type="dxa"/>
          </w:tcPr>
          <w:p w:rsidR="00613CC5" w:rsidRPr="00907B18" w:rsidRDefault="00613CC5" w:rsidP="004E0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822" w:type="dxa"/>
            <w:textDirection w:val="btLr"/>
          </w:tcPr>
          <w:p w:rsidR="00613CC5" w:rsidRPr="00907B18" w:rsidRDefault="00613CC5" w:rsidP="00613C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Строк виконання</w:t>
            </w:r>
          </w:p>
          <w:p w:rsidR="00613CC5" w:rsidRPr="00907B18" w:rsidRDefault="00613CC5" w:rsidP="00613CC5">
            <w:pPr>
              <w:spacing w:after="0" w:line="240" w:lineRule="auto"/>
              <w:ind w:left="113" w:right="-11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extDirection w:val="btLr"/>
          </w:tcPr>
          <w:p w:rsidR="00596F5C" w:rsidRPr="00907B18" w:rsidRDefault="00596F5C" w:rsidP="00613C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5000A" w:rsidRPr="00907B18" w:rsidRDefault="0025000A" w:rsidP="00596F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13CC5" w:rsidRPr="00907B18" w:rsidRDefault="00613CC5" w:rsidP="00596F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842" w:type="dxa"/>
            <w:textDirection w:val="btLr"/>
          </w:tcPr>
          <w:p w:rsidR="00613CC5" w:rsidRPr="00907B18" w:rsidRDefault="00613CC5" w:rsidP="00613C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Джерела</w:t>
            </w:r>
          </w:p>
          <w:p w:rsidR="00613CC5" w:rsidRPr="00907B18" w:rsidRDefault="00613CC5" w:rsidP="00613CC5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985" w:type="dxa"/>
          </w:tcPr>
          <w:p w:rsidR="00613CC5" w:rsidRPr="00907B18" w:rsidRDefault="00613CC5" w:rsidP="0061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Орієнтовні обсяги фінансування (вартість)</w:t>
            </w:r>
          </w:p>
          <w:p w:rsidR="00613CC5" w:rsidRPr="00907B18" w:rsidRDefault="00F844F9" w:rsidP="00613C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тис. грн</w:t>
            </w:r>
            <w:r w:rsidR="00613CC5" w:rsidRPr="00907B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у тому числі:</w:t>
            </w:r>
          </w:p>
          <w:p w:rsidR="00613CC5" w:rsidRPr="00907B18" w:rsidRDefault="00613CC5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3A58A8" w:rsidRPr="00907B18" w:rsidTr="009B1C1F">
        <w:trPr>
          <w:trHeight w:val="2382"/>
        </w:trPr>
        <w:tc>
          <w:tcPr>
            <w:tcW w:w="568" w:type="dxa"/>
            <w:vMerge w:val="restart"/>
          </w:tcPr>
          <w:p w:rsidR="003A58A8" w:rsidRPr="00907B18" w:rsidRDefault="003A58A8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  <w:vMerge w:val="restart"/>
          </w:tcPr>
          <w:p w:rsidR="003A58A8" w:rsidRPr="00907B18" w:rsidRDefault="003A58A8" w:rsidP="00433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Посилення співпраці з інститутами громадянського суспільства у розвитку соціальної сфери</w:t>
            </w:r>
          </w:p>
        </w:tc>
        <w:tc>
          <w:tcPr>
            <w:tcW w:w="3856" w:type="dxa"/>
            <w:vMerge w:val="restart"/>
          </w:tcPr>
          <w:p w:rsidR="003A58A8" w:rsidRPr="00907B18" w:rsidRDefault="003A58A8" w:rsidP="004E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1.1. Проведення Конкурсу проєктів соціального спрямування, розроблених інститутами громадянського суспільства за напрямками:</w:t>
            </w:r>
          </w:p>
          <w:p w:rsidR="003A58A8" w:rsidRPr="00907B18" w:rsidRDefault="003A58A8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підвищення іміджу сім’ї;</w:t>
            </w:r>
          </w:p>
          <w:p w:rsidR="003A58A8" w:rsidRPr="00907B18" w:rsidRDefault="003A58A8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популяризація здорового способу життя;</w:t>
            </w:r>
          </w:p>
          <w:p w:rsidR="003A58A8" w:rsidRPr="00907B18" w:rsidRDefault="003A58A8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профілактика негативних явищ в дитячому та </w:t>
            </w: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молодіжному середовищі;</w:t>
            </w:r>
          </w:p>
          <w:p w:rsidR="003A58A8" w:rsidRPr="00907B18" w:rsidRDefault="003A58A8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протидія соціально-небезпечним хворобам;</w:t>
            </w:r>
          </w:p>
          <w:p w:rsidR="003A58A8" w:rsidRPr="00907B18" w:rsidRDefault="003A58A8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попередження та протидія домашньому насильству та торгівлі людьми;</w:t>
            </w:r>
          </w:p>
          <w:p w:rsidR="003A58A8" w:rsidRPr="00907B18" w:rsidRDefault="003A58A8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забезпечення рівних прав та можливостей для чоловіків та жінок;</w:t>
            </w:r>
          </w:p>
          <w:p w:rsidR="003A58A8" w:rsidRPr="00907B18" w:rsidRDefault="00F844F9" w:rsidP="004E0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та інше</w:t>
            </w:r>
          </w:p>
          <w:p w:rsidR="009B1C1F" w:rsidRPr="00907B18" w:rsidRDefault="009B1C1F" w:rsidP="004E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2" w:type="dxa"/>
            <w:vMerge w:val="restart"/>
          </w:tcPr>
          <w:p w:rsidR="003A58A8" w:rsidRPr="00907B18" w:rsidRDefault="003A32CC" w:rsidP="004335BC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2021-2025</w:t>
            </w:r>
            <w:r w:rsidR="003A58A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  <w:vMerge w:val="restart"/>
          </w:tcPr>
          <w:p w:rsidR="003A58A8" w:rsidRPr="00907B18" w:rsidRDefault="003A58A8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  <w:vMerge w:val="restart"/>
          </w:tcPr>
          <w:p w:rsidR="003A58A8" w:rsidRPr="00907B18" w:rsidRDefault="003A58A8" w:rsidP="004335BC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2540A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2540A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20AF1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</w:t>
            </w:r>
            <w:r w:rsidR="002540A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3A32CC" w:rsidRPr="00907B18" w:rsidRDefault="003A32C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32CC" w:rsidRPr="00907B18" w:rsidRDefault="003A32C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20AF1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  <w:p w:rsidR="003A32CC" w:rsidRPr="00907B18" w:rsidRDefault="003A32C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A32CC" w:rsidRPr="00907B18" w:rsidRDefault="003A32C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0AF1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20AF1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</w:t>
            </w:r>
          </w:p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</w:tcPr>
          <w:p w:rsidR="003A58A8" w:rsidRPr="00907B18" w:rsidRDefault="003A58A8" w:rsidP="00433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партнерської взаємодії державного та громадського секторів в реалізації проєктів соціального спрямування</w:t>
            </w:r>
          </w:p>
        </w:tc>
      </w:tr>
      <w:tr w:rsidR="003A58A8" w:rsidRPr="00907B18" w:rsidTr="00B1698A">
        <w:trPr>
          <w:trHeight w:val="2582"/>
        </w:trPr>
        <w:tc>
          <w:tcPr>
            <w:tcW w:w="568" w:type="dxa"/>
            <w:vMerge/>
          </w:tcPr>
          <w:p w:rsidR="003A58A8" w:rsidRPr="00907B18" w:rsidRDefault="003A58A8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3A58A8" w:rsidRPr="00907B18" w:rsidRDefault="003A58A8" w:rsidP="0043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56" w:type="dxa"/>
            <w:vMerge/>
          </w:tcPr>
          <w:p w:rsidR="003A58A8" w:rsidRPr="00907B18" w:rsidRDefault="003A58A8" w:rsidP="004E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822" w:type="dxa"/>
            <w:vMerge/>
          </w:tcPr>
          <w:p w:rsidR="003A58A8" w:rsidRPr="00907B18" w:rsidRDefault="003A58A8" w:rsidP="004335BC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3A58A8" w:rsidRPr="00907B18" w:rsidRDefault="003A58A8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3A58A8" w:rsidRPr="00907B18" w:rsidRDefault="003A58A8" w:rsidP="004335BC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3A58A8" w:rsidRPr="00907B18" w:rsidRDefault="003A58A8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/>
          </w:tcPr>
          <w:p w:rsidR="003A58A8" w:rsidRPr="00907B18" w:rsidRDefault="003A58A8" w:rsidP="00433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220D9" w:rsidRPr="000E7D55" w:rsidTr="00B1698A">
        <w:trPr>
          <w:trHeight w:val="5152"/>
        </w:trPr>
        <w:tc>
          <w:tcPr>
            <w:tcW w:w="568" w:type="dxa"/>
            <w:vMerge/>
          </w:tcPr>
          <w:p w:rsidR="007220D9" w:rsidRPr="00907B18" w:rsidRDefault="007220D9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7220D9" w:rsidRPr="00907B18" w:rsidRDefault="007220D9" w:rsidP="00433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7220D9" w:rsidRPr="00907B18" w:rsidRDefault="007220D9" w:rsidP="004E0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1.2. Розміщення інформації про умови проведення Конкурсу з визначення проєктів, розроблених інститутами громадянського суспільства, для реалізації (виконання) яких надається фінансова підтримка та результати проведення конкурсу</w:t>
            </w:r>
          </w:p>
        </w:tc>
        <w:tc>
          <w:tcPr>
            <w:tcW w:w="822" w:type="dxa"/>
          </w:tcPr>
          <w:p w:rsidR="007220D9" w:rsidRPr="00907B18" w:rsidRDefault="009B1C1F" w:rsidP="004335BC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7220D9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7220D9" w:rsidRPr="00907B18" w:rsidRDefault="007220D9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7220D9" w:rsidRPr="00907B18" w:rsidRDefault="007220D9" w:rsidP="004335BC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</w:tcPr>
          <w:p w:rsidR="007220D9" w:rsidRPr="00907B18" w:rsidRDefault="007220D9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551" w:type="dxa"/>
          </w:tcPr>
          <w:p w:rsidR="007220D9" w:rsidRPr="00907B18" w:rsidRDefault="007220D9" w:rsidP="00433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Забезпечення прозорості проведення конкурсу, доступності участі у ньому інститутів громадянського суспільства, виконання антикорупційного законодавства під час надання </w:t>
            </w:r>
            <w:r w:rsidR="00617C79"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фінансової підтримки за рахунок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бюджетних коштів</w:t>
            </w:r>
          </w:p>
        </w:tc>
      </w:tr>
      <w:tr w:rsidR="00BF7AC9" w:rsidRPr="00907B18" w:rsidTr="00BF7AC9">
        <w:trPr>
          <w:trHeight w:val="3251"/>
        </w:trPr>
        <w:tc>
          <w:tcPr>
            <w:tcW w:w="568" w:type="dxa"/>
            <w:vMerge/>
          </w:tcPr>
          <w:p w:rsidR="00BF7AC9" w:rsidRPr="00907B18" w:rsidRDefault="00BF7AC9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BF7AC9" w:rsidRPr="00907B18" w:rsidRDefault="00BF7AC9" w:rsidP="00433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BF7AC9" w:rsidRPr="00907B18" w:rsidRDefault="00BF7AC9" w:rsidP="004E04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1.3. Проведення навчальних тренінгів для представників інститутів громадянського суспільства з питань розробки та подання проєктів соціального спрямування для участі у Конкурсі</w:t>
            </w:r>
          </w:p>
        </w:tc>
        <w:tc>
          <w:tcPr>
            <w:tcW w:w="822" w:type="dxa"/>
          </w:tcPr>
          <w:p w:rsidR="00BF7AC9" w:rsidRPr="00907B18" w:rsidRDefault="009B1C1F" w:rsidP="004335BC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BF7AC9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BF7AC9" w:rsidRPr="00907B18" w:rsidRDefault="00BF7AC9" w:rsidP="00BF7AC9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BF7AC9" w:rsidRPr="00907B18" w:rsidRDefault="00BF7AC9" w:rsidP="004335BC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30,0</w:t>
            </w: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30,0</w:t>
            </w: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30,0</w:t>
            </w: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30,0</w:t>
            </w: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F7AC9" w:rsidRPr="00907B18" w:rsidRDefault="00BF7AC9" w:rsidP="00B20AF1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7260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30,0</w:t>
            </w:r>
          </w:p>
          <w:p w:rsidR="00BF7AC9" w:rsidRPr="00907B18" w:rsidRDefault="00BF7AC9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BF7AC9" w:rsidRPr="00907B18" w:rsidRDefault="00BF7AC9" w:rsidP="00617C7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Підвищення рівня спроможності інститутів громадянського суспільства до участі у Конкурсі проєктів соціального спрямування</w:t>
            </w:r>
          </w:p>
        </w:tc>
      </w:tr>
      <w:tr w:rsidR="00613CC5" w:rsidRPr="00907B18" w:rsidTr="00B1698A">
        <w:trPr>
          <w:trHeight w:val="2900"/>
        </w:trPr>
        <w:tc>
          <w:tcPr>
            <w:tcW w:w="568" w:type="dxa"/>
            <w:vMerge w:val="restart"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950" w:type="dxa"/>
            <w:vMerge w:val="restart"/>
          </w:tcPr>
          <w:p w:rsidR="00613CC5" w:rsidRPr="00907B18" w:rsidRDefault="00613CC5" w:rsidP="00433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статутної діяльності, ініціатив та заходів громадських організацій соціального спрямування</w:t>
            </w:r>
          </w:p>
        </w:tc>
        <w:tc>
          <w:tcPr>
            <w:tcW w:w="3856" w:type="dxa"/>
            <w:vMerge w:val="restart"/>
          </w:tcPr>
          <w:p w:rsidR="00613CC5" w:rsidRPr="00907B18" w:rsidRDefault="00613CC5" w:rsidP="004E04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2.1. Реалізація заходів у співпраці з громадськими, благодійними організаціями спрямованих на підвищення іміджу сім’ї, розвиток духовності, популяризацію здорового способу життя, профілактику негативних явищ, протидію соціально-небезпечним хворобам, </w:t>
            </w: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попередження та протидію домашньому насильству та торгівлі людьми, забезпечення рівних прав та можливостей для чоловіків та жінок, формування позитивних зразків поведінки у дітей та молоді та інше</w:t>
            </w:r>
          </w:p>
        </w:tc>
        <w:tc>
          <w:tcPr>
            <w:tcW w:w="822" w:type="dxa"/>
            <w:vMerge w:val="restart"/>
          </w:tcPr>
          <w:p w:rsidR="00613CC5" w:rsidRPr="00907B18" w:rsidRDefault="009B1C1F" w:rsidP="004335BC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2021-2025</w:t>
            </w:r>
            <w:r w:rsidR="00613CC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  <w:vMerge w:val="restart"/>
          </w:tcPr>
          <w:p w:rsidR="00613CC5" w:rsidRPr="00907B18" w:rsidRDefault="00613CC5" w:rsidP="004335BC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r w:rsidR="00AC6857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міської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територіальної громади </w:t>
            </w:r>
          </w:p>
        </w:tc>
        <w:tc>
          <w:tcPr>
            <w:tcW w:w="1985" w:type="dxa"/>
          </w:tcPr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30,0</w:t>
            </w: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30,0</w:t>
            </w: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50,0</w:t>
            </w: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617C79" w:rsidRPr="00907B18" w:rsidRDefault="00617C79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vMerge w:val="restart"/>
          </w:tcPr>
          <w:p w:rsidR="00613CC5" w:rsidRPr="00907B18" w:rsidRDefault="00613CC5" w:rsidP="004335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у дітей та молоді навичок здорового способу життя, культури спілкування, поваги одне до одного, умінь подолання життєвих криз</w:t>
            </w:r>
          </w:p>
        </w:tc>
      </w:tr>
      <w:tr w:rsidR="00613CC5" w:rsidRPr="00907B18" w:rsidTr="00B1698A">
        <w:trPr>
          <w:trHeight w:val="2900"/>
        </w:trPr>
        <w:tc>
          <w:tcPr>
            <w:tcW w:w="568" w:type="dxa"/>
            <w:vMerge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613CC5" w:rsidRPr="00907B18" w:rsidRDefault="00613CC5" w:rsidP="004335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  <w:vMerge/>
          </w:tcPr>
          <w:p w:rsidR="00613CC5" w:rsidRPr="00907B18" w:rsidRDefault="00613CC5" w:rsidP="004E04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22" w:type="dxa"/>
            <w:vMerge/>
          </w:tcPr>
          <w:p w:rsidR="00613CC5" w:rsidRPr="00907B18" w:rsidRDefault="00613CC5" w:rsidP="004335BC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613CC5" w:rsidRPr="00907B18" w:rsidRDefault="00613CC5" w:rsidP="004335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освіти</w:t>
            </w:r>
          </w:p>
        </w:tc>
        <w:tc>
          <w:tcPr>
            <w:tcW w:w="1842" w:type="dxa"/>
            <w:vMerge/>
          </w:tcPr>
          <w:p w:rsidR="00613CC5" w:rsidRPr="00907B18" w:rsidRDefault="00613CC5" w:rsidP="004335BC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613CC5" w:rsidRPr="00907B18" w:rsidRDefault="00613CC5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10,0</w:t>
            </w:r>
          </w:p>
          <w:p w:rsidR="00613CC5" w:rsidRPr="00907B18" w:rsidRDefault="00613CC5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3CC5" w:rsidRPr="00907B18" w:rsidRDefault="00613CC5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12,0</w:t>
            </w:r>
          </w:p>
          <w:p w:rsidR="00613CC5" w:rsidRPr="00907B18" w:rsidRDefault="00613CC5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13CC5" w:rsidRPr="00907B18" w:rsidRDefault="00613CC5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14,0</w:t>
            </w:r>
          </w:p>
          <w:p w:rsidR="0025658C" w:rsidRPr="00907B18" w:rsidRDefault="0025658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16,0</w:t>
            </w:r>
          </w:p>
          <w:p w:rsidR="0025658C" w:rsidRPr="00907B18" w:rsidRDefault="0025658C" w:rsidP="0025658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5658C" w:rsidRPr="00907B18" w:rsidRDefault="0025658C" w:rsidP="00F844F9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18,0</w:t>
            </w:r>
          </w:p>
        </w:tc>
        <w:tc>
          <w:tcPr>
            <w:tcW w:w="2551" w:type="dxa"/>
            <w:vMerge/>
          </w:tcPr>
          <w:p w:rsidR="00613CC5" w:rsidRPr="00907B18" w:rsidRDefault="00613CC5" w:rsidP="004335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F1A63" w:rsidRPr="00907B18" w:rsidTr="008F1A63">
        <w:trPr>
          <w:trHeight w:val="2680"/>
        </w:trPr>
        <w:tc>
          <w:tcPr>
            <w:tcW w:w="568" w:type="dxa"/>
            <w:vMerge/>
          </w:tcPr>
          <w:p w:rsidR="008F1A63" w:rsidRPr="00907B18" w:rsidRDefault="008F1A63" w:rsidP="00456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8F1A63" w:rsidRPr="00907B18" w:rsidRDefault="008F1A63" w:rsidP="00456A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8F1A63" w:rsidRPr="00907B18" w:rsidRDefault="008F1A63" w:rsidP="00456A3E">
            <w:pPr>
              <w:pStyle w:val="a5"/>
              <w:shd w:val="clear" w:color="auto" w:fill="FFFFFF"/>
              <w:spacing w:after="0"/>
              <w:rPr>
                <w:sz w:val="28"/>
                <w:szCs w:val="28"/>
                <w:lang w:val="uk-UA"/>
              </w:rPr>
            </w:pPr>
            <w:r w:rsidRPr="00907B18">
              <w:rPr>
                <w:sz w:val="28"/>
                <w:szCs w:val="28"/>
                <w:lang w:val="uk-UA"/>
              </w:rPr>
              <w:t>2.2. Організація та проведення круглих столів, конференцій, семінарів, дискусійних клубів, форумів за участю громадських організацій для розгляду проблемних соціальних питань місцевого значення</w:t>
            </w:r>
          </w:p>
        </w:tc>
        <w:tc>
          <w:tcPr>
            <w:tcW w:w="822" w:type="dxa"/>
          </w:tcPr>
          <w:p w:rsidR="008F1A63" w:rsidRPr="00907B18" w:rsidRDefault="008F1A63" w:rsidP="00456A3E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9B1C1F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-2025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8F1A63" w:rsidRPr="00907B18" w:rsidRDefault="008F1A63" w:rsidP="00456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  <w:r w:rsidR="005501C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департамент сім’ї, молоді та спорту</w:t>
            </w:r>
          </w:p>
        </w:tc>
        <w:tc>
          <w:tcPr>
            <w:tcW w:w="1842" w:type="dxa"/>
          </w:tcPr>
          <w:p w:rsidR="008F1A63" w:rsidRPr="00907B18" w:rsidRDefault="008F1A63" w:rsidP="00456A3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8F1A63" w:rsidRPr="00907B18" w:rsidRDefault="008F1A63" w:rsidP="008F1A6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D74E72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:rsidR="008F1A63" w:rsidRPr="00907B18" w:rsidRDefault="008F1A63" w:rsidP="008F1A6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F1A63" w:rsidRPr="00907B18" w:rsidRDefault="008F1A63" w:rsidP="008F1A6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D74E72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:rsidR="008F1A63" w:rsidRPr="00907B18" w:rsidRDefault="008F1A63" w:rsidP="008F1A6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F1A63" w:rsidRPr="00907B18" w:rsidRDefault="008F1A63" w:rsidP="008F1A6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D74E72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10,0</w:t>
            </w:r>
          </w:p>
          <w:p w:rsidR="00D74E72" w:rsidRPr="00907B18" w:rsidRDefault="00D74E72" w:rsidP="008F1A6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4E72" w:rsidRPr="00907B18" w:rsidRDefault="00D74E72" w:rsidP="00D74E72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10,0</w:t>
            </w:r>
          </w:p>
          <w:p w:rsidR="00D74E72" w:rsidRPr="00907B18" w:rsidRDefault="00D74E72" w:rsidP="00D74E72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F1A63" w:rsidRPr="00907B18" w:rsidRDefault="00D74E72" w:rsidP="00F844F9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10,0</w:t>
            </w:r>
          </w:p>
        </w:tc>
        <w:tc>
          <w:tcPr>
            <w:tcW w:w="2551" w:type="dxa"/>
          </w:tcPr>
          <w:p w:rsidR="008F1A63" w:rsidRPr="00907B18" w:rsidRDefault="008F1A63" w:rsidP="00456A3E">
            <w:pP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Налагодження соціального партнерства між органами місцевого самоврядування та  громадськими організаціями</w:t>
            </w:r>
          </w:p>
        </w:tc>
      </w:tr>
      <w:tr w:rsidR="00295818" w:rsidRPr="00907B18" w:rsidTr="00C804D0">
        <w:trPr>
          <w:trHeight w:val="1975"/>
        </w:trPr>
        <w:tc>
          <w:tcPr>
            <w:tcW w:w="568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pStyle w:val="a5"/>
              <w:shd w:val="clear" w:color="auto" w:fill="FFFFFF"/>
              <w:spacing w:after="0"/>
              <w:rPr>
                <w:sz w:val="28"/>
                <w:szCs w:val="28"/>
                <w:lang w:val="uk-UA"/>
              </w:rPr>
            </w:pPr>
            <w:r w:rsidRPr="00907B18">
              <w:rPr>
                <w:sz w:val="28"/>
                <w:szCs w:val="28"/>
                <w:lang w:val="uk-UA"/>
              </w:rPr>
              <w:t>2.3. Проведення сімейно-орієнтованих загальноміських заходів у співпраці з громадськими організаціями: фестиваль сім’ї, трек-день, сімейні пікніки на інше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6B44C6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6B44C6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6B44C6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60,0</w:t>
            </w:r>
          </w:p>
          <w:p w:rsidR="006B44C6" w:rsidRPr="00907B18" w:rsidRDefault="006B44C6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44C6" w:rsidRPr="00907B18" w:rsidRDefault="006B44C6" w:rsidP="006B44C6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60,0</w:t>
            </w:r>
          </w:p>
          <w:p w:rsidR="006B44C6" w:rsidRPr="00907B18" w:rsidRDefault="006B44C6" w:rsidP="006B44C6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F844F9" w:rsidRDefault="006B44C6" w:rsidP="00F844F9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293435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60,0</w:t>
            </w:r>
          </w:p>
        </w:tc>
        <w:tc>
          <w:tcPr>
            <w:tcW w:w="2551" w:type="dxa"/>
          </w:tcPr>
          <w:p w:rsidR="00295818" w:rsidRPr="00F844F9" w:rsidRDefault="00295818" w:rsidP="00295818">
            <w:pP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44F9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uk-UA"/>
              </w:rPr>
              <w:t>Підвищення престижу сім’ї та посилення сімейних орієнтацій населення за допомогою популяризації спільного проведення дозвілля</w:t>
            </w:r>
          </w:p>
        </w:tc>
      </w:tr>
      <w:tr w:rsidR="00295818" w:rsidRPr="000E7D55" w:rsidTr="004335BC">
        <w:trPr>
          <w:trHeight w:val="2898"/>
        </w:trPr>
        <w:tc>
          <w:tcPr>
            <w:tcW w:w="568" w:type="dxa"/>
            <w:vMerge w:val="restart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1950" w:type="dxa"/>
            <w:vMerge w:val="restart"/>
          </w:tcPr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проєктів та заходів соціального спрямування</w:t>
            </w: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громадських організацій, вихованцями яких є діти та молодь з інвалідністю</w:t>
            </w:r>
          </w:p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3.1. Надання підтримки на проведення майстер-класів, арт-терапевтичних занять, тренінгових програм спрямованих на організацію змістовного дозвілля та спілкування дітей і молоді з інвалідністю, в тому числі в інклюзивному форматі 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6B44C6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6B44C6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6B44C6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6B44C6" w:rsidRPr="00907B18" w:rsidRDefault="006B44C6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44C6" w:rsidRPr="00907B18" w:rsidRDefault="006B44C6" w:rsidP="006B44C6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20,0</w:t>
            </w:r>
          </w:p>
          <w:p w:rsidR="006B44C6" w:rsidRPr="00907B18" w:rsidRDefault="006B44C6" w:rsidP="006B44C6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B44C6" w:rsidRPr="00907B18" w:rsidRDefault="006B44C6" w:rsidP="006B44C6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20,0</w:t>
            </w: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умов для соціалізації та  інтеграції дітей та молоді з інвалідністю у суспільство</w:t>
            </w:r>
          </w:p>
        </w:tc>
      </w:tr>
      <w:tr w:rsidR="00295818" w:rsidRPr="000E7D55" w:rsidTr="004335BC">
        <w:trPr>
          <w:trHeight w:val="1932"/>
        </w:trPr>
        <w:tc>
          <w:tcPr>
            <w:tcW w:w="568" w:type="dxa"/>
            <w:vMerge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3.2. Залучення соціальних педагогів, психологів, </w:t>
            </w:r>
            <w:r w:rsidR="00026C6A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арт-терапевтів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інших спеціалістів до проведення занять для членів громадських організацій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C635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C635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="006903B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C635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6903B3" w:rsidRPr="00907B18" w:rsidRDefault="006903B3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03B3" w:rsidRPr="00907B18" w:rsidRDefault="006903B3" w:rsidP="006903B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6903B3" w:rsidRPr="00907B18" w:rsidRDefault="006903B3" w:rsidP="006903B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903B3" w:rsidRPr="00907B18" w:rsidRDefault="006903B3" w:rsidP="006903B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6903B3" w:rsidRPr="00907B18" w:rsidRDefault="006903B3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умов для соціалізації та  інтеграції дітей та молоді з інвалідністю у суспільство</w:t>
            </w:r>
          </w:p>
        </w:tc>
      </w:tr>
      <w:tr w:rsidR="00295818" w:rsidRPr="000E7D55" w:rsidTr="004335BC">
        <w:trPr>
          <w:trHeight w:val="2898"/>
        </w:trPr>
        <w:tc>
          <w:tcPr>
            <w:tcW w:w="568" w:type="dxa"/>
            <w:vMerge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3.3. Забезпечення участі творчих колективів, заснованих громадськими організаціями, у всеукраїнських, міжнародних фестивалях, конкурсах, змаганнях, виставках на запрошення урядових організацій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C635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C635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C635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CC6353" w:rsidRPr="00907B18" w:rsidRDefault="00CC6353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353" w:rsidRPr="00907B18" w:rsidRDefault="00CC6353" w:rsidP="00CC635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100,0</w:t>
            </w:r>
          </w:p>
          <w:p w:rsidR="00CC6353" w:rsidRPr="00907B18" w:rsidRDefault="00CC6353" w:rsidP="00CC635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353" w:rsidRPr="00907B18" w:rsidRDefault="00CC6353" w:rsidP="00CC635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39313C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100,0</w:t>
            </w:r>
          </w:p>
          <w:p w:rsidR="00CC6353" w:rsidRPr="00907B18" w:rsidRDefault="00CC6353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C6353" w:rsidRPr="00907B18" w:rsidRDefault="00CC6353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творчого розвитку та повноцінної реалізації дітей та молоді з інвалідністю своїх талантів та здібностей</w:t>
            </w:r>
          </w:p>
        </w:tc>
      </w:tr>
      <w:tr w:rsidR="00295818" w:rsidRPr="000E7D55" w:rsidTr="000A0C36">
        <w:trPr>
          <w:trHeight w:val="2254"/>
        </w:trPr>
        <w:tc>
          <w:tcPr>
            <w:tcW w:w="568" w:type="dxa"/>
            <w:vMerge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DD0E9B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3.4. Проведення заходів з нагоди ювілейних дат (5, 10, 15, 20, 25, 30 років) заснування громадських організацій вихованцями яких є діти та молодь з інвалідністю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0113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0113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1138" w:rsidRPr="00907B18" w:rsidRDefault="00295818" w:rsidP="00C0113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C0113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30,0</w:t>
            </w:r>
          </w:p>
          <w:p w:rsidR="00C01138" w:rsidRPr="00907B18" w:rsidRDefault="00C01138" w:rsidP="00C0113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1138" w:rsidRPr="00907B18" w:rsidRDefault="00C01138" w:rsidP="00C0113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30,0</w:t>
            </w:r>
          </w:p>
          <w:p w:rsidR="00C01138" w:rsidRPr="00907B18" w:rsidRDefault="00C01138" w:rsidP="00C0113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01138" w:rsidRPr="00907B18" w:rsidRDefault="00C01138" w:rsidP="00C0113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30,0</w:t>
            </w:r>
          </w:p>
          <w:p w:rsidR="00295818" w:rsidRPr="00907B18" w:rsidRDefault="00295818" w:rsidP="00C011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та розвиток громадських організацій вихованцями яких є діти та молодь з інвалідністю</w:t>
            </w:r>
          </w:p>
        </w:tc>
      </w:tr>
      <w:tr w:rsidR="00295818" w:rsidRPr="000E7D55" w:rsidTr="004335BC">
        <w:trPr>
          <w:trHeight w:val="1932"/>
        </w:trPr>
        <w:tc>
          <w:tcPr>
            <w:tcW w:w="568" w:type="dxa"/>
            <w:vMerge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3.5. Створення груп взаємопідтримки та психологічної допомоги для батьків, які виховують дітей та молодь з інвалідністю</w:t>
            </w:r>
          </w:p>
        </w:tc>
        <w:tc>
          <w:tcPr>
            <w:tcW w:w="822" w:type="dxa"/>
          </w:tcPr>
          <w:p w:rsidR="00295818" w:rsidRPr="00907B18" w:rsidRDefault="00295818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9B1C1F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-2025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7098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7098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7098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B7098D" w:rsidRPr="00907B18" w:rsidRDefault="00B7098D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098D" w:rsidRPr="00907B18" w:rsidRDefault="00B7098D" w:rsidP="00B7098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B7098D" w:rsidRPr="00907B18" w:rsidRDefault="00B7098D" w:rsidP="00B7098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098D" w:rsidRPr="00907B18" w:rsidRDefault="00B7098D" w:rsidP="00B7098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295818" w:rsidRPr="00907B18" w:rsidRDefault="00295818" w:rsidP="00B709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Профілактика емоційного вигорання батьків, які виховують дітей та молоді з інвалідністю</w:t>
            </w:r>
          </w:p>
        </w:tc>
      </w:tr>
      <w:tr w:rsidR="00295818" w:rsidRPr="00907B18" w:rsidTr="004335BC">
        <w:trPr>
          <w:trHeight w:val="4508"/>
        </w:trPr>
        <w:tc>
          <w:tcPr>
            <w:tcW w:w="568" w:type="dxa"/>
            <w:vMerge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3.6. Підтримка проведення заходів приурочених до</w:t>
            </w:r>
            <w:r w:rsidRPr="00907B1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Всесвітнього дня поширення інформації про аутизм,</w:t>
            </w:r>
            <w:r w:rsidRPr="00907B1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Всесвітнього дня людей із синдромом Дауна,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Всесвітнього </w:t>
            </w: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дня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інформування про </w:t>
            </w: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ДЦП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Міжнародного дня незрячих, Міжнародного дня глухих,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Всесвітнього </w:t>
            </w:r>
            <w:r w:rsidRPr="00907B18">
              <w:rPr>
                <w:rStyle w:val="ac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 xml:space="preserve">дня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боротьби з цукровим </w:t>
            </w:r>
            <w:r w:rsidRPr="00907B18">
              <w:rPr>
                <w:rStyle w:val="ac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  <w:lang w:val="uk-UA"/>
              </w:rPr>
              <w:t>діабетом, Міжнародного дня людей з інвалідністю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7098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B7098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7098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B7098D" w:rsidRPr="00907B18" w:rsidRDefault="00B7098D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098D" w:rsidRPr="00907B18" w:rsidRDefault="00B7098D" w:rsidP="00B7098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B7098D" w:rsidRPr="00907B18" w:rsidRDefault="00B7098D" w:rsidP="00B7098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098D" w:rsidRPr="00907B18" w:rsidRDefault="00B7098D" w:rsidP="00B7098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B7098D" w:rsidRPr="00907B18" w:rsidRDefault="00B7098D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7098D" w:rsidRPr="00907B18" w:rsidRDefault="00B7098D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освіченості суспільства у питаннях інвалідності, формування толерантного ставлення до людей з інвалідністю</w:t>
            </w:r>
          </w:p>
        </w:tc>
      </w:tr>
      <w:tr w:rsidR="00295818" w:rsidRPr="000E7D55" w:rsidTr="004335BC">
        <w:trPr>
          <w:trHeight w:val="3220"/>
        </w:trPr>
        <w:tc>
          <w:tcPr>
            <w:tcW w:w="568" w:type="dxa"/>
            <w:vMerge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3.7. Створення центру денного перебування для вихованців громадських організацій за рахунок надання цих послуг на умовах соціального замовлення:</w:t>
            </w:r>
          </w:p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 залучення спеціалістів;</w:t>
            </w:r>
          </w:p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 проведення навчально-розвиваючих занять;</w:t>
            </w:r>
          </w:p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 та інше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0365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0365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03659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03659D" w:rsidRPr="00907B18" w:rsidRDefault="0003659D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659D" w:rsidRPr="00907B18" w:rsidRDefault="0003659D" w:rsidP="0003659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100,0</w:t>
            </w:r>
          </w:p>
          <w:p w:rsidR="0003659D" w:rsidRPr="00907B18" w:rsidRDefault="0003659D" w:rsidP="0003659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3659D" w:rsidRPr="00907B18" w:rsidRDefault="0003659D" w:rsidP="0003659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100,0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1305ED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Підтримка 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дітей та молоді з інвалідністю, які є членами громадських організацій шляхом деінституалізації послуг</w:t>
            </w:r>
          </w:p>
        </w:tc>
      </w:tr>
      <w:tr w:rsidR="00295818" w:rsidRPr="000E7D55" w:rsidTr="004335BC">
        <w:trPr>
          <w:trHeight w:val="2823"/>
        </w:trPr>
        <w:tc>
          <w:tcPr>
            <w:tcW w:w="568" w:type="dxa"/>
            <w:vMerge w:val="restart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1950" w:type="dxa"/>
            <w:vMerge w:val="restart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заходів, спрямованих на зміцнення здоров’я дітей та молоді</w:t>
            </w: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4.1. Проведення тендерної закупівлі путівок за кошти бюджету громади на оздоровлення та відпочинок дітей та молоді з інвалідністю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58292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58292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582923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700,0</w:t>
            </w:r>
          </w:p>
          <w:p w:rsidR="00582923" w:rsidRPr="00907B18" w:rsidRDefault="00582923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2923" w:rsidRPr="00907B18" w:rsidRDefault="00582923" w:rsidP="0058292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700,0</w:t>
            </w:r>
          </w:p>
          <w:p w:rsidR="00582923" w:rsidRPr="00907B18" w:rsidRDefault="00582923" w:rsidP="0058292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2923" w:rsidRPr="00907B18" w:rsidRDefault="00582923" w:rsidP="00582923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47D6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700,0</w:t>
            </w:r>
          </w:p>
          <w:p w:rsidR="00295818" w:rsidRPr="00907B18" w:rsidRDefault="00295818" w:rsidP="005829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Зміцнення здоров’я дітей та молоді з інвалідністю шляхом організації оздоровлення та відпочинку</w:t>
            </w:r>
          </w:p>
        </w:tc>
      </w:tr>
      <w:tr w:rsidR="00295818" w:rsidRPr="00907B18" w:rsidTr="004335BC">
        <w:trPr>
          <w:trHeight w:val="1610"/>
        </w:trPr>
        <w:tc>
          <w:tcPr>
            <w:tcW w:w="568" w:type="dxa"/>
            <w:vMerge/>
            <w:vAlign w:val="center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4.2.Впровадження альтернативних форм відпочинку та оздоровлення дітей та молоді (вікенди, екскурсії, подорожі, тощо)</w:t>
            </w:r>
          </w:p>
        </w:tc>
        <w:tc>
          <w:tcPr>
            <w:tcW w:w="822" w:type="dxa"/>
          </w:tcPr>
          <w:p w:rsidR="00295818" w:rsidRPr="00907B18" w:rsidRDefault="00295818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</w:t>
            </w:r>
            <w:r w:rsidR="009B1C1F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0D659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0D659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0D659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100,0</w:t>
            </w:r>
          </w:p>
          <w:p w:rsidR="000D659B" w:rsidRPr="00907B18" w:rsidRDefault="000D659B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659B" w:rsidRPr="00907B18" w:rsidRDefault="000D659B" w:rsidP="000D659B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100,0</w:t>
            </w:r>
          </w:p>
          <w:p w:rsidR="000D659B" w:rsidRPr="00907B18" w:rsidRDefault="000D659B" w:rsidP="000D659B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659B" w:rsidRPr="00907B18" w:rsidRDefault="000D659B" w:rsidP="000D659B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100,0</w:t>
            </w:r>
          </w:p>
          <w:p w:rsidR="00295818" w:rsidRPr="00907B18" w:rsidRDefault="00295818" w:rsidP="000D65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ind w:right="-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Зміцнення здоров’я дітей та молоді  шляхом організації альтернативного відпочинку </w:t>
            </w:r>
          </w:p>
        </w:tc>
      </w:tr>
      <w:tr w:rsidR="00295818" w:rsidRPr="00907B18" w:rsidTr="00917974">
        <w:trPr>
          <w:trHeight w:val="128"/>
        </w:trPr>
        <w:tc>
          <w:tcPr>
            <w:tcW w:w="568" w:type="dxa"/>
            <w:vMerge/>
            <w:vAlign w:val="center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4.3. Підтримка ініціатив громадських, благодійних організацій, діяльність яких спрямована на оздоровлення, відпочинок та таборування дітей з сімей, що потребують особливої соціальної підтримки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9A794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9A794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9A794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50,0</w:t>
            </w:r>
          </w:p>
          <w:p w:rsidR="004335BC" w:rsidRPr="00907B18" w:rsidRDefault="004335BC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35BC" w:rsidRPr="00907B18" w:rsidRDefault="004335B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4335BC" w:rsidRPr="00907B18" w:rsidRDefault="004335B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335BC" w:rsidRPr="00907B18" w:rsidRDefault="004335BC" w:rsidP="004335BC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50,0</w:t>
            </w:r>
          </w:p>
          <w:p w:rsidR="00295818" w:rsidRPr="00907B18" w:rsidRDefault="00295818" w:rsidP="00917974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Оздоровлення та відпочинок дітей, з сімей, що потребують особливої соціальної підтримки шляхом соціального партнерства </w:t>
            </w:r>
          </w:p>
        </w:tc>
      </w:tr>
      <w:tr w:rsidR="00295818" w:rsidRPr="00907B18" w:rsidTr="004335BC">
        <w:trPr>
          <w:trHeight w:val="2254"/>
        </w:trPr>
        <w:tc>
          <w:tcPr>
            <w:tcW w:w="568" w:type="dxa"/>
            <w:vMerge w:val="restart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50" w:type="dxa"/>
            <w:vMerge w:val="restart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Інформаційно-аналітичне забезпечення галузі співпраці з громадськими організаціями</w:t>
            </w: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5.1. Розроблення, виготовлення і розповсюдження реклами соціального спрямування, в тому числі щодо  толерантного ставлення до осіб з інвалідністю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spacing w:after="0" w:line="240" w:lineRule="auto"/>
              <w:ind w:left="-13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  <w:r w:rsidR="005501C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департамент сім’ї, молоді та спорту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C073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BC073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BC073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</w:t>
            </w:r>
          </w:p>
          <w:p w:rsidR="00BC0734" w:rsidRPr="00907B18" w:rsidRDefault="00BC0734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0734" w:rsidRPr="00907B18" w:rsidRDefault="00BC0734" w:rsidP="00BC0734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15,0</w:t>
            </w:r>
          </w:p>
          <w:p w:rsidR="00BC0734" w:rsidRPr="00907B18" w:rsidRDefault="00BC0734" w:rsidP="00BC0734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C0734" w:rsidRPr="00907B18" w:rsidRDefault="00BC0734" w:rsidP="00BC0734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EE245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15,0</w:t>
            </w:r>
          </w:p>
          <w:p w:rsidR="00295818" w:rsidRPr="00907B18" w:rsidRDefault="00295818" w:rsidP="00BC07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Поліпшення поінформованості широких верств населення</w:t>
            </w:r>
          </w:p>
        </w:tc>
      </w:tr>
      <w:tr w:rsidR="00295818" w:rsidRPr="00907B18" w:rsidTr="004335BC">
        <w:trPr>
          <w:trHeight w:val="1932"/>
        </w:trPr>
        <w:tc>
          <w:tcPr>
            <w:tcW w:w="568" w:type="dxa"/>
            <w:vMerge/>
            <w:vAlign w:val="center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5.2. Організація висвітлення у засобах масової інформації ефективних прикладів співпраці органів влади та інститутів громадянського суспільства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  <w:r w:rsidR="005501C4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департамент сім’ї, молоді та спорту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Генерування соціально-значимих ініціатив</w:t>
            </w:r>
          </w:p>
        </w:tc>
      </w:tr>
      <w:tr w:rsidR="00295818" w:rsidRPr="00907B18" w:rsidTr="004335BC">
        <w:trPr>
          <w:trHeight w:val="1610"/>
        </w:trPr>
        <w:tc>
          <w:tcPr>
            <w:tcW w:w="568" w:type="dxa"/>
            <w:vMerge/>
            <w:vAlign w:val="center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vMerge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5.3. Виготовлення промоційної сувенірної продукції 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842" w:type="dxa"/>
          </w:tcPr>
          <w:p w:rsidR="00295818" w:rsidRPr="00907B18" w:rsidRDefault="00295818" w:rsidP="00295818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D95E7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D95E7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="00D95E7D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20,0</w:t>
            </w:r>
          </w:p>
          <w:p w:rsidR="00D95E7D" w:rsidRPr="00907B18" w:rsidRDefault="00D95E7D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95E7D" w:rsidRPr="00907B18" w:rsidRDefault="00D95E7D" w:rsidP="00D95E7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20,0</w:t>
            </w:r>
          </w:p>
          <w:p w:rsidR="00D95E7D" w:rsidRPr="00907B18" w:rsidRDefault="00D95E7D" w:rsidP="00D95E7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95E7D" w:rsidRPr="00907B18" w:rsidRDefault="00D95E7D" w:rsidP="00D95E7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20,0</w:t>
            </w:r>
          </w:p>
          <w:p w:rsidR="00295818" w:rsidRPr="00907B18" w:rsidRDefault="00295818" w:rsidP="00D95E7D">
            <w:pPr>
              <w:autoSpaceDE w:val="0"/>
              <w:autoSpaceDN w:val="0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позитивного іміджу територіальної громади</w:t>
            </w:r>
          </w:p>
        </w:tc>
      </w:tr>
      <w:tr w:rsidR="00295818" w:rsidRPr="000E7D55" w:rsidTr="004335BC">
        <w:trPr>
          <w:trHeight w:val="433"/>
        </w:trPr>
        <w:tc>
          <w:tcPr>
            <w:tcW w:w="568" w:type="dxa"/>
          </w:tcPr>
          <w:p w:rsidR="00295818" w:rsidRPr="00907B18" w:rsidRDefault="00295818" w:rsidP="00295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50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Посилення співпраці з громадськими організаціями щодо забезпечення захисту інституту сім’ї та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пропаганди родинних цінностей</w:t>
            </w:r>
          </w:p>
        </w:tc>
        <w:tc>
          <w:tcPr>
            <w:tcW w:w="3856" w:type="dxa"/>
          </w:tcPr>
          <w:p w:rsidR="00295818" w:rsidRPr="00907B18" w:rsidRDefault="00295818" w:rsidP="002958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6.1. Організація та проведення навчальних тренінгів за модифікованою просвітницькою програмою «Основи сім’ї» для дітей-сиріт та дітей, позбавлених батьківського піклування, щодо підготовки молоді до сімейного життя та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відповідального батьківства</w:t>
            </w:r>
          </w:p>
        </w:tc>
        <w:tc>
          <w:tcPr>
            <w:tcW w:w="822" w:type="dxa"/>
          </w:tcPr>
          <w:p w:rsidR="00295818" w:rsidRPr="00907B18" w:rsidRDefault="009B1C1F" w:rsidP="00295818">
            <w:pPr>
              <w:autoSpaceDE w:val="0"/>
              <w:autoSpaceDN w:val="0"/>
              <w:spacing w:after="0" w:line="240" w:lineRule="auto"/>
              <w:ind w:left="-106" w:right="-11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2021-2025</w:t>
            </w:r>
            <w:r w:rsidR="00295818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843" w:type="dxa"/>
          </w:tcPr>
          <w:p w:rsidR="00295818" w:rsidRPr="00907B18" w:rsidRDefault="00295818" w:rsidP="002958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НМК психологічної служби управління освіти Луцької міської ради</w:t>
            </w:r>
          </w:p>
        </w:tc>
        <w:tc>
          <w:tcPr>
            <w:tcW w:w="1842" w:type="dxa"/>
          </w:tcPr>
          <w:p w:rsidR="00295818" w:rsidRPr="00907B18" w:rsidRDefault="00AC6857" w:rsidP="00AC6857">
            <w:pPr>
              <w:autoSpaceDE w:val="0"/>
              <w:autoSpaceDN w:val="0"/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міської територіальної громади</w:t>
            </w:r>
          </w:p>
        </w:tc>
        <w:tc>
          <w:tcPr>
            <w:tcW w:w="1985" w:type="dxa"/>
          </w:tcPr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2021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60,0</w:t>
            </w: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95818" w:rsidRPr="00907B18" w:rsidRDefault="00295818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60,0</w:t>
            </w:r>
          </w:p>
          <w:p w:rsidR="00D95E7D" w:rsidRPr="00907B18" w:rsidRDefault="00D95E7D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95E7D" w:rsidRPr="00907B18" w:rsidRDefault="00D95E7D" w:rsidP="00D95E7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60,0</w:t>
            </w:r>
          </w:p>
          <w:p w:rsidR="00D95E7D" w:rsidRPr="00907B18" w:rsidRDefault="00D95E7D" w:rsidP="00D95E7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95E7D" w:rsidRPr="00907B18" w:rsidRDefault="00D95E7D" w:rsidP="00D95E7D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</w:t>
            </w:r>
            <w:r w:rsidR="001738EB"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60,0</w:t>
            </w:r>
          </w:p>
          <w:p w:rsidR="00D95E7D" w:rsidRPr="00907B18" w:rsidRDefault="00D95E7D" w:rsidP="00295818">
            <w:pPr>
              <w:spacing w:after="0" w:line="240" w:lineRule="auto"/>
              <w:ind w:left="-108" w:right="-8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295818" w:rsidRPr="00907B18" w:rsidRDefault="00295818" w:rsidP="00295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B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Формування в учнівської молоді життєвої, соціальної, громадянської компетентності з питань шлюбу, сім’ї та батьківства</w:t>
            </w:r>
          </w:p>
        </w:tc>
      </w:tr>
    </w:tbl>
    <w:p w:rsidR="00112AC3" w:rsidRPr="00907B18" w:rsidRDefault="00112AC3" w:rsidP="00F844F9">
      <w:pPr>
        <w:tabs>
          <w:tab w:val="left" w:pos="720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lastRenderedPageBreak/>
        <w:t>З орієнтовного обсягу фінансових витрат:</w:t>
      </w:r>
    </w:p>
    <w:p w:rsidR="00112AC3" w:rsidRPr="00907B18" w:rsidRDefault="00112AC3" w:rsidP="00F844F9">
      <w:pPr>
        <w:tabs>
          <w:tab w:val="left" w:pos="720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844F9" w:rsidRDefault="00112AC3" w:rsidP="00F844F9">
      <w:pPr>
        <w:tabs>
          <w:tab w:val="left" w:pos="72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2021 рік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</w:t>
      </w:r>
      <w:r w:rsidR="00B94ADB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675 000, в т.ч.: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управління соціальних служб для сім’ї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дітей та молоді – 1 665 000, </w:t>
      </w:r>
    </w:p>
    <w:p w:rsidR="00112AC3" w:rsidRPr="00907B18" w:rsidRDefault="00F844F9" w:rsidP="00F844F9">
      <w:pPr>
        <w:tabs>
          <w:tab w:val="left" w:pos="35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F844F9" w:rsidRDefault="00112AC3" w:rsidP="00F844F9">
      <w:pPr>
        <w:tabs>
          <w:tab w:val="left" w:pos="72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2022 рік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 </w:t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737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000, в т.ч.: 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соціальних служб для сім’ї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дітей та молоді – 1 665 000,</w:t>
      </w:r>
    </w:p>
    <w:p w:rsidR="00112AC3" w:rsidRPr="00907B18" w:rsidRDefault="00F844F9" w:rsidP="00F844F9">
      <w:pPr>
        <w:tabs>
          <w:tab w:val="left" w:pos="35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освіти  –  72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F844F9" w:rsidRDefault="000366BC" w:rsidP="00F844F9">
      <w:pPr>
        <w:tabs>
          <w:tab w:val="left" w:pos="72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2023</w:t>
      </w:r>
      <w:r w:rsidR="00112AC3"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рік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 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819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000, в т.ч.: 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соціальних служб для сім’ї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дітей та молоді – 1 745 000,</w:t>
      </w:r>
    </w:p>
    <w:p w:rsidR="00112AC3" w:rsidRPr="00907B18" w:rsidRDefault="00F844F9" w:rsidP="00F844F9">
      <w:pPr>
        <w:tabs>
          <w:tab w:val="left" w:pos="35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освіти  –  74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112AC3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F844F9" w:rsidRDefault="00667F84" w:rsidP="00F844F9">
      <w:pPr>
        <w:tabs>
          <w:tab w:val="left" w:pos="72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2024</w:t>
      </w:r>
      <w:r w:rsidR="000366BC"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рік</w:t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1 821 000, в т.ч.: 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соціальних служб для сім’ї, дітей та молоді – 1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745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000,</w:t>
      </w:r>
    </w:p>
    <w:p w:rsidR="000366BC" w:rsidRPr="00907B18" w:rsidRDefault="00F844F9" w:rsidP="00F844F9">
      <w:pPr>
        <w:tabs>
          <w:tab w:val="left" w:pos="35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освіти  –  76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0366BC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F844F9" w:rsidRDefault="00667F84" w:rsidP="00F844F9">
      <w:pPr>
        <w:tabs>
          <w:tab w:val="left" w:pos="720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907B18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2025 рік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– 1 823 000, в т.ч.: 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соціальних служб для сім’ї</w:t>
      </w:r>
      <w:r w:rsidR="00F844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дітей та молоді – 1 745 000,</w:t>
      </w:r>
    </w:p>
    <w:p w:rsidR="00667F84" w:rsidRPr="00907B18" w:rsidRDefault="00F844F9" w:rsidP="00F844F9">
      <w:pPr>
        <w:tabs>
          <w:tab w:val="left" w:pos="354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667F84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управління освіти  –  78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</w:t>
      </w:r>
      <w:r w:rsidR="00667F84" w:rsidRPr="00907B1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:rsidR="00667F84" w:rsidRPr="00907B18" w:rsidRDefault="00667F84" w:rsidP="000366BC">
      <w:pPr>
        <w:tabs>
          <w:tab w:val="left" w:pos="7201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112AC3" w:rsidRPr="00907B18" w:rsidRDefault="00112AC3" w:rsidP="00112AC3">
      <w:pPr>
        <w:tabs>
          <w:tab w:val="left" w:pos="7201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8F1F0B" w:rsidRPr="00907B18" w:rsidRDefault="008F1F0B" w:rsidP="00667F84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zh-CN"/>
        </w:rPr>
      </w:pPr>
    </w:p>
    <w:p w:rsidR="002C55F5" w:rsidRPr="00907B18" w:rsidRDefault="002C55F5" w:rsidP="00B77654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bookmarkStart w:id="3" w:name="_GoBack"/>
      <w:bookmarkEnd w:id="3"/>
    </w:p>
    <w:p w:rsidR="00E5138A" w:rsidRPr="00907B18" w:rsidRDefault="00E5138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5138A" w:rsidRPr="00907B18" w:rsidSect="004343A2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F82" w:rsidRDefault="00B63F82" w:rsidP="0078318E">
      <w:pPr>
        <w:spacing w:after="0" w:line="240" w:lineRule="auto"/>
      </w:pPr>
      <w:r>
        <w:separator/>
      </w:r>
    </w:p>
  </w:endnote>
  <w:endnote w:type="continuationSeparator" w:id="0">
    <w:p w:rsidR="00B63F82" w:rsidRDefault="00B63F82" w:rsidP="0078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F82" w:rsidRDefault="00B63F82" w:rsidP="0078318E">
      <w:pPr>
        <w:spacing w:after="0" w:line="240" w:lineRule="auto"/>
      </w:pPr>
      <w:r>
        <w:separator/>
      </w:r>
    </w:p>
  </w:footnote>
  <w:footnote w:type="continuationSeparator" w:id="0">
    <w:p w:rsidR="00B63F82" w:rsidRDefault="00B63F82" w:rsidP="0078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704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3A2" w:rsidRPr="0078318E" w:rsidRDefault="004343A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8318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8318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8318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7654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78318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43A2" w:rsidRDefault="004343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40BD"/>
    <w:multiLevelType w:val="multilevel"/>
    <w:tmpl w:val="A9A6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F2D19"/>
    <w:multiLevelType w:val="hybridMultilevel"/>
    <w:tmpl w:val="C33C5E94"/>
    <w:lvl w:ilvl="0" w:tplc="E95C123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C10924"/>
    <w:multiLevelType w:val="hybridMultilevel"/>
    <w:tmpl w:val="713A2532"/>
    <w:lvl w:ilvl="0" w:tplc="50EA8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C862E0"/>
    <w:multiLevelType w:val="hybridMultilevel"/>
    <w:tmpl w:val="713A2532"/>
    <w:lvl w:ilvl="0" w:tplc="50EA8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0514E4"/>
    <w:multiLevelType w:val="hybridMultilevel"/>
    <w:tmpl w:val="DE0884D2"/>
    <w:lvl w:ilvl="0" w:tplc="39E0BB16">
      <w:start w:val="4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C25C8"/>
    <w:multiLevelType w:val="singleLevel"/>
    <w:tmpl w:val="2212941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3A0"/>
    <w:rsid w:val="0002142E"/>
    <w:rsid w:val="00026C6A"/>
    <w:rsid w:val="00033EA1"/>
    <w:rsid w:val="0003659D"/>
    <w:rsid w:val="000366BC"/>
    <w:rsid w:val="00040050"/>
    <w:rsid w:val="00046953"/>
    <w:rsid w:val="00046CF8"/>
    <w:rsid w:val="00053721"/>
    <w:rsid w:val="00065422"/>
    <w:rsid w:val="00073F2E"/>
    <w:rsid w:val="00074A87"/>
    <w:rsid w:val="000770CF"/>
    <w:rsid w:val="00083810"/>
    <w:rsid w:val="000A0C36"/>
    <w:rsid w:val="000A1D33"/>
    <w:rsid w:val="000A20C3"/>
    <w:rsid w:val="000A3D63"/>
    <w:rsid w:val="000B7F8F"/>
    <w:rsid w:val="000D659B"/>
    <w:rsid w:val="000D77FB"/>
    <w:rsid w:val="000E2F0F"/>
    <w:rsid w:val="000E7D55"/>
    <w:rsid w:val="00104EF5"/>
    <w:rsid w:val="00106442"/>
    <w:rsid w:val="00112AC3"/>
    <w:rsid w:val="001305ED"/>
    <w:rsid w:val="00135170"/>
    <w:rsid w:val="00144C89"/>
    <w:rsid w:val="00154260"/>
    <w:rsid w:val="00155598"/>
    <w:rsid w:val="001573E0"/>
    <w:rsid w:val="001647CD"/>
    <w:rsid w:val="001706FD"/>
    <w:rsid w:val="001738EB"/>
    <w:rsid w:val="00192C4C"/>
    <w:rsid w:val="001A2336"/>
    <w:rsid w:val="001B2753"/>
    <w:rsid w:val="001D2935"/>
    <w:rsid w:val="001D3A36"/>
    <w:rsid w:val="001E4DAA"/>
    <w:rsid w:val="001E547F"/>
    <w:rsid w:val="001F40CE"/>
    <w:rsid w:val="00224725"/>
    <w:rsid w:val="002301C1"/>
    <w:rsid w:val="002311F8"/>
    <w:rsid w:val="00233C4B"/>
    <w:rsid w:val="0025000A"/>
    <w:rsid w:val="002540AB"/>
    <w:rsid w:val="0025658C"/>
    <w:rsid w:val="00256DE3"/>
    <w:rsid w:val="00263E73"/>
    <w:rsid w:val="00293435"/>
    <w:rsid w:val="00295818"/>
    <w:rsid w:val="002B16B8"/>
    <w:rsid w:val="002B3F5F"/>
    <w:rsid w:val="002C55F5"/>
    <w:rsid w:val="002C73CA"/>
    <w:rsid w:val="002D39E5"/>
    <w:rsid w:val="002D5423"/>
    <w:rsid w:val="002D59E8"/>
    <w:rsid w:val="002E48D8"/>
    <w:rsid w:val="003013F8"/>
    <w:rsid w:val="003062BF"/>
    <w:rsid w:val="003129F4"/>
    <w:rsid w:val="00313A6E"/>
    <w:rsid w:val="00325D05"/>
    <w:rsid w:val="003306BB"/>
    <w:rsid w:val="003400CA"/>
    <w:rsid w:val="00343503"/>
    <w:rsid w:val="00357322"/>
    <w:rsid w:val="00363C77"/>
    <w:rsid w:val="00392811"/>
    <w:rsid w:val="0039313C"/>
    <w:rsid w:val="00393A08"/>
    <w:rsid w:val="003A32CC"/>
    <w:rsid w:val="003A58A8"/>
    <w:rsid w:val="003B089B"/>
    <w:rsid w:val="003C61B1"/>
    <w:rsid w:val="003D7845"/>
    <w:rsid w:val="003E24A3"/>
    <w:rsid w:val="003F0C2C"/>
    <w:rsid w:val="003F168D"/>
    <w:rsid w:val="003F721B"/>
    <w:rsid w:val="00406281"/>
    <w:rsid w:val="0041243B"/>
    <w:rsid w:val="004249F3"/>
    <w:rsid w:val="004335BC"/>
    <w:rsid w:val="004343A2"/>
    <w:rsid w:val="004356AE"/>
    <w:rsid w:val="00436875"/>
    <w:rsid w:val="00440B86"/>
    <w:rsid w:val="00442DDE"/>
    <w:rsid w:val="0045699F"/>
    <w:rsid w:val="00456A3E"/>
    <w:rsid w:val="00466F70"/>
    <w:rsid w:val="004A0061"/>
    <w:rsid w:val="004B1131"/>
    <w:rsid w:val="004C13A0"/>
    <w:rsid w:val="004C7C66"/>
    <w:rsid w:val="004D4792"/>
    <w:rsid w:val="004E042B"/>
    <w:rsid w:val="004E3855"/>
    <w:rsid w:val="004F0D23"/>
    <w:rsid w:val="004F744C"/>
    <w:rsid w:val="0050260F"/>
    <w:rsid w:val="0051011C"/>
    <w:rsid w:val="005143DA"/>
    <w:rsid w:val="005212AD"/>
    <w:rsid w:val="005341AF"/>
    <w:rsid w:val="00547361"/>
    <w:rsid w:val="005501C4"/>
    <w:rsid w:val="00551421"/>
    <w:rsid w:val="005579AC"/>
    <w:rsid w:val="005605B3"/>
    <w:rsid w:val="00580E84"/>
    <w:rsid w:val="00582923"/>
    <w:rsid w:val="00596F5C"/>
    <w:rsid w:val="00597EB3"/>
    <w:rsid w:val="005C641D"/>
    <w:rsid w:val="005D6356"/>
    <w:rsid w:val="005E0A55"/>
    <w:rsid w:val="005F2AE1"/>
    <w:rsid w:val="005F351D"/>
    <w:rsid w:val="005F7A74"/>
    <w:rsid w:val="00606A72"/>
    <w:rsid w:val="00613CC5"/>
    <w:rsid w:val="00614CDE"/>
    <w:rsid w:val="00617C79"/>
    <w:rsid w:val="00626912"/>
    <w:rsid w:val="00631793"/>
    <w:rsid w:val="00646614"/>
    <w:rsid w:val="00667F84"/>
    <w:rsid w:val="00685BB0"/>
    <w:rsid w:val="006903B3"/>
    <w:rsid w:val="006B3D44"/>
    <w:rsid w:val="006B44C6"/>
    <w:rsid w:val="006C0DA5"/>
    <w:rsid w:val="006C7CE3"/>
    <w:rsid w:val="006E0B98"/>
    <w:rsid w:val="006F713C"/>
    <w:rsid w:val="006F72E4"/>
    <w:rsid w:val="00700E64"/>
    <w:rsid w:val="007220D9"/>
    <w:rsid w:val="0072609D"/>
    <w:rsid w:val="00750753"/>
    <w:rsid w:val="007513E1"/>
    <w:rsid w:val="00763447"/>
    <w:rsid w:val="0077333D"/>
    <w:rsid w:val="007771E4"/>
    <w:rsid w:val="0078318E"/>
    <w:rsid w:val="00783DEF"/>
    <w:rsid w:val="007C6675"/>
    <w:rsid w:val="0081270D"/>
    <w:rsid w:val="008157B9"/>
    <w:rsid w:val="00876BE2"/>
    <w:rsid w:val="008811FD"/>
    <w:rsid w:val="00883CA8"/>
    <w:rsid w:val="00893C1A"/>
    <w:rsid w:val="008A328E"/>
    <w:rsid w:val="008D087B"/>
    <w:rsid w:val="008D2397"/>
    <w:rsid w:val="008D2C3F"/>
    <w:rsid w:val="008E66EC"/>
    <w:rsid w:val="008F13EB"/>
    <w:rsid w:val="008F1A63"/>
    <w:rsid w:val="008F1F0B"/>
    <w:rsid w:val="00907B18"/>
    <w:rsid w:val="009165AD"/>
    <w:rsid w:val="00917974"/>
    <w:rsid w:val="009207EA"/>
    <w:rsid w:val="00951165"/>
    <w:rsid w:val="0096354E"/>
    <w:rsid w:val="0096375B"/>
    <w:rsid w:val="00974395"/>
    <w:rsid w:val="00983FF4"/>
    <w:rsid w:val="0098576D"/>
    <w:rsid w:val="009978F2"/>
    <w:rsid w:val="009A0976"/>
    <w:rsid w:val="009A794D"/>
    <w:rsid w:val="009B1C1F"/>
    <w:rsid w:val="009B531B"/>
    <w:rsid w:val="009B5CDB"/>
    <w:rsid w:val="009B6675"/>
    <w:rsid w:val="009B7534"/>
    <w:rsid w:val="009E13F8"/>
    <w:rsid w:val="009E3EFD"/>
    <w:rsid w:val="009E53FF"/>
    <w:rsid w:val="00A51805"/>
    <w:rsid w:val="00A67AEE"/>
    <w:rsid w:val="00A91BBF"/>
    <w:rsid w:val="00A96C4C"/>
    <w:rsid w:val="00AB08F1"/>
    <w:rsid w:val="00AB44BA"/>
    <w:rsid w:val="00AB6F0A"/>
    <w:rsid w:val="00AC6857"/>
    <w:rsid w:val="00AD051C"/>
    <w:rsid w:val="00AD5AA2"/>
    <w:rsid w:val="00B13678"/>
    <w:rsid w:val="00B144DB"/>
    <w:rsid w:val="00B1586F"/>
    <w:rsid w:val="00B1698A"/>
    <w:rsid w:val="00B20AF1"/>
    <w:rsid w:val="00B20EDA"/>
    <w:rsid w:val="00B30B5E"/>
    <w:rsid w:val="00B337BF"/>
    <w:rsid w:val="00B33B32"/>
    <w:rsid w:val="00B37951"/>
    <w:rsid w:val="00B41E33"/>
    <w:rsid w:val="00B47D20"/>
    <w:rsid w:val="00B63F82"/>
    <w:rsid w:val="00B702A4"/>
    <w:rsid w:val="00B7031B"/>
    <w:rsid w:val="00B703E9"/>
    <w:rsid w:val="00B7098D"/>
    <w:rsid w:val="00B736FB"/>
    <w:rsid w:val="00B77654"/>
    <w:rsid w:val="00B94ADB"/>
    <w:rsid w:val="00BA1CB6"/>
    <w:rsid w:val="00BB3BFC"/>
    <w:rsid w:val="00BB76B5"/>
    <w:rsid w:val="00BC0734"/>
    <w:rsid w:val="00BD04BC"/>
    <w:rsid w:val="00BD6733"/>
    <w:rsid w:val="00BD684E"/>
    <w:rsid w:val="00BE61DE"/>
    <w:rsid w:val="00BF3E9B"/>
    <w:rsid w:val="00BF5380"/>
    <w:rsid w:val="00BF7AC9"/>
    <w:rsid w:val="00C00B0D"/>
    <w:rsid w:val="00C01138"/>
    <w:rsid w:val="00C26EC4"/>
    <w:rsid w:val="00C42F2B"/>
    <w:rsid w:val="00C53F07"/>
    <w:rsid w:val="00C65E2E"/>
    <w:rsid w:val="00C76073"/>
    <w:rsid w:val="00C76192"/>
    <w:rsid w:val="00C804D0"/>
    <w:rsid w:val="00C81F2E"/>
    <w:rsid w:val="00C830EF"/>
    <w:rsid w:val="00C91595"/>
    <w:rsid w:val="00C930CE"/>
    <w:rsid w:val="00C9718F"/>
    <w:rsid w:val="00CA4C19"/>
    <w:rsid w:val="00CB112B"/>
    <w:rsid w:val="00CC3D59"/>
    <w:rsid w:val="00CC6353"/>
    <w:rsid w:val="00CD3574"/>
    <w:rsid w:val="00CE24F4"/>
    <w:rsid w:val="00CE3AF6"/>
    <w:rsid w:val="00D01C94"/>
    <w:rsid w:val="00D21AFD"/>
    <w:rsid w:val="00D2308F"/>
    <w:rsid w:val="00D2636D"/>
    <w:rsid w:val="00D31AA7"/>
    <w:rsid w:val="00D33312"/>
    <w:rsid w:val="00D37A63"/>
    <w:rsid w:val="00D40368"/>
    <w:rsid w:val="00D4477A"/>
    <w:rsid w:val="00D460BB"/>
    <w:rsid w:val="00D54DE2"/>
    <w:rsid w:val="00D56E4B"/>
    <w:rsid w:val="00D57867"/>
    <w:rsid w:val="00D66691"/>
    <w:rsid w:val="00D668FE"/>
    <w:rsid w:val="00D74E72"/>
    <w:rsid w:val="00D838F7"/>
    <w:rsid w:val="00D9349C"/>
    <w:rsid w:val="00D95E7D"/>
    <w:rsid w:val="00D97101"/>
    <w:rsid w:val="00DD0E9B"/>
    <w:rsid w:val="00DD1092"/>
    <w:rsid w:val="00DD2205"/>
    <w:rsid w:val="00DF2A81"/>
    <w:rsid w:val="00DF4016"/>
    <w:rsid w:val="00DF4702"/>
    <w:rsid w:val="00E0133C"/>
    <w:rsid w:val="00E17302"/>
    <w:rsid w:val="00E2043E"/>
    <w:rsid w:val="00E36913"/>
    <w:rsid w:val="00E37BA5"/>
    <w:rsid w:val="00E47D6D"/>
    <w:rsid w:val="00E5138A"/>
    <w:rsid w:val="00E5634B"/>
    <w:rsid w:val="00E7211F"/>
    <w:rsid w:val="00E967F4"/>
    <w:rsid w:val="00EB3B40"/>
    <w:rsid w:val="00ED166A"/>
    <w:rsid w:val="00EE2454"/>
    <w:rsid w:val="00F00DAE"/>
    <w:rsid w:val="00F106E3"/>
    <w:rsid w:val="00F16AEC"/>
    <w:rsid w:val="00F1761C"/>
    <w:rsid w:val="00F21991"/>
    <w:rsid w:val="00F21AD6"/>
    <w:rsid w:val="00F2262B"/>
    <w:rsid w:val="00F35D6A"/>
    <w:rsid w:val="00F52AEE"/>
    <w:rsid w:val="00F669CE"/>
    <w:rsid w:val="00F82577"/>
    <w:rsid w:val="00F82E48"/>
    <w:rsid w:val="00F8335B"/>
    <w:rsid w:val="00F844F9"/>
    <w:rsid w:val="00F92855"/>
    <w:rsid w:val="00FB0A8A"/>
    <w:rsid w:val="00FE28B7"/>
    <w:rsid w:val="00FE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501E"/>
  <w15:docId w15:val="{80C6D2B2-C0B8-41BF-BB24-87ADBA07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3A0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9"/>
    <w:qFormat/>
    <w:rsid w:val="0098576D"/>
    <w:pPr>
      <w:keepNext/>
      <w:autoSpaceDE w:val="0"/>
      <w:autoSpaceDN w:val="0"/>
      <w:spacing w:after="0" w:line="240" w:lineRule="auto"/>
      <w:ind w:right="-237"/>
      <w:outlineLvl w:val="1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6">
    <w:name w:val="heading 6"/>
    <w:basedOn w:val="a"/>
    <w:next w:val="a"/>
    <w:link w:val="60"/>
    <w:uiPriority w:val="9"/>
    <w:qFormat/>
    <w:rsid w:val="00597EB3"/>
    <w:pPr>
      <w:autoSpaceDE w:val="0"/>
      <w:autoSpaceDN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1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3A0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E5138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513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983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Strong"/>
    <w:basedOn w:val="a0"/>
    <w:uiPriority w:val="22"/>
    <w:qFormat/>
    <w:rsid w:val="00763447"/>
    <w:rPr>
      <w:b/>
      <w:bCs/>
    </w:rPr>
  </w:style>
  <w:style w:type="character" w:styleId="a9">
    <w:name w:val="Hyperlink"/>
    <w:basedOn w:val="a0"/>
    <w:uiPriority w:val="99"/>
    <w:unhideWhenUsed/>
    <w:rsid w:val="0063179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98576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597EB3"/>
    <w:rPr>
      <w:rFonts w:ascii="Calibri" w:eastAsia="Times New Roman" w:hAnsi="Calibri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7951"/>
    <w:rPr>
      <w:rFonts w:ascii="Segoe UI" w:hAnsi="Segoe UI" w:cs="Segoe UI"/>
      <w:sz w:val="18"/>
      <w:szCs w:val="18"/>
    </w:rPr>
  </w:style>
  <w:style w:type="paragraph" w:customStyle="1" w:styleId="1">
    <w:name w:val="Обычный (веб)1"/>
    <w:basedOn w:val="a"/>
    <w:rsid w:val="00DF4016"/>
    <w:pPr>
      <w:suppressAutoHyphens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Emphasis"/>
    <w:basedOn w:val="a0"/>
    <w:uiPriority w:val="20"/>
    <w:qFormat/>
    <w:rsid w:val="00DF4016"/>
    <w:rPr>
      <w:i/>
      <w:iCs/>
    </w:rPr>
  </w:style>
  <w:style w:type="paragraph" w:styleId="ad">
    <w:name w:val="header"/>
    <w:basedOn w:val="a"/>
    <w:link w:val="ae"/>
    <w:uiPriority w:val="99"/>
    <w:unhideWhenUsed/>
    <w:rsid w:val="0078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8318E"/>
  </w:style>
  <w:style w:type="paragraph" w:styleId="af">
    <w:name w:val="footer"/>
    <w:basedOn w:val="a"/>
    <w:link w:val="af0"/>
    <w:uiPriority w:val="99"/>
    <w:unhideWhenUsed/>
    <w:rsid w:val="0078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83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E4A34-C101-4904-93B0-20459207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17</Pages>
  <Words>3137</Words>
  <Characters>17881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Tamara</cp:lastModifiedBy>
  <cp:revision>85</cp:revision>
  <cp:lastPrinted>2020-12-08T11:36:00Z</cp:lastPrinted>
  <dcterms:created xsi:type="dcterms:W3CDTF">2020-12-02T13:20:00Z</dcterms:created>
  <dcterms:modified xsi:type="dcterms:W3CDTF">2020-12-16T14:48:00Z</dcterms:modified>
</cp:coreProperties>
</file>