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BF" w:rsidRPr="00597D71" w:rsidRDefault="00515A9A" w:rsidP="00597D71">
      <w:pPr>
        <w:ind w:left="5103"/>
        <w:rPr>
          <w:sz w:val="28"/>
          <w:lang w:val="uk-UA"/>
        </w:rPr>
      </w:pPr>
      <w:r w:rsidRPr="00597D71">
        <w:rPr>
          <w:sz w:val="28"/>
          <w:lang w:val="uk-UA"/>
        </w:rPr>
        <w:t>Додаток 1</w:t>
      </w:r>
    </w:p>
    <w:p w:rsidR="00597D71" w:rsidRDefault="00515A9A" w:rsidP="00597D71">
      <w:pPr>
        <w:ind w:left="5103"/>
        <w:rPr>
          <w:sz w:val="28"/>
          <w:lang w:val="uk-UA"/>
        </w:rPr>
      </w:pPr>
      <w:r w:rsidRPr="00597D71">
        <w:rPr>
          <w:sz w:val="28"/>
          <w:lang w:val="uk-UA"/>
        </w:rPr>
        <w:t xml:space="preserve">до рішення міської ради </w:t>
      </w:r>
    </w:p>
    <w:p w:rsidR="000100BF" w:rsidRPr="00597D71" w:rsidRDefault="00597D71" w:rsidP="00597D71">
      <w:pPr>
        <w:ind w:left="5103"/>
        <w:rPr>
          <w:sz w:val="28"/>
          <w:lang w:val="uk-UA"/>
        </w:rPr>
      </w:pPr>
      <w:r>
        <w:rPr>
          <w:sz w:val="28"/>
          <w:lang w:val="uk-UA"/>
        </w:rPr>
        <w:t>_______________</w:t>
      </w:r>
      <w:r w:rsidR="00515A9A" w:rsidRPr="00597D71">
        <w:rPr>
          <w:sz w:val="28"/>
          <w:lang w:val="uk-UA"/>
        </w:rPr>
        <w:t>№ _____</w:t>
      </w:r>
      <w:r>
        <w:rPr>
          <w:sz w:val="28"/>
          <w:lang w:val="uk-UA"/>
        </w:rPr>
        <w:t>_____</w:t>
      </w:r>
      <w:r w:rsidR="00515A9A" w:rsidRPr="00597D71">
        <w:rPr>
          <w:sz w:val="28"/>
          <w:lang w:val="uk-UA"/>
        </w:rPr>
        <w:t>_</w:t>
      </w:r>
    </w:p>
    <w:p w:rsidR="000100BF" w:rsidRPr="00597D71" w:rsidRDefault="000100BF">
      <w:pPr>
        <w:rPr>
          <w:lang w:val="uk-UA"/>
        </w:rPr>
      </w:pPr>
    </w:p>
    <w:p w:rsidR="000100BF" w:rsidRPr="00597D71" w:rsidRDefault="000100BF">
      <w:pPr>
        <w:jc w:val="center"/>
        <w:rPr>
          <w:b/>
          <w:sz w:val="28"/>
          <w:lang w:val="uk-UA"/>
        </w:rPr>
      </w:pPr>
    </w:p>
    <w:p w:rsidR="000100BF" w:rsidRPr="00597D71" w:rsidRDefault="00515A9A">
      <w:pPr>
        <w:jc w:val="center"/>
        <w:rPr>
          <w:b/>
          <w:sz w:val="28"/>
          <w:lang w:val="uk-UA"/>
        </w:rPr>
      </w:pPr>
      <w:r w:rsidRPr="00597D71">
        <w:rPr>
          <w:b/>
          <w:sz w:val="28"/>
          <w:lang w:val="uk-UA"/>
        </w:rPr>
        <w:t>ПРОГРАМА</w:t>
      </w:r>
    </w:p>
    <w:p w:rsidR="000100BF" w:rsidRPr="00597D71" w:rsidRDefault="00515A9A">
      <w:pPr>
        <w:jc w:val="center"/>
        <w:rPr>
          <w:b/>
          <w:sz w:val="28"/>
          <w:lang w:val="uk-UA"/>
        </w:rPr>
      </w:pPr>
      <w:r w:rsidRPr="00597D71">
        <w:rPr>
          <w:b/>
          <w:sz w:val="28"/>
          <w:lang w:val="uk-UA"/>
        </w:rPr>
        <w:t xml:space="preserve">відшкодування частини суми </w:t>
      </w:r>
      <w:r w:rsidRPr="00597D71">
        <w:rPr>
          <w:b/>
          <w:color w:val="000000"/>
          <w:sz w:val="28"/>
          <w:lang w:val="uk-UA"/>
        </w:rPr>
        <w:t>кредитів</w:t>
      </w:r>
      <w:r w:rsidRPr="00597D71">
        <w:rPr>
          <w:b/>
          <w:color w:val="FF0000"/>
          <w:sz w:val="28"/>
          <w:lang w:val="uk-UA"/>
        </w:rPr>
        <w:t xml:space="preserve"> </w:t>
      </w:r>
      <w:r w:rsidRPr="00597D71">
        <w:rPr>
          <w:b/>
          <w:sz w:val="28"/>
          <w:lang w:val="uk-UA"/>
        </w:rPr>
        <w:t>ОСББ Луцької міської територіальної громади, залучених на впровадження в будинках енергоефективних заходів на 2021-2023 роки</w:t>
      </w:r>
    </w:p>
    <w:p w:rsidR="000100BF" w:rsidRDefault="000100BF" w:rsidP="00597D71">
      <w:pPr>
        <w:jc w:val="center"/>
        <w:rPr>
          <w:b/>
          <w:sz w:val="28"/>
          <w:lang w:val="uk-UA"/>
        </w:rPr>
      </w:pPr>
    </w:p>
    <w:p w:rsidR="00597D71" w:rsidRPr="00597D71" w:rsidRDefault="00597D71" w:rsidP="00597D71">
      <w:pPr>
        <w:jc w:val="center"/>
        <w:rPr>
          <w:b/>
          <w:sz w:val="28"/>
          <w:lang w:val="uk-UA"/>
        </w:rPr>
      </w:pPr>
    </w:p>
    <w:p w:rsidR="000100BF" w:rsidRPr="00597D71" w:rsidRDefault="00515A9A">
      <w:pPr>
        <w:jc w:val="center"/>
        <w:rPr>
          <w:b/>
          <w:sz w:val="28"/>
          <w:lang w:val="uk-UA"/>
        </w:rPr>
      </w:pPr>
      <w:r w:rsidRPr="00597D71">
        <w:rPr>
          <w:b/>
          <w:sz w:val="28"/>
          <w:lang w:val="uk-UA"/>
        </w:rPr>
        <w:t>ПАСПОРТ  ПРОГРАМИ</w:t>
      </w:r>
    </w:p>
    <w:tbl>
      <w:tblPr>
        <w:tblW w:w="9540" w:type="dxa"/>
        <w:tblInd w:w="108" w:type="dxa"/>
        <w:tblLook w:val="01E0" w:firstRow="1" w:lastRow="1" w:firstColumn="1" w:lastColumn="1" w:noHBand="0" w:noVBand="0"/>
      </w:tblPr>
      <w:tblGrid>
        <w:gridCol w:w="566"/>
        <w:gridCol w:w="3772"/>
        <w:gridCol w:w="5202"/>
      </w:tblGrid>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Ініціатор розроблення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Луцька міська рада</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Дата, номер та назва документу органу виконавчої влади про розроблення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center"/>
              <w:rPr>
                <w:sz w:val="28"/>
                <w:highlight w:val="yellow"/>
                <w:lang w:val="uk-UA"/>
              </w:rPr>
            </w:pPr>
            <w:r w:rsidRPr="00597D71">
              <w:rPr>
                <w:sz w:val="28"/>
                <w:lang w:val="uk-UA"/>
              </w:rPr>
              <w:t>-</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Розробник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highlight w:val="yellow"/>
                <w:lang w:val="uk-UA"/>
              </w:rPr>
            </w:pPr>
            <w:r w:rsidRPr="00597D71">
              <w:rPr>
                <w:sz w:val="28"/>
                <w:lang w:val="uk-UA"/>
              </w:rPr>
              <w:t xml:space="preserve">Департамент житлово-комунального господарства Луцької міської ради </w:t>
            </w:r>
          </w:p>
        </w:tc>
      </w:tr>
      <w:tr w:rsidR="000100BF" w:rsidRPr="001D3559">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proofErr w:type="spellStart"/>
            <w:r w:rsidRPr="00597D71">
              <w:rPr>
                <w:sz w:val="28"/>
                <w:lang w:val="uk-UA"/>
              </w:rPr>
              <w:t>Співрозробники</w:t>
            </w:r>
            <w:proofErr w:type="spellEnd"/>
            <w:r w:rsidRPr="00597D71">
              <w:rPr>
                <w:sz w:val="28"/>
                <w:lang w:val="uk-UA"/>
              </w:rPr>
              <w:t xml:space="preserve">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Об’єднання співвласників багатоквартирних будинків на території Луцької міської територіальної громади (далі – ОСББ, Позичальники)</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Відповідальний виконавець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color w:val="000000"/>
                <w:sz w:val="28"/>
                <w:lang w:val="uk-UA"/>
              </w:rPr>
            </w:pPr>
            <w:r w:rsidRPr="00597D71">
              <w:rPr>
                <w:sz w:val="28"/>
                <w:lang w:val="uk-UA"/>
              </w:rPr>
              <w:t>Департамент житлово-комунального господарства Луцької міської ради</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Учасники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ОСББ</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 xml:space="preserve">Термін реалізації Програми </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97D71">
            <w:pPr>
              <w:jc w:val="both"/>
              <w:rPr>
                <w:sz w:val="28"/>
                <w:lang w:val="uk-UA"/>
              </w:rPr>
            </w:pPr>
            <w:r>
              <w:rPr>
                <w:sz w:val="28"/>
                <w:lang w:val="uk-UA"/>
              </w:rPr>
              <w:t>2021–</w:t>
            </w:r>
            <w:r w:rsidR="00515A9A" w:rsidRPr="00597D71">
              <w:rPr>
                <w:sz w:val="28"/>
                <w:lang w:val="uk-UA"/>
              </w:rPr>
              <w:t>2023 роки</w:t>
            </w:r>
          </w:p>
        </w:tc>
      </w:tr>
      <w:tr w:rsidR="000100BF" w:rsidRPr="00597D71" w:rsidTr="00597D71">
        <w:trPr>
          <w:trHeight w:val="821"/>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Загальний обсяг фінансових  ресурсів, необх</w:t>
            </w:r>
            <w:r w:rsidR="00597D71">
              <w:rPr>
                <w:sz w:val="28"/>
                <w:lang w:val="uk-UA"/>
              </w:rPr>
              <w:t xml:space="preserve">ідних для реалізації Програми, </w:t>
            </w:r>
            <w:r w:rsidRPr="00597D71">
              <w:rPr>
                <w:sz w:val="28"/>
                <w:lang w:val="uk-UA"/>
              </w:rPr>
              <w:t>всього</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rsidP="00597D71">
            <w:pPr>
              <w:rPr>
                <w:sz w:val="28"/>
                <w:lang w:val="uk-UA"/>
              </w:rPr>
            </w:pPr>
            <w:r w:rsidRPr="00597D71">
              <w:rPr>
                <w:sz w:val="28"/>
                <w:lang w:val="uk-UA"/>
              </w:rPr>
              <w:t>75</w:t>
            </w:r>
            <w:r w:rsidR="0056335D">
              <w:rPr>
                <w:sz w:val="28"/>
                <w:lang w:val="uk-UA"/>
              </w:rPr>
              <w:t>0</w:t>
            </w:r>
            <w:r w:rsidR="00597D71">
              <w:rPr>
                <w:sz w:val="28"/>
                <w:lang w:val="uk-UA"/>
              </w:rPr>
              <w:t xml:space="preserve"> 000,0 тис. грн</w:t>
            </w:r>
          </w:p>
        </w:tc>
      </w:tr>
      <w:tr w:rsidR="000100BF" w:rsidRPr="00597D71">
        <w:trPr>
          <w:trHeight w:val="37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ind w:firstLine="720"/>
              <w:jc w:val="both"/>
              <w:rPr>
                <w:sz w:val="28"/>
                <w:lang w:val="uk-UA"/>
              </w:rPr>
            </w:pPr>
            <w:r w:rsidRPr="00597D71">
              <w:rPr>
                <w:sz w:val="28"/>
                <w:lang w:val="uk-UA"/>
              </w:rPr>
              <w:t>у тому числі:</w:t>
            </w:r>
          </w:p>
        </w:tc>
      </w:tr>
      <w:tr w:rsidR="000100BF" w:rsidRPr="00597D71">
        <w:trPr>
          <w:trHeight w:val="1024"/>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ind w:right="-108"/>
              <w:rPr>
                <w:sz w:val="28"/>
                <w:lang w:val="uk-UA"/>
              </w:rPr>
            </w:pPr>
            <w:r w:rsidRPr="00597D71">
              <w:rPr>
                <w:sz w:val="28"/>
                <w:lang w:val="uk-UA"/>
              </w:rPr>
              <w:t>8.1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rsidP="00B03351">
            <w:pPr>
              <w:rPr>
                <w:sz w:val="28"/>
                <w:lang w:val="uk-UA"/>
              </w:rPr>
            </w:pPr>
            <w:r w:rsidRPr="00597D71">
              <w:rPr>
                <w:sz w:val="28"/>
                <w:lang w:val="uk-UA"/>
              </w:rPr>
              <w:t>кошти бюджету</w:t>
            </w:r>
            <w:r w:rsidR="00B03351" w:rsidRPr="00597D71">
              <w:rPr>
                <w:sz w:val="28"/>
                <w:lang w:val="uk-UA"/>
              </w:rPr>
              <w:t xml:space="preserve"> Луцької міської територіальної громади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97D71">
            <w:pPr>
              <w:jc w:val="both"/>
              <w:rPr>
                <w:sz w:val="28"/>
                <w:lang w:val="uk-UA"/>
              </w:rPr>
            </w:pPr>
            <w:r>
              <w:rPr>
                <w:sz w:val="28"/>
                <w:lang w:val="uk-UA"/>
              </w:rPr>
              <w:t>2021 рік – 20 000,00 тис. грн</w:t>
            </w:r>
          </w:p>
          <w:p w:rsidR="000100BF" w:rsidRPr="00597D71" w:rsidRDefault="00597D71">
            <w:pPr>
              <w:jc w:val="both"/>
              <w:rPr>
                <w:sz w:val="28"/>
                <w:lang w:val="uk-UA"/>
              </w:rPr>
            </w:pPr>
            <w:r>
              <w:rPr>
                <w:sz w:val="28"/>
                <w:lang w:val="uk-UA"/>
              </w:rPr>
              <w:t>2022 рік – 25 000,00 тис. грн</w:t>
            </w:r>
          </w:p>
          <w:p w:rsidR="000100BF" w:rsidRPr="00597D71" w:rsidRDefault="00515A9A">
            <w:pPr>
              <w:jc w:val="both"/>
              <w:rPr>
                <w:sz w:val="28"/>
                <w:lang w:val="uk-UA"/>
              </w:rPr>
            </w:pPr>
            <w:r w:rsidRPr="00597D71">
              <w:rPr>
                <w:color w:val="000000"/>
                <w:sz w:val="28"/>
                <w:lang w:val="uk-UA"/>
              </w:rPr>
              <w:t>2023</w:t>
            </w:r>
            <w:r w:rsidR="00597D71">
              <w:rPr>
                <w:sz w:val="28"/>
                <w:lang w:val="uk-UA"/>
              </w:rPr>
              <w:t xml:space="preserve"> рік – 30 000,00 тис. грн</w:t>
            </w:r>
          </w:p>
        </w:tc>
      </w:tr>
      <w:tr w:rsidR="0056335D" w:rsidRPr="00597D71" w:rsidTr="00121632">
        <w:trPr>
          <w:trHeight w:val="72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56335D" w:rsidRDefault="0056335D" w:rsidP="00121632">
            <w:pPr>
              <w:ind w:right="-108"/>
              <w:rPr>
                <w:sz w:val="28"/>
                <w:lang w:val="uk-UA"/>
              </w:rPr>
            </w:pPr>
            <w:r w:rsidRPr="0056335D">
              <w:rPr>
                <w:sz w:val="28"/>
                <w:lang w:val="uk-UA"/>
              </w:rPr>
              <w:t>8.2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кошти співвласників</w:t>
            </w:r>
          </w:p>
          <w:p w:rsidR="0056335D" w:rsidRPr="0056335D" w:rsidRDefault="0056335D" w:rsidP="00121632">
            <w:pPr>
              <w:rPr>
                <w:sz w:val="28"/>
                <w:lang w:val="uk-UA"/>
              </w:rPr>
            </w:pPr>
            <w:r w:rsidRPr="0056335D">
              <w:rPr>
                <w:sz w:val="28"/>
                <w:lang w:val="uk-UA"/>
              </w:rPr>
              <w:t>відповідно до Державної цільової програми енергоефективності</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2021 рік – 40 000,00 тис. грн</w:t>
            </w:r>
          </w:p>
          <w:p w:rsidR="0056335D" w:rsidRPr="0056335D" w:rsidRDefault="0056335D" w:rsidP="00121632">
            <w:pPr>
              <w:rPr>
                <w:sz w:val="28"/>
                <w:lang w:val="uk-UA"/>
              </w:rPr>
            </w:pPr>
            <w:r w:rsidRPr="0056335D">
              <w:rPr>
                <w:sz w:val="28"/>
                <w:lang w:val="uk-UA"/>
              </w:rPr>
              <w:t>2022 рік – 50 000,00 тис. грн</w:t>
            </w:r>
          </w:p>
          <w:p w:rsidR="0056335D" w:rsidRPr="0056335D" w:rsidRDefault="0056335D" w:rsidP="00121632">
            <w:pPr>
              <w:rPr>
                <w:sz w:val="28"/>
                <w:lang w:val="uk-UA"/>
              </w:rPr>
            </w:pPr>
            <w:r w:rsidRPr="0056335D">
              <w:rPr>
                <w:sz w:val="28"/>
                <w:lang w:val="uk-UA"/>
              </w:rPr>
              <w:t>2023 рік – 60 000,00 тис. грн</w:t>
            </w:r>
          </w:p>
        </w:tc>
      </w:tr>
      <w:tr w:rsidR="0056335D" w:rsidRPr="00597D71" w:rsidTr="00121632">
        <w:trPr>
          <w:trHeight w:val="72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56335D" w:rsidRDefault="0056335D" w:rsidP="00121632">
            <w:pPr>
              <w:ind w:right="-108"/>
              <w:rPr>
                <w:sz w:val="28"/>
                <w:lang w:val="uk-UA"/>
              </w:rPr>
            </w:pPr>
            <w:r w:rsidRPr="0056335D">
              <w:rPr>
                <w:sz w:val="28"/>
                <w:lang w:val="uk-UA"/>
              </w:rPr>
              <w:t>8.3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кошти інших джерел відповідно до Державної цільової програми енергоефективності</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2021 рік – 140 000,00 тис. грн</w:t>
            </w:r>
          </w:p>
          <w:p w:rsidR="0056335D" w:rsidRPr="0056335D" w:rsidRDefault="0056335D" w:rsidP="00121632">
            <w:pPr>
              <w:rPr>
                <w:sz w:val="28"/>
                <w:lang w:val="uk-UA"/>
              </w:rPr>
            </w:pPr>
            <w:r w:rsidRPr="0056335D">
              <w:rPr>
                <w:sz w:val="28"/>
                <w:lang w:val="uk-UA"/>
              </w:rPr>
              <w:t>2022 рік – 175 000,00 тис. грн</w:t>
            </w:r>
          </w:p>
          <w:p w:rsidR="0056335D" w:rsidRPr="0056335D" w:rsidRDefault="0056335D" w:rsidP="00121632">
            <w:pPr>
              <w:rPr>
                <w:sz w:val="28"/>
                <w:lang w:val="uk-UA"/>
              </w:rPr>
            </w:pPr>
            <w:r w:rsidRPr="0056335D">
              <w:rPr>
                <w:sz w:val="28"/>
                <w:lang w:val="uk-UA"/>
              </w:rPr>
              <w:t>2023 рік – 210 000,00 тис. грн</w:t>
            </w:r>
          </w:p>
        </w:tc>
      </w:tr>
    </w:tbl>
    <w:p w:rsidR="000100BF" w:rsidRPr="00597D71" w:rsidRDefault="00515A9A">
      <w:pPr>
        <w:pStyle w:val="1"/>
        <w:jc w:val="center"/>
        <w:rPr>
          <w:lang w:val="uk-UA"/>
        </w:rPr>
      </w:pPr>
      <w:bookmarkStart w:id="0" w:name="_Toc467428483"/>
      <w:bookmarkStart w:id="1" w:name="_Toc424524481"/>
      <w:r w:rsidRPr="00597D71">
        <w:rPr>
          <w:rFonts w:ascii="Times New Roman" w:eastAsia="Times New Roman" w:hAnsi="Times New Roman" w:cs="Times New Roman"/>
          <w:bCs w:val="0"/>
          <w:color w:val="auto"/>
          <w:lang w:val="uk-UA"/>
        </w:rPr>
        <w:lastRenderedPageBreak/>
        <w:t>1. ВИЗНАЧЕННЯ ПРОБЛЕМИ, НА РОЗВ’ЯЗАННЯ ЯКОЇ СПРЯМОВАНА ПРОГРАМА</w:t>
      </w:r>
      <w:bookmarkEnd w:id="0"/>
      <w:bookmarkEnd w:id="1"/>
    </w:p>
    <w:p w:rsidR="000100BF" w:rsidRPr="00597D71" w:rsidRDefault="00515A9A">
      <w:pPr>
        <w:ind w:firstLine="720"/>
        <w:jc w:val="both"/>
        <w:rPr>
          <w:sz w:val="28"/>
          <w:lang w:val="uk-UA"/>
        </w:rPr>
      </w:pPr>
      <w:r w:rsidRPr="00597D71">
        <w:rPr>
          <w:sz w:val="28"/>
          <w:lang w:val="uk-UA"/>
        </w:rPr>
        <w:t>Програма відшкодування частини суми кредитів ОСББ (далі – Програма) розроблена на підставі Цивільного кодексу України, законів України «Про об’єднання співвласників багатоквартирного будинку», «Про Фонд енергоефективності», «Про приватизацію державного житлового фонду», Розпорядження Кабінету Міністрів України від 13 липня 2016 р. №489-р «Про схвалення Концепції впровадження механізмів стабільного фінансування заходів з енергоефективності (створення Фонду енергоефективності)», Постанови Кабінету Міністрів України від 20 грудня 2017</w:t>
      </w:r>
      <w:r w:rsidR="00597D71">
        <w:rPr>
          <w:sz w:val="28"/>
          <w:lang w:val="uk-UA"/>
        </w:rPr>
        <w:t xml:space="preserve"> </w:t>
      </w:r>
      <w:r w:rsidRPr="00597D71">
        <w:rPr>
          <w:sz w:val="28"/>
          <w:lang w:val="uk-UA"/>
        </w:rPr>
        <w:t>року №</w:t>
      </w:r>
      <w:r w:rsidR="00597D71">
        <w:rPr>
          <w:sz w:val="28"/>
          <w:lang w:val="uk-UA"/>
        </w:rPr>
        <w:t> </w:t>
      </w:r>
      <w:r w:rsidRPr="00597D71">
        <w:rPr>
          <w:sz w:val="28"/>
          <w:lang w:val="uk-UA"/>
        </w:rPr>
        <w:t>1099 «Про утворення державної установи “Фонд енергоефективності”», Постанови Кабінету Міністр</w:t>
      </w:r>
      <w:r w:rsidR="00597D71">
        <w:rPr>
          <w:sz w:val="28"/>
          <w:lang w:val="uk-UA"/>
        </w:rPr>
        <w:t xml:space="preserve">ів України  від 20 грудня 2017 </w:t>
      </w:r>
      <w:r w:rsidRPr="00597D71">
        <w:rPr>
          <w:sz w:val="28"/>
          <w:lang w:val="uk-UA"/>
        </w:rPr>
        <w:t>року №</w:t>
      </w:r>
      <w:r w:rsidR="00597D71">
        <w:rPr>
          <w:sz w:val="28"/>
          <w:lang w:val="uk-UA"/>
        </w:rPr>
        <w:t> </w:t>
      </w:r>
      <w:r w:rsidRPr="00597D71">
        <w:rPr>
          <w:sz w:val="28"/>
          <w:lang w:val="uk-UA"/>
        </w:rPr>
        <w:t>1102 «Про затвердження Порядку використання коштів, передбачених у державному бюджеті для функціонування Фонду енергоефективності», Постанови Кабінету Міністрів України від 28 лютого 2018 р. № 138 «Про затвердження вимог щодо професійної компетенції та ділової репутації посадових осіб державної установи “Фонд енергоефективності”», Постанови Кабінету Міністрів України від 28 лютого 2018 р. №142  «Про затвердження Положення про Наглядову раду державної установи “Фонд енергоефективності”», Постанови Кабінету Міністрів України від 28 лютого 2018 р. №149 «Про затвердження Методики розрахунку економії енергії в результаті здійснення заходів з енергоефективності, які фінансуються державною установою “Фонд енергоефективності”».</w:t>
      </w:r>
    </w:p>
    <w:p w:rsidR="000100BF" w:rsidRPr="00597D71" w:rsidRDefault="00515A9A">
      <w:pPr>
        <w:ind w:firstLine="720"/>
        <w:jc w:val="both"/>
        <w:rPr>
          <w:sz w:val="28"/>
          <w:lang w:val="uk-UA"/>
        </w:rPr>
      </w:pPr>
      <w:r w:rsidRPr="00597D71">
        <w:rPr>
          <w:sz w:val="28"/>
          <w:lang w:val="uk-UA"/>
        </w:rPr>
        <w:t>Відповідно до Закону України «Про місцеве самоврядування в Україні»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w:t>
      </w:r>
    </w:p>
    <w:p w:rsidR="000100BF" w:rsidRPr="00597D71" w:rsidRDefault="00515A9A">
      <w:pPr>
        <w:ind w:firstLine="720"/>
        <w:jc w:val="both"/>
        <w:rPr>
          <w:sz w:val="28"/>
          <w:lang w:val="uk-UA"/>
        </w:rPr>
      </w:pPr>
      <w:r w:rsidRPr="00597D71">
        <w:rPr>
          <w:sz w:val="28"/>
          <w:lang w:val="uk-UA"/>
        </w:rPr>
        <w:t>Однією з найбільш гострих соціально-економічних проблем України на сьогоднішній день є житлова. Застарілими є організаційні принципи роботи та управління житлово-експлуатаційних організацій, відсутність системних перетворень у житлово-комунальній сфері. Недостатнє фінансування запланованих заходів щодо обліку використання енергоресурсів, утримання та ремонту житлового фонду, його реконструкції і модернізації призвело до незадовільного стану житла в громаді.</w:t>
      </w:r>
    </w:p>
    <w:p w:rsidR="000100BF" w:rsidRPr="00597D71" w:rsidRDefault="00515A9A">
      <w:pPr>
        <w:ind w:firstLine="720"/>
        <w:jc w:val="both"/>
        <w:rPr>
          <w:sz w:val="28"/>
          <w:lang w:val="uk-UA"/>
        </w:rPr>
      </w:pPr>
      <w:r w:rsidRPr="00597D71">
        <w:rPr>
          <w:sz w:val="28"/>
          <w:lang w:val="uk-UA"/>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постала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як нової організаційної форми утримання житла, що значно краще відповідає реаліям сьогодення. </w:t>
      </w:r>
    </w:p>
    <w:p w:rsidR="000100BF" w:rsidRPr="00597D71" w:rsidRDefault="00515A9A">
      <w:pPr>
        <w:ind w:firstLine="720"/>
        <w:jc w:val="both"/>
        <w:rPr>
          <w:sz w:val="28"/>
          <w:lang w:val="uk-UA"/>
        </w:rPr>
      </w:pPr>
      <w:r w:rsidRPr="00597D71">
        <w:rPr>
          <w:sz w:val="28"/>
          <w:lang w:val="uk-UA"/>
        </w:rPr>
        <w:t xml:space="preserve">На даний час у Луцькій міській територіальній громаді зареєстровано та виконують визначені законодавством функції 563 ОСББ. Переважна більшість їх створена за останні роки. </w:t>
      </w:r>
    </w:p>
    <w:p w:rsidR="000100BF" w:rsidRPr="00597D71" w:rsidRDefault="00515A9A">
      <w:pPr>
        <w:ind w:firstLine="720"/>
        <w:jc w:val="both"/>
        <w:rPr>
          <w:sz w:val="28"/>
          <w:lang w:val="uk-UA"/>
        </w:rPr>
      </w:pPr>
      <w:r w:rsidRPr="00597D71">
        <w:rPr>
          <w:sz w:val="28"/>
          <w:lang w:val="uk-UA"/>
        </w:rPr>
        <w:lastRenderedPageBreak/>
        <w:t xml:space="preserve">Потребує вирішення питання підготовки житлових будинків до передачі їх на самозабезпечення, виділення допомоги ОСББ на впровадження заходів енергозбереження, на капітальний ремонт конструктивних елементів та інженерних мереж будинків, де така діяльність вже ведеться ОСББ самостійно. </w:t>
      </w:r>
    </w:p>
    <w:p w:rsidR="000100BF" w:rsidRPr="00597D71" w:rsidRDefault="00515A9A">
      <w:pPr>
        <w:ind w:firstLine="720"/>
        <w:jc w:val="both"/>
        <w:rPr>
          <w:sz w:val="28"/>
          <w:lang w:val="uk-UA"/>
        </w:rPr>
      </w:pPr>
      <w:r w:rsidRPr="00597D71">
        <w:rPr>
          <w:sz w:val="28"/>
          <w:lang w:val="uk-UA"/>
        </w:rPr>
        <w:t>Допомога із бюджету Луцької міської територіальної громади необхідна у впровадженні заходів енергозбереження, реалізації завдань економії паливно-енергетичних ресурсів, першочергових заходів капітального ремонту, участі ОСББ у впровадженні проєктів за рахунок коштів державного бюджету та бюджету Луцької міської територіальної громади на умовах співфінансування.</w:t>
      </w:r>
    </w:p>
    <w:p w:rsidR="000100BF" w:rsidRPr="00597D71" w:rsidRDefault="000100BF">
      <w:pPr>
        <w:ind w:firstLine="720"/>
        <w:jc w:val="both"/>
        <w:rPr>
          <w:sz w:val="28"/>
          <w:lang w:val="uk-UA"/>
        </w:rPr>
      </w:pPr>
    </w:p>
    <w:p w:rsidR="000100BF" w:rsidRPr="00597D71" w:rsidRDefault="00515A9A">
      <w:pPr>
        <w:jc w:val="center"/>
        <w:rPr>
          <w:b/>
          <w:bCs/>
          <w:sz w:val="28"/>
          <w:lang w:val="uk-UA"/>
        </w:rPr>
      </w:pPr>
      <w:r w:rsidRPr="00597D71">
        <w:rPr>
          <w:b/>
          <w:bCs/>
          <w:sz w:val="28"/>
          <w:lang w:val="uk-UA"/>
        </w:rPr>
        <w:t>2. ВИЗНАЧЕННЯ МЕТИ ПРОГРАМИ</w:t>
      </w:r>
    </w:p>
    <w:p w:rsidR="000100BF" w:rsidRPr="00597D71" w:rsidRDefault="00515A9A">
      <w:pPr>
        <w:ind w:firstLine="567"/>
        <w:jc w:val="both"/>
        <w:rPr>
          <w:sz w:val="28"/>
          <w:lang w:val="uk-UA"/>
        </w:rPr>
      </w:pPr>
      <w:r w:rsidRPr="00597D71">
        <w:rPr>
          <w:sz w:val="28"/>
          <w:lang w:val="uk-UA"/>
        </w:rPr>
        <w:t xml:space="preserve">Метою програми є: зменшення витрат населення на оплату енергоресурсів, поліпшення умов проживання мешканців багатоквартирних будинків, збільшення терміну експлуатації житлового фонду Луцької міської територіальної громади, зменшення витрат </w:t>
      </w:r>
      <w:r w:rsidRPr="00597D71">
        <w:rPr>
          <w:iCs w:val="0"/>
          <w:sz w:val="28"/>
          <w:lang w:val="uk-UA"/>
        </w:rPr>
        <w:t>б</w:t>
      </w:r>
      <w:r w:rsidRPr="00597D71">
        <w:rPr>
          <w:sz w:val="28"/>
          <w:lang w:val="uk-UA"/>
        </w:rPr>
        <w:t xml:space="preserve">юджету на аварійні та капітальні ремонти багатоквартирних будинків, залучення у Луцьку міську територіальну громаду додаткових коштів державного бюджету, а також коштів мешканців для </w:t>
      </w:r>
      <w:proofErr w:type="spellStart"/>
      <w:r w:rsidRPr="00597D71">
        <w:rPr>
          <w:sz w:val="28"/>
          <w:lang w:val="uk-UA"/>
        </w:rPr>
        <w:t>термореновації</w:t>
      </w:r>
      <w:proofErr w:type="spellEnd"/>
      <w:r w:rsidRPr="00597D71">
        <w:rPr>
          <w:sz w:val="28"/>
          <w:lang w:val="uk-UA"/>
        </w:rPr>
        <w:t xml:space="preserve"> будинків, що дасть розвиток ділового середовища та створення нових робочих місць </w:t>
      </w:r>
      <w:r w:rsidR="00597D71">
        <w:rPr>
          <w:sz w:val="28"/>
          <w:lang w:val="uk-UA"/>
        </w:rPr>
        <w:t>тощо</w:t>
      </w:r>
      <w:r w:rsidRPr="00597D71">
        <w:rPr>
          <w:sz w:val="28"/>
          <w:lang w:val="uk-UA"/>
        </w:rPr>
        <w:t>.</w:t>
      </w:r>
    </w:p>
    <w:p w:rsidR="000100BF" w:rsidRPr="00597D71" w:rsidRDefault="00515A9A">
      <w:pPr>
        <w:ind w:firstLine="708"/>
        <w:jc w:val="both"/>
        <w:rPr>
          <w:sz w:val="28"/>
          <w:lang w:val="uk-UA"/>
        </w:rPr>
      </w:pPr>
      <w:r w:rsidRPr="00597D71">
        <w:rPr>
          <w:sz w:val="28"/>
          <w:lang w:val="uk-UA"/>
        </w:rPr>
        <w:t xml:space="preserve">Досягнення поставлених цілей передбачено шляхом стимулювання </w:t>
      </w:r>
      <w:proofErr w:type="spellStart"/>
      <w:r w:rsidRPr="00597D71">
        <w:rPr>
          <w:sz w:val="28"/>
          <w:lang w:val="uk-UA"/>
        </w:rPr>
        <w:t>енергомодернізації</w:t>
      </w:r>
      <w:proofErr w:type="spellEnd"/>
      <w:r w:rsidRPr="00597D71">
        <w:rPr>
          <w:sz w:val="28"/>
          <w:lang w:val="uk-UA"/>
        </w:rPr>
        <w:t xml:space="preserve"> багатоквартирних житлових будинків, за рахунок фінансової підтримки ініціатив ОСББ.</w:t>
      </w:r>
    </w:p>
    <w:p w:rsidR="000100BF" w:rsidRPr="00597D71" w:rsidRDefault="000100BF">
      <w:pPr>
        <w:ind w:firstLine="708"/>
        <w:jc w:val="both"/>
        <w:rPr>
          <w:sz w:val="28"/>
          <w:lang w:val="uk-UA"/>
        </w:rPr>
      </w:pPr>
    </w:p>
    <w:p w:rsidR="000100BF" w:rsidRPr="00597D71" w:rsidRDefault="00515A9A">
      <w:pPr>
        <w:pStyle w:val="1"/>
        <w:spacing w:before="0"/>
        <w:jc w:val="center"/>
        <w:rPr>
          <w:rFonts w:ascii="Times New Roman" w:eastAsia="Times New Roman" w:hAnsi="Times New Roman" w:cs="Times New Roman"/>
          <w:bCs w:val="0"/>
          <w:color w:val="auto"/>
          <w:lang w:val="uk-UA"/>
        </w:rPr>
      </w:pPr>
      <w:bookmarkStart w:id="2" w:name="_Toc467428485"/>
      <w:bookmarkStart w:id="3" w:name="_Toc424524483"/>
      <w:r w:rsidRPr="00597D71">
        <w:rPr>
          <w:rFonts w:ascii="Times New Roman" w:eastAsia="Times New Roman" w:hAnsi="Times New Roman" w:cs="Times New Roman"/>
          <w:bCs w:val="0"/>
          <w:color w:val="auto"/>
          <w:lang w:val="uk-UA"/>
        </w:rPr>
        <w:t>3.ОБҐРУНТУВАННЯ ШЛЯХІВ І ЗАСОБІВ РОЗВ’ЯЗАННЯ ПРОБЛЕМИ</w:t>
      </w:r>
      <w:bookmarkEnd w:id="2"/>
      <w:bookmarkEnd w:id="3"/>
      <w:r w:rsidRPr="00597D71">
        <w:rPr>
          <w:rFonts w:ascii="Times New Roman" w:eastAsia="Times New Roman" w:hAnsi="Times New Roman" w:cs="Times New Roman"/>
          <w:bCs w:val="0"/>
          <w:color w:val="auto"/>
          <w:lang w:val="uk-UA"/>
        </w:rPr>
        <w:t>, ОБСЯГІВ ТА ДЖЕРЕЛ ФІНАНСУВАННЯ,ТЕРМІНИ ВИКОНАННЯ ЗАВДАНЬ, ЗАХОДІВ.</w:t>
      </w:r>
    </w:p>
    <w:p w:rsidR="000100BF" w:rsidRPr="00597D71" w:rsidRDefault="000100BF">
      <w:pPr>
        <w:jc w:val="center"/>
        <w:rPr>
          <w:lang w:val="uk-UA"/>
        </w:rPr>
      </w:pPr>
    </w:p>
    <w:p w:rsidR="000100BF" w:rsidRPr="00597D71" w:rsidRDefault="00515A9A">
      <w:pPr>
        <w:ind w:firstLine="720"/>
        <w:jc w:val="both"/>
        <w:rPr>
          <w:sz w:val="28"/>
          <w:lang w:val="uk-UA"/>
        </w:rPr>
      </w:pPr>
      <w:r w:rsidRPr="00597D71">
        <w:rPr>
          <w:sz w:val="28"/>
          <w:lang w:val="uk-UA"/>
        </w:rPr>
        <w:t>Дана Програма є продовженням Програми відшкодування відсоткових ставок за залученими кредитами, яка д</w:t>
      </w:r>
      <w:r w:rsidR="00597D71">
        <w:rPr>
          <w:sz w:val="28"/>
          <w:lang w:val="uk-UA"/>
        </w:rPr>
        <w:t>іяла у м. Луцьку протягом 2013–</w:t>
      </w:r>
      <w:r w:rsidRPr="00597D71">
        <w:rPr>
          <w:sz w:val="28"/>
          <w:lang w:val="uk-UA"/>
        </w:rPr>
        <w:t xml:space="preserve">2017 років, і основною метою якої було залучення коштів мешканців багатоквартирних будинків на покращення технічних характеристик їх власного житлового фонду та надання їм фінансової допомоги на впровадження цих заходів та Програми відшкодування частини суми </w:t>
      </w:r>
      <w:r w:rsidRPr="00597D71">
        <w:rPr>
          <w:color w:val="000000"/>
          <w:sz w:val="28"/>
          <w:lang w:val="uk-UA"/>
        </w:rPr>
        <w:t>кредитів</w:t>
      </w:r>
      <w:r w:rsidRPr="00597D71">
        <w:rPr>
          <w:color w:val="FF0000"/>
          <w:sz w:val="28"/>
          <w:lang w:val="uk-UA"/>
        </w:rPr>
        <w:t xml:space="preserve"> </w:t>
      </w:r>
      <w:r w:rsidRPr="00597D71">
        <w:rPr>
          <w:sz w:val="28"/>
          <w:lang w:val="uk-UA"/>
        </w:rPr>
        <w:t>ОСББ та ЖБК міста Луцька, залучених на впровадження в будинках е</w:t>
      </w:r>
      <w:r w:rsidR="00597D71">
        <w:rPr>
          <w:sz w:val="28"/>
          <w:lang w:val="uk-UA"/>
        </w:rPr>
        <w:t>нергоефективних заходів на 2018–</w:t>
      </w:r>
      <w:r w:rsidRPr="00597D71">
        <w:rPr>
          <w:sz w:val="28"/>
          <w:lang w:val="uk-UA"/>
        </w:rPr>
        <w:t>2020 роки.</w:t>
      </w:r>
    </w:p>
    <w:p w:rsidR="000100BF" w:rsidRPr="00597D71" w:rsidRDefault="00515A9A">
      <w:pPr>
        <w:widowControl w:val="0"/>
        <w:ind w:firstLine="708"/>
        <w:jc w:val="both"/>
        <w:rPr>
          <w:sz w:val="28"/>
          <w:lang w:val="uk-UA"/>
        </w:rPr>
      </w:pPr>
      <w:r w:rsidRPr="00597D71">
        <w:rPr>
          <w:sz w:val="28"/>
          <w:lang w:val="uk-UA"/>
        </w:rPr>
        <w:t xml:space="preserve">Діяльність Фонду енергоефективність відкриває можливості для проведення </w:t>
      </w:r>
      <w:bookmarkStart w:id="4" w:name="_Hlk24890457"/>
      <w:proofErr w:type="spellStart"/>
      <w:r w:rsidRPr="00597D71">
        <w:rPr>
          <w:sz w:val="28"/>
          <w:lang w:val="uk-UA"/>
        </w:rPr>
        <w:t>термомодернізації</w:t>
      </w:r>
      <w:proofErr w:type="spellEnd"/>
      <w:r w:rsidRPr="00597D71">
        <w:rPr>
          <w:sz w:val="28"/>
          <w:lang w:val="uk-UA"/>
        </w:rPr>
        <w:t xml:space="preserve"> </w:t>
      </w:r>
      <w:bookmarkEnd w:id="4"/>
      <w:r w:rsidRPr="00597D71">
        <w:rPr>
          <w:sz w:val="28"/>
          <w:lang w:val="uk-UA"/>
        </w:rPr>
        <w:t>житлових будинків ОСББ з частковою компенсацією фактично понесених ними витрат.</w:t>
      </w:r>
    </w:p>
    <w:p w:rsidR="000100BF" w:rsidRPr="00597D71" w:rsidRDefault="00515A9A">
      <w:pPr>
        <w:widowControl w:val="0"/>
        <w:ind w:firstLine="708"/>
        <w:jc w:val="both"/>
        <w:rPr>
          <w:sz w:val="28"/>
          <w:lang w:val="uk-UA"/>
        </w:rPr>
      </w:pPr>
      <w:r w:rsidRPr="00597D71">
        <w:rPr>
          <w:sz w:val="28"/>
          <w:lang w:val="uk-UA"/>
        </w:rPr>
        <w:t xml:space="preserve">Високий розмір компенсації Фондом витрат може стимулювати ОСББ до проведення </w:t>
      </w:r>
      <w:proofErr w:type="spellStart"/>
      <w:r w:rsidRPr="00597D71">
        <w:rPr>
          <w:sz w:val="28"/>
          <w:lang w:val="uk-UA"/>
        </w:rPr>
        <w:t>енергомодернізації</w:t>
      </w:r>
      <w:proofErr w:type="spellEnd"/>
      <w:r w:rsidRPr="00597D71">
        <w:rPr>
          <w:sz w:val="28"/>
          <w:lang w:val="uk-UA"/>
        </w:rPr>
        <w:t xml:space="preserve"> своїх будинків. Але впровадження таких проєктів відповідно до процедур Фонду може зайняти тривалий час і вийти за рамки календарного року. При цьому, у період до впровадження проєкту та отримання компенсації ОСББ нестиме непомірні витрати з обслуговування кредиту. Водночас, економію витрат ОСББ отримає лише після впровадження </w:t>
      </w:r>
      <w:r w:rsidRPr="00597D71">
        <w:rPr>
          <w:sz w:val="28"/>
          <w:lang w:val="uk-UA"/>
        </w:rPr>
        <w:lastRenderedPageBreak/>
        <w:t xml:space="preserve">проєкту. Це може фактично заблокувати ініціативу ОСББ. </w:t>
      </w:r>
    </w:p>
    <w:p w:rsidR="000100BF" w:rsidRPr="00597D71" w:rsidRDefault="00515A9A">
      <w:pPr>
        <w:widowControl w:val="0"/>
        <w:ind w:firstLine="708"/>
        <w:jc w:val="both"/>
        <w:rPr>
          <w:sz w:val="28"/>
          <w:lang w:val="uk-UA"/>
        </w:rPr>
      </w:pPr>
      <w:r w:rsidRPr="00597D71">
        <w:rPr>
          <w:sz w:val="28"/>
          <w:lang w:val="uk-UA"/>
        </w:rPr>
        <w:t xml:space="preserve">Розв’язати проблему може надання фінансової підтримки з бюджету Луцької міської територіальної громади. За умови ефективного управління </w:t>
      </w:r>
      <w:proofErr w:type="spellStart"/>
      <w:r w:rsidRPr="00597D71">
        <w:rPr>
          <w:sz w:val="28"/>
          <w:lang w:val="uk-UA"/>
        </w:rPr>
        <w:t>проєктом</w:t>
      </w:r>
      <w:proofErr w:type="spellEnd"/>
      <w:r w:rsidRPr="00597D71">
        <w:rPr>
          <w:sz w:val="28"/>
          <w:lang w:val="uk-UA"/>
        </w:rPr>
        <w:t xml:space="preserve"> та фінансовими ресурсами на його реалізацію можна </w:t>
      </w:r>
      <w:proofErr w:type="spellStart"/>
      <w:r w:rsidRPr="00597D71">
        <w:rPr>
          <w:sz w:val="28"/>
          <w:lang w:val="uk-UA"/>
        </w:rPr>
        <w:t>оперативно</w:t>
      </w:r>
      <w:proofErr w:type="spellEnd"/>
      <w:r w:rsidRPr="00597D71">
        <w:rPr>
          <w:sz w:val="28"/>
          <w:lang w:val="uk-UA"/>
        </w:rPr>
        <w:t xml:space="preserve"> виконати роботи з </w:t>
      </w:r>
      <w:proofErr w:type="spellStart"/>
      <w:r w:rsidRPr="00597D71">
        <w:rPr>
          <w:sz w:val="28"/>
          <w:lang w:val="uk-UA"/>
        </w:rPr>
        <w:t>енергомодернізації</w:t>
      </w:r>
      <w:proofErr w:type="spellEnd"/>
      <w:r w:rsidRPr="00597D71">
        <w:rPr>
          <w:sz w:val="28"/>
          <w:lang w:val="uk-UA"/>
        </w:rPr>
        <w:t xml:space="preserve"> та отримати грант Фонду.</w:t>
      </w:r>
    </w:p>
    <w:p w:rsidR="000100BF" w:rsidRPr="00597D71" w:rsidRDefault="00515A9A">
      <w:pPr>
        <w:ind w:firstLine="720"/>
        <w:jc w:val="both"/>
        <w:rPr>
          <w:sz w:val="28"/>
          <w:lang w:val="uk-UA"/>
        </w:rPr>
      </w:pPr>
      <w:r w:rsidRPr="00597D71">
        <w:rPr>
          <w:sz w:val="28"/>
          <w:lang w:val="uk-UA"/>
        </w:rPr>
        <w:t>Для відшкодування частини суми витрат відповідно до затвердженого Проєкту, ОСББ подають на розгляд комісії з відшкодування коштів на впровадження ОСББ енергоефективних заходів</w:t>
      </w:r>
      <w:r w:rsidR="00597D71">
        <w:rPr>
          <w:sz w:val="28"/>
          <w:lang w:val="uk-UA"/>
        </w:rPr>
        <w:t xml:space="preserve"> (далі – Комісія), що створена </w:t>
      </w:r>
      <w:r w:rsidRPr="00597D71">
        <w:rPr>
          <w:sz w:val="28"/>
          <w:lang w:val="uk-UA"/>
        </w:rPr>
        <w:t>розпорядженням міського голови. За результатами розгляду Комісії приймається рішенн</w:t>
      </w:r>
      <w:r w:rsidR="00597D71">
        <w:rPr>
          <w:sz w:val="28"/>
          <w:lang w:val="uk-UA"/>
        </w:rPr>
        <w:t xml:space="preserve">я про можливість відшкодування </w:t>
      </w:r>
      <w:r w:rsidRPr="00597D71">
        <w:rPr>
          <w:sz w:val="28"/>
          <w:lang w:val="uk-UA"/>
        </w:rPr>
        <w:t xml:space="preserve">частини суми витрат за цим </w:t>
      </w:r>
      <w:proofErr w:type="spellStart"/>
      <w:r w:rsidRPr="00597D71">
        <w:rPr>
          <w:sz w:val="28"/>
          <w:lang w:val="uk-UA"/>
        </w:rPr>
        <w:t>проєктом</w:t>
      </w:r>
      <w:proofErr w:type="spellEnd"/>
      <w:r w:rsidRPr="00597D71">
        <w:rPr>
          <w:sz w:val="28"/>
          <w:lang w:val="uk-UA"/>
        </w:rPr>
        <w:t xml:space="preserve">. </w:t>
      </w:r>
    </w:p>
    <w:p w:rsidR="000100BF" w:rsidRPr="00597D71" w:rsidRDefault="00515A9A">
      <w:pPr>
        <w:ind w:firstLine="720"/>
        <w:jc w:val="both"/>
        <w:rPr>
          <w:sz w:val="28"/>
          <w:lang w:val="uk-UA"/>
        </w:rPr>
      </w:pPr>
      <w:r w:rsidRPr="00597D71">
        <w:rPr>
          <w:sz w:val="28"/>
          <w:lang w:val="uk-UA"/>
        </w:rPr>
        <w:t>Засідання Комісії проходять за потребою, по мірі надходженн</w:t>
      </w:r>
      <w:r w:rsidR="00597D71">
        <w:rPr>
          <w:sz w:val="28"/>
          <w:lang w:val="uk-UA"/>
        </w:rPr>
        <w:t xml:space="preserve">я від ОСББ звернень про участь </w:t>
      </w:r>
      <w:r w:rsidRPr="00597D71">
        <w:rPr>
          <w:sz w:val="28"/>
          <w:lang w:val="uk-UA"/>
        </w:rPr>
        <w:t>в Програмі. Результати засідання Комісії оформляються протоколом, який підписується гол</w:t>
      </w:r>
      <w:r w:rsidR="00597D71">
        <w:rPr>
          <w:sz w:val="28"/>
          <w:lang w:val="uk-UA"/>
        </w:rPr>
        <w:t xml:space="preserve">овою та секретарем Комісії  та в триденний термін </w:t>
      </w:r>
      <w:r w:rsidRPr="00597D71">
        <w:rPr>
          <w:sz w:val="28"/>
          <w:lang w:val="uk-UA"/>
        </w:rPr>
        <w:t>надаються заявнику. Рішення Комісії приймається на засіданні більшістю голосів від загального складу Комісії відкритим голосуванням.</w:t>
      </w:r>
    </w:p>
    <w:p w:rsidR="000100BF" w:rsidRPr="00597D71" w:rsidRDefault="00515A9A">
      <w:pPr>
        <w:ind w:firstLine="720"/>
        <w:jc w:val="both"/>
        <w:rPr>
          <w:sz w:val="28"/>
          <w:lang w:val="uk-UA"/>
        </w:rPr>
      </w:pPr>
      <w:r w:rsidRPr="00597D71">
        <w:rPr>
          <w:sz w:val="28"/>
          <w:lang w:val="uk-UA"/>
        </w:rPr>
        <w:t>Відповідальність за достовірність даних, відображених у актах виконаних робіт, покладається на сторони, які є замовником та виконавцем робіт, також стороною авторського та технічного нагляду.</w:t>
      </w:r>
    </w:p>
    <w:p w:rsidR="000100BF" w:rsidRPr="00597D71" w:rsidRDefault="00515A9A">
      <w:pPr>
        <w:ind w:firstLine="720"/>
        <w:jc w:val="both"/>
        <w:rPr>
          <w:sz w:val="28"/>
          <w:lang w:val="uk-UA"/>
        </w:rPr>
      </w:pPr>
      <w:r w:rsidRPr="00597D71">
        <w:rPr>
          <w:sz w:val="28"/>
          <w:lang w:val="uk-UA"/>
        </w:rPr>
        <w:t>За заявою Пози</w:t>
      </w:r>
      <w:r w:rsidR="00597D71">
        <w:rPr>
          <w:sz w:val="28"/>
          <w:lang w:val="uk-UA"/>
        </w:rPr>
        <w:t xml:space="preserve">чальника до голови Комісії </w:t>
      </w:r>
      <w:r w:rsidRPr="00597D71">
        <w:rPr>
          <w:sz w:val="28"/>
          <w:lang w:val="uk-UA"/>
        </w:rPr>
        <w:t>про впровадження в будинку енергоефективних заходів та участь у Програмі, пров</w:t>
      </w:r>
      <w:r w:rsidR="00597D71">
        <w:rPr>
          <w:sz w:val="28"/>
          <w:lang w:val="uk-UA"/>
        </w:rPr>
        <w:t>одиться засідання та готується</w:t>
      </w:r>
      <w:r w:rsidRPr="00597D71">
        <w:rPr>
          <w:sz w:val="28"/>
          <w:lang w:val="uk-UA"/>
        </w:rPr>
        <w:t xml:space="preserve"> рішення Комісії </w:t>
      </w:r>
      <w:r w:rsidR="00597D71">
        <w:rPr>
          <w:sz w:val="28"/>
          <w:lang w:val="uk-UA"/>
        </w:rPr>
        <w:t xml:space="preserve">про відшкодування частини суми </w:t>
      </w:r>
      <w:r w:rsidRPr="00597D71">
        <w:rPr>
          <w:sz w:val="28"/>
          <w:lang w:val="uk-UA"/>
        </w:rPr>
        <w:t xml:space="preserve">кредиту Позичальникам. За рішенням Комісії департамент житлово-комунального господарства готує проєкт рішення виконкому Луцької міської ради про виділення коштів. </w:t>
      </w:r>
    </w:p>
    <w:p w:rsidR="000100BF" w:rsidRPr="00597D71" w:rsidRDefault="00515A9A">
      <w:pPr>
        <w:ind w:firstLine="720"/>
        <w:jc w:val="both"/>
        <w:rPr>
          <w:sz w:val="28"/>
          <w:lang w:val="uk-UA"/>
        </w:rPr>
      </w:pPr>
      <w:r w:rsidRPr="00597D71">
        <w:rPr>
          <w:sz w:val="28"/>
          <w:lang w:val="uk-UA"/>
        </w:rPr>
        <w:t>Відшкодування частини суми витрат</w:t>
      </w:r>
      <w:r w:rsidR="00822817">
        <w:rPr>
          <w:sz w:val="28"/>
          <w:lang w:val="uk-UA"/>
        </w:rPr>
        <w:t xml:space="preserve"> здійснюється після надання </w:t>
      </w:r>
      <w:r w:rsidRPr="00597D71">
        <w:rPr>
          <w:sz w:val="28"/>
          <w:lang w:val="uk-UA"/>
        </w:rPr>
        <w:t xml:space="preserve">довідки про вартість виконаних робіт (форма КБ-3) та актів виконаних робіт (форма КБ-2в) в порядку черговості поступлення через систему електронного документообігу, а також рішення виконавчого комітету Луцької міської ради, шляхом перерахування коштів бюджету </w:t>
      </w:r>
      <w:r w:rsidR="00B03351" w:rsidRPr="00597D71">
        <w:rPr>
          <w:sz w:val="28"/>
          <w:lang w:val="uk-UA"/>
        </w:rPr>
        <w:t xml:space="preserve">Луцької міської територіальної громади </w:t>
      </w:r>
      <w:r w:rsidRPr="00597D71">
        <w:rPr>
          <w:sz w:val="28"/>
          <w:lang w:val="uk-UA"/>
        </w:rPr>
        <w:t>на рахунок ОСББ.</w:t>
      </w:r>
    </w:p>
    <w:p w:rsidR="000100BF" w:rsidRPr="00597D71" w:rsidRDefault="00515A9A">
      <w:pPr>
        <w:ind w:firstLine="720"/>
        <w:jc w:val="both"/>
        <w:rPr>
          <w:sz w:val="28"/>
          <w:lang w:val="uk-UA"/>
        </w:rPr>
      </w:pPr>
      <w:r w:rsidRPr="00597D71">
        <w:rPr>
          <w:sz w:val="28"/>
          <w:lang w:val="uk-UA"/>
        </w:rPr>
        <w:t>Головним розпорядником коштів бюджету</w:t>
      </w:r>
      <w:r w:rsidR="00B03351" w:rsidRPr="00597D71">
        <w:rPr>
          <w:lang w:val="uk-UA"/>
        </w:rPr>
        <w:t xml:space="preserve"> </w:t>
      </w:r>
      <w:r w:rsidR="00B03351" w:rsidRPr="00597D71">
        <w:rPr>
          <w:sz w:val="28"/>
          <w:lang w:val="uk-UA"/>
        </w:rPr>
        <w:t>Луцької міської територіальної громади</w:t>
      </w:r>
      <w:r w:rsidRPr="00597D71">
        <w:rPr>
          <w:sz w:val="28"/>
          <w:lang w:val="uk-UA"/>
        </w:rPr>
        <w:t xml:space="preserve">, передбачених на реалізацію Програми, є департамент житлово-комунального господарства Луцької міської ради. </w:t>
      </w:r>
    </w:p>
    <w:p w:rsidR="000100BF" w:rsidRPr="00597D71" w:rsidRDefault="00515A9A">
      <w:pPr>
        <w:ind w:firstLine="720"/>
        <w:jc w:val="both"/>
        <w:rPr>
          <w:sz w:val="28"/>
          <w:lang w:val="uk-UA"/>
        </w:rPr>
      </w:pPr>
      <w:r w:rsidRPr="00597D71">
        <w:rPr>
          <w:sz w:val="28"/>
          <w:lang w:val="uk-UA"/>
        </w:rPr>
        <w:t>Відшкодування частини кредитів здійснюється на підставі договору, укладеного між департаментом житлово-комунального господарства Луцької міської ради та ОСББ.</w:t>
      </w:r>
    </w:p>
    <w:p w:rsidR="000100BF" w:rsidRPr="00597D71" w:rsidRDefault="00515A9A">
      <w:pPr>
        <w:ind w:firstLine="720"/>
        <w:jc w:val="both"/>
        <w:rPr>
          <w:sz w:val="28"/>
          <w:lang w:val="uk-UA"/>
        </w:rPr>
      </w:pPr>
      <w:r w:rsidRPr="00597D71">
        <w:rPr>
          <w:sz w:val="28"/>
          <w:lang w:val="uk-UA"/>
        </w:rPr>
        <w:t xml:space="preserve">Відшкодування з бюджету </w:t>
      </w:r>
      <w:r w:rsidR="00B03351" w:rsidRPr="00597D71">
        <w:rPr>
          <w:sz w:val="28"/>
          <w:lang w:val="uk-UA"/>
        </w:rPr>
        <w:t xml:space="preserve">Луцької міської територіальної громади </w:t>
      </w:r>
      <w:r w:rsidRPr="00597D71">
        <w:rPr>
          <w:sz w:val="28"/>
          <w:lang w:val="uk-UA"/>
        </w:rPr>
        <w:t>суми коштів ОСББ, за умови участі їх у програмі «ЕНЕРГОДІМ», здійснюється у розмірі 10% від загальної вартості виконаних по проєкту робіт, відображеної у формі КБ-3 (довідки про вартість виконаних робіт), але в розрахунку:</w:t>
      </w:r>
    </w:p>
    <w:p w:rsidR="000100BF" w:rsidRPr="00597D71" w:rsidRDefault="00822817">
      <w:pPr>
        <w:ind w:firstLine="720"/>
        <w:jc w:val="both"/>
        <w:rPr>
          <w:sz w:val="28"/>
          <w:lang w:val="uk-UA"/>
        </w:rPr>
      </w:pPr>
      <w:r>
        <w:rPr>
          <w:sz w:val="28"/>
          <w:lang w:val="uk-UA"/>
        </w:rPr>
        <w:t>– </w:t>
      </w:r>
      <w:r w:rsidR="00515A9A" w:rsidRPr="00597D71">
        <w:rPr>
          <w:sz w:val="28"/>
          <w:lang w:val="uk-UA"/>
        </w:rPr>
        <w:t>не більше 1000,0 тис. грн на проведення робіт та придбання матеріалів по впровадженню заходів енерг</w:t>
      </w:r>
      <w:r>
        <w:rPr>
          <w:sz w:val="28"/>
          <w:lang w:val="uk-UA"/>
        </w:rPr>
        <w:t>оефективності житлового будинку </w:t>
      </w:r>
      <w:r w:rsidR="00515A9A" w:rsidRPr="00597D71">
        <w:rPr>
          <w:sz w:val="28"/>
          <w:lang w:val="uk-UA"/>
        </w:rPr>
        <w:t>– пакет (Б);</w:t>
      </w:r>
    </w:p>
    <w:p w:rsidR="000100BF" w:rsidRPr="00597D71" w:rsidRDefault="00515A9A">
      <w:pPr>
        <w:ind w:firstLine="720"/>
        <w:jc w:val="both"/>
        <w:rPr>
          <w:sz w:val="28"/>
          <w:lang w:val="uk-UA"/>
        </w:rPr>
      </w:pPr>
      <w:r w:rsidRPr="00597D71">
        <w:rPr>
          <w:sz w:val="28"/>
          <w:lang w:val="uk-UA"/>
        </w:rPr>
        <w:t>– не більше 500,0 тис. грн на проведення робіт та придбання матеріалів по впровадженню заходів енергоефектив</w:t>
      </w:r>
      <w:r w:rsidR="00822817">
        <w:rPr>
          <w:sz w:val="28"/>
          <w:lang w:val="uk-UA"/>
        </w:rPr>
        <w:t>ності житлового будинку – пакет </w:t>
      </w:r>
      <w:r w:rsidRPr="00597D71">
        <w:rPr>
          <w:sz w:val="28"/>
          <w:lang w:val="uk-UA"/>
        </w:rPr>
        <w:t>(А).</w:t>
      </w:r>
    </w:p>
    <w:p w:rsidR="000100BF" w:rsidRPr="00597D71" w:rsidRDefault="00515A9A">
      <w:pPr>
        <w:ind w:firstLine="720"/>
        <w:jc w:val="both"/>
        <w:rPr>
          <w:sz w:val="28"/>
          <w:lang w:val="uk-UA"/>
        </w:rPr>
      </w:pPr>
      <w:r w:rsidRPr="00597D71">
        <w:rPr>
          <w:sz w:val="28"/>
          <w:lang w:val="uk-UA"/>
        </w:rPr>
        <w:lastRenderedPageBreak/>
        <w:t xml:space="preserve">При виконанні робіт з </w:t>
      </w:r>
      <w:proofErr w:type="spellStart"/>
      <w:r w:rsidRPr="00597D71">
        <w:rPr>
          <w:sz w:val="28"/>
          <w:lang w:val="uk-UA"/>
        </w:rPr>
        <w:t>термомодернізації</w:t>
      </w:r>
      <w:proofErr w:type="spellEnd"/>
      <w:r w:rsidRPr="00597D71">
        <w:rPr>
          <w:sz w:val="28"/>
          <w:lang w:val="uk-UA"/>
        </w:rPr>
        <w:t xml:space="preserve"> у великогабаритних багатоповерхових житлових будинках, допускається за рішенням Комісії відшкодування з бюджету </w:t>
      </w:r>
      <w:r w:rsidR="00B03351" w:rsidRPr="00597D71">
        <w:rPr>
          <w:sz w:val="28"/>
          <w:lang w:val="uk-UA"/>
        </w:rPr>
        <w:t xml:space="preserve">Луцької міської територіальної громади </w:t>
      </w:r>
      <w:r w:rsidRPr="00597D71">
        <w:rPr>
          <w:sz w:val="28"/>
          <w:lang w:val="uk-UA"/>
        </w:rPr>
        <w:t xml:space="preserve">для ОСББ суми понад 1000,00 тис. грн, але не допускається отримання ОСББ сумарно Гранту від Фонду </w:t>
      </w:r>
      <w:proofErr w:type="spellStart"/>
      <w:r w:rsidRPr="00597D71">
        <w:rPr>
          <w:sz w:val="28"/>
          <w:lang w:val="uk-UA"/>
        </w:rPr>
        <w:t>Енергофективності</w:t>
      </w:r>
      <w:proofErr w:type="spellEnd"/>
      <w:r w:rsidRPr="00597D71">
        <w:rPr>
          <w:sz w:val="28"/>
          <w:lang w:val="uk-UA"/>
        </w:rPr>
        <w:t xml:space="preserve"> та бюджету </w:t>
      </w:r>
      <w:r w:rsidR="00B03351" w:rsidRPr="00597D71">
        <w:rPr>
          <w:sz w:val="28"/>
          <w:lang w:val="uk-UA"/>
        </w:rPr>
        <w:t xml:space="preserve">Луцької міської територіальної громади </w:t>
      </w:r>
      <w:r w:rsidRPr="00597D71">
        <w:rPr>
          <w:sz w:val="28"/>
          <w:lang w:val="uk-UA"/>
        </w:rPr>
        <w:t>на відшкодування вартості виконаних по проєкту р</w:t>
      </w:r>
      <w:r w:rsidR="00822817">
        <w:rPr>
          <w:sz w:val="28"/>
          <w:lang w:val="uk-UA"/>
        </w:rPr>
        <w:t>обіт у розмірі, що перевищує 80</w:t>
      </w:r>
      <w:r w:rsidRPr="00597D71">
        <w:rPr>
          <w:sz w:val="28"/>
          <w:lang w:val="uk-UA"/>
        </w:rPr>
        <w:t>%.</w:t>
      </w:r>
    </w:p>
    <w:p w:rsidR="000100BF" w:rsidRPr="00597D71" w:rsidRDefault="00515A9A">
      <w:pPr>
        <w:ind w:firstLine="720"/>
        <w:jc w:val="both"/>
        <w:rPr>
          <w:sz w:val="28"/>
          <w:lang w:val="uk-UA"/>
        </w:rPr>
      </w:pPr>
      <w:r w:rsidRPr="00597D71">
        <w:rPr>
          <w:sz w:val="28"/>
          <w:lang w:val="uk-UA"/>
        </w:rPr>
        <w:t xml:space="preserve">У випадках отримання декількох кредитів для одного будинку на впровадження заходів енергоефективності, сума відшкодування коштів із бюджету </w:t>
      </w:r>
      <w:r w:rsidR="00B03351" w:rsidRPr="00597D71">
        <w:rPr>
          <w:sz w:val="28"/>
          <w:lang w:val="uk-UA"/>
        </w:rPr>
        <w:t xml:space="preserve">Луцької міської територіальної громади </w:t>
      </w:r>
      <w:r w:rsidRPr="00597D71">
        <w:rPr>
          <w:sz w:val="28"/>
          <w:lang w:val="uk-UA"/>
        </w:rPr>
        <w:t>здійснюється окремо по кожному проєкту.</w:t>
      </w:r>
    </w:p>
    <w:p w:rsidR="000100BF" w:rsidRPr="00597D71" w:rsidRDefault="00515A9A">
      <w:pPr>
        <w:ind w:firstLine="720"/>
        <w:jc w:val="both"/>
        <w:rPr>
          <w:sz w:val="28"/>
          <w:highlight w:val="yellow"/>
          <w:lang w:val="uk-UA"/>
        </w:rPr>
      </w:pPr>
      <w:r w:rsidRPr="00597D71">
        <w:rPr>
          <w:sz w:val="28"/>
          <w:lang w:val="uk-UA"/>
        </w:rPr>
        <w:t xml:space="preserve">ОСББ визначають перелік робіт з підвищення енергоефективності та </w:t>
      </w:r>
      <w:proofErr w:type="spellStart"/>
      <w:r w:rsidRPr="00597D71">
        <w:rPr>
          <w:sz w:val="28"/>
          <w:lang w:val="uk-UA"/>
        </w:rPr>
        <w:t>термомодернізації</w:t>
      </w:r>
      <w:proofErr w:type="spellEnd"/>
      <w:r w:rsidRPr="00597D71">
        <w:rPr>
          <w:sz w:val="28"/>
          <w:lang w:val="uk-UA"/>
        </w:rPr>
        <w:t xml:space="preserve"> будинку, виконавця робіт але за умови його акредитації в банківських установах, приймають рішення про залучення кредитних коштів, суму запозичених коштів та оптимальний термін кредиту. Необхідність проведення цих заходів має бути затверджена загальними зборами у відповідності до статуту ОСББ.</w:t>
      </w:r>
    </w:p>
    <w:p w:rsidR="000100BF" w:rsidRPr="00597D71" w:rsidRDefault="00515A9A">
      <w:pPr>
        <w:ind w:firstLine="708"/>
        <w:jc w:val="both"/>
        <w:rPr>
          <w:sz w:val="28"/>
          <w:lang w:val="uk-UA"/>
        </w:rPr>
      </w:pPr>
      <w:r w:rsidRPr="00597D71">
        <w:rPr>
          <w:sz w:val="28"/>
          <w:lang w:val="uk-UA"/>
        </w:rPr>
        <w:t>Відповідно до договору, укладеного департаментом житлово-комунального господарства з Позичальником, проводиться відшкодування до 100% діючих відсоткових ставок та/або частини суми кредитів за залученими ОСББ кредитами по кредитних договорах (лініях), укладених в межах функціонування Програми відшкодування відсоткових ставок за залуче</w:t>
      </w:r>
      <w:r w:rsidR="00822817">
        <w:rPr>
          <w:sz w:val="28"/>
          <w:lang w:val="uk-UA"/>
        </w:rPr>
        <w:t>ними кредитами, що діяла у 2013–</w:t>
      </w:r>
      <w:r w:rsidRPr="00597D71">
        <w:rPr>
          <w:sz w:val="28"/>
          <w:lang w:val="uk-UA"/>
        </w:rPr>
        <w:t>2017 роках та Програми відшкодування частини суми кредитів ОСББ та ЖБК міста Луцька, залучених на впровадження в будинках енергоефективних заходів на 2018</w:t>
      </w:r>
      <w:r w:rsidR="00822817">
        <w:rPr>
          <w:sz w:val="28"/>
          <w:lang w:val="uk-UA"/>
        </w:rPr>
        <w:t>–</w:t>
      </w:r>
      <w:r w:rsidRPr="00597D71">
        <w:rPr>
          <w:sz w:val="28"/>
          <w:lang w:val="uk-UA"/>
        </w:rPr>
        <w:t xml:space="preserve">2020 роки. </w:t>
      </w:r>
    </w:p>
    <w:p w:rsidR="000100BF" w:rsidRPr="00597D71" w:rsidRDefault="00515A9A">
      <w:pPr>
        <w:ind w:firstLine="708"/>
        <w:jc w:val="both"/>
        <w:rPr>
          <w:sz w:val="28"/>
          <w:highlight w:val="yellow"/>
          <w:lang w:val="uk-UA"/>
        </w:rPr>
      </w:pPr>
      <w:r w:rsidRPr="00597D71">
        <w:rPr>
          <w:sz w:val="28"/>
          <w:lang w:val="uk-UA"/>
        </w:rPr>
        <w:t>Відшкодування діючих відсоткових ставок та/або частини суми кредитів ОСББ по кредитних договорах, укладених по 2020 рік включно, проводиться в межах бюджетних призначень, передбачени</w:t>
      </w:r>
      <w:r w:rsidR="00B03351" w:rsidRPr="00597D71">
        <w:rPr>
          <w:sz w:val="28"/>
          <w:lang w:val="uk-UA"/>
        </w:rPr>
        <w:t xml:space="preserve">х на виконання даної Програми у </w:t>
      </w:r>
      <w:r w:rsidRPr="00597D71">
        <w:rPr>
          <w:sz w:val="28"/>
          <w:lang w:val="uk-UA"/>
        </w:rPr>
        <w:t xml:space="preserve">бюджеті </w:t>
      </w:r>
      <w:r w:rsidR="00B03351" w:rsidRPr="00597D71">
        <w:rPr>
          <w:sz w:val="28"/>
          <w:lang w:val="uk-UA"/>
        </w:rPr>
        <w:t xml:space="preserve">Луцької міської територіальної громади </w:t>
      </w:r>
      <w:r w:rsidRPr="00597D71">
        <w:rPr>
          <w:sz w:val="28"/>
          <w:lang w:val="uk-UA"/>
        </w:rPr>
        <w:t>на відповідний рік. Відшкодування відсотків п</w:t>
      </w:r>
      <w:r w:rsidR="00822817">
        <w:rPr>
          <w:sz w:val="28"/>
          <w:lang w:val="uk-UA"/>
        </w:rPr>
        <w:t>роводиться у термін не більше 1 </w:t>
      </w:r>
      <w:r w:rsidRPr="00597D71">
        <w:rPr>
          <w:sz w:val="28"/>
          <w:lang w:val="uk-UA"/>
        </w:rPr>
        <w:t>(одного) року в обсязі:</w:t>
      </w:r>
    </w:p>
    <w:p w:rsidR="000100BF" w:rsidRPr="00597D71" w:rsidRDefault="00822817">
      <w:pPr>
        <w:ind w:firstLine="720"/>
        <w:jc w:val="both"/>
        <w:rPr>
          <w:sz w:val="28"/>
          <w:lang w:val="uk-UA"/>
        </w:rPr>
      </w:pPr>
      <w:r>
        <w:rPr>
          <w:sz w:val="28"/>
          <w:lang w:val="uk-UA"/>
        </w:rPr>
        <w:t>– </w:t>
      </w:r>
      <w:r w:rsidR="00515A9A" w:rsidRPr="00597D71">
        <w:rPr>
          <w:sz w:val="28"/>
          <w:lang w:val="uk-UA"/>
        </w:rPr>
        <w:t>не більше 1000,0 тис. грн на проведення робіт та придбання матеріалів по впровадженню заходів енерг</w:t>
      </w:r>
      <w:r>
        <w:rPr>
          <w:sz w:val="28"/>
          <w:lang w:val="uk-UA"/>
        </w:rPr>
        <w:t>оефективності житлового будинку </w:t>
      </w:r>
      <w:r w:rsidR="00515A9A" w:rsidRPr="00597D71">
        <w:rPr>
          <w:sz w:val="28"/>
          <w:lang w:val="uk-UA"/>
        </w:rPr>
        <w:t>– пакет (Б) (не більше 10% від загальної вартості виконаних по проєкту робіт, відображеної у формі КБ-3 (довідки про вартість виконаних робіт));</w:t>
      </w:r>
    </w:p>
    <w:p w:rsidR="000100BF" w:rsidRPr="00597D71" w:rsidRDefault="00515A9A">
      <w:pPr>
        <w:ind w:firstLine="708"/>
        <w:jc w:val="both"/>
        <w:rPr>
          <w:sz w:val="28"/>
          <w:highlight w:val="yellow"/>
          <w:lang w:val="uk-UA"/>
        </w:rPr>
      </w:pPr>
      <w:r w:rsidRPr="00597D71">
        <w:rPr>
          <w:sz w:val="28"/>
          <w:lang w:val="uk-UA"/>
        </w:rPr>
        <w:t>– не більше 500,0 тис. грн на проведення робіт та придбання матеріалів щодо впровадження заходів енергоефектив</w:t>
      </w:r>
      <w:r w:rsidR="00822817">
        <w:rPr>
          <w:sz w:val="28"/>
          <w:lang w:val="uk-UA"/>
        </w:rPr>
        <w:t>ності житлового будинку – пакет </w:t>
      </w:r>
      <w:r w:rsidRPr="00597D71">
        <w:rPr>
          <w:sz w:val="28"/>
          <w:lang w:val="uk-UA"/>
        </w:rPr>
        <w:t>(А).</w:t>
      </w:r>
      <w:r w:rsidRPr="00597D71">
        <w:rPr>
          <w:sz w:val="28"/>
          <w:highlight w:val="yellow"/>
          <w:lang w:val="uk-UA"/>
        </w:rPr>
        <w:t xml:space="preserve"> </w:t>
      </w:r>
    </w:p>
    <w:p w:rsidR="000100BF" w:rsidRPr="00597D71" w:rsidRDefault="00515A9A">
      <w:pPr>
        <w:shd w:val="clear" w:color="auto" w:fill="FFFFFF"/>
        <w:ind w:firstLine="709"/>
        <w:jc w:val="both"/>
        <w:textAlignment w:val="baseline"/>
        <w:rPr>
          <w:sz w:val="28"/>
          <w:lang w:val="uk-UA"/>
        </w:rPr>
      </w:pPr>
      <w:r w:rsidRPr="00597D71">
        <w:rPr>
          <w:sz w:val="28"/>
          <w:lang w:val="uk-UA"/>
        </w:rPr>
        <w:t>Дія Програма поширюється на ОСББ, зареєстровані на території Луцької міської територіальної громади та які:</w:t>
      </w:r>
    </w:p>
    <w:p w:rsidR="000100BF" w:rsidRPr="00597D71" w:rsidRDefault="00822817">
      <w:pPr>
        <w:shd w:val="clear" w:color="auto" w:fill="FFFFFF"/>
        <w:ind w:firstLine="709"/>
        <w:jc w:val="both"/>
        <w:textAlignment w:val="baseline"/>
        <w:rPr>
          <w:sz w:val="28"/>
          <w:lang w:val="uk-UA"/>
        </w:rPr>
      </w:pPr>
      <w:r>
        <w:rPr>
          <w:sz w:val="28"/>
          <w:lang w:val="uk-UA"/>
        </w:rPr>
        <w:t>– </w:t>
      </w:r>
      <w:r w:rsidR="00515A9A" w:rsidRPr="00597D71">
        <w:rPr>
          <w:sz w:val="28"/>
          <w:lang w:val="uk-UA"/>
        </w:rPr>
        <w:t xml:space="preserve">отримали повідомлення про схвалення Заявок від Фонду енергоефективності України з дати </w:t>
      </w:r>
      <w:r>
        <w:rPr>
          <w:sz w:val="28"/>
          <w:lang w:val="uk-UA"/>
        </w:rPr>
        <w:t>його початку роботи (06.09.2019)</w:t>
      </w:r>
      <w:r w:rsidR="00515A9A" w:rsidRPr="00597D71">
        <w:rPr>
          <w:sz w:val="28"/>
          <w:lang w:val="uk-UA"/>
        </w:rPr>
        <w:t>;</w:t>
      </w:r>
    </w:p>
    <w:p w:rsidR="000100BF" w:rsidRPr="00597D71" w:rsidRDefault="00822817">
      <w:pPr>
        <w:shd w:val="clear" w:color="auto" w:fill="FFFFFF"/>
        <w:ind w:firstLine="709"/>
        <w:jc w:val="both"/>
        <w:textAlignment w:val="baseline"/>
        <w:rPr>
          <w:sz w:val="28"/>
          <w:lang w:val="uk-UA"/>
        </w:rPr>
      </w:pPr>
      <w:r>
        <w:rPr>
          <w:sz w:val="28"/>
          <w:lang w:val="uk-UA"/>
        </w:rPr>
        <w:t>– </w:t>
      </w:r>
      <w:r w:rsidR="00515A9A" w:rsidRPr="00597D71">
        <w:rPr>
          <w:sz w:val="28"/>
          <w:lang w:val="uk-UA"/>
        </w:rPr>
        <w:t>брали участь у Програмі відшкодування частини суми кредитів ОСББ та ЖБК міста Луцька, залучених на впровадження в будинках е</w:t>
      </w:r>
      <w:r>
        <w:rPr>
          <w:sz w:val="28"/>
          <w:lang w:val="uk-UA"/>
        </w:rPr>
        <w:t>нергоефективних заходів на 2018–</w:t>
      </w:r>
      <w:r w:rsidR="00515A9A" w:rsidRPr="00597D71">
        <w:rPr>
          <w:sz w:val="28"/>
          <w:lang w:val="uk-UA"/>
        </w:rPr>
        <w:t>2020 роки.</w:t>
      </w:r>
    </w:p>
    <w:p w:rsidR="000100BF" w:rsidRPr="00597D71" w:rsidRDefault="00515A9A">
      <w:pPr>
        <w:shd w:val="clear" w:color="auto" w:fill="FFFFFF"/>
        <w:ind w:firstLine="709"/>
        <w:jc w:val="both"/>
        <w:textAlignment w:val="baseline"/>
        <w:rPr>
          <w:sz w:val="28"/>
          <w:lang w:val="uk-UA"/>
        </w:rPr>
      </w:pPr>
      <w:r w:rsidRPr="00597D71">
        <w:rPr>
          <w:sz w:val="28"/>
          <w:lang w:val="uk-UA" w:eastAsia="uk-UA"/>
        </w:rPr>
        <w:lastRenderedPageBreak/>
        <w:t>Головний розпорядник, відповідно до укладених Договорів, вчиняє всі необхідні дії для реєстрації юридичних та фінансових зобов’язань в органах Державної казначейської служби України та не пізніше 10 (десятого) числа місяця, наступного за звітним та перерахунку коштів на поточний рахунок ОСББ</w:t>
      </w:r>
      <w:r w:rsidRPr="00597D71">
        <w:rPr>
          <w:color w:val="000000"/>
          <w:sz w:val="28"/>
          <w:lang w:val="uk-UA" w:eastAsia="uk-UA"/>
        </w:rPr>
        <w:t xml:space="preserve">. </w:t>
      </w:r>
    </w:p>
    <w:p w:rsidR="000100BF" w:rsidRPr="00597D71" w:rsidRDefault="00515A9A">
      <w:pPr>
        <w:shd w:val="clear" w:color="auto" w:fill="FFFFFF"/>
        <w:ind w:firstLine="709"/>
        <w:jc w:val="both"/>
        <w:textAlignment w:val="baseline"/>
        <w:rPr>
          <w:bCs/>
          <w:sz w:val="28"/>
          <w:lang w:val="uk-UA"/>
        </w:rPr>
      </w:pPr>
      <w:r w:rsidRPr="00597D71">
        <w:rPr>
          <w:color w:val="000000"/>
          <w:sz w:val="28"/>
          <w:lang w:val="uk-UA" w:eastAsia="uk-UA"/>
        </w:rPr>
        <w:t xml:space="preserve">ОСББ спрямовують отриману фінансову підтримку </w:t>
      </w:r>
      <w:r w:rsidRPr="00597D71">
        <w:rPr>
          <w:bCs/>
          <w:sz w:val="28"/>
          <w:lang w:val="uk-UA"/>
        </w:rPr>
        <w:t xml:space="preserve">на фінансування Проєкту з впровадження енергоефективних заходів багатоквартирного будинку. </w:t>
      </w:r>
    </w:p>
    <w:p w:rsidR="000100BF" w:rsidRPr="00597D71" w:rsidRDefault="00515A9A">
      <w:pPr>
        <w:tabs>
          <w:tab w:val="left" w:pos="0"/>
        </w:tabs>
        <w:spacing w:before="120"/>
        <w:jc w:val="center"/>
        <w:rPr>
          <w:b/>
          <w:bCs/>
          <w:sz w:val="28"/>
          <w:lang w:val="uk-UA"/>
        </w:rPr>
      </w:pPr>
      <w:r w:rsidRPr="00597D71">
        <w:rPr>
          <w:b/>
          <w:bCs/>
          <w:sz w:val="28"/>
          <w:lang w:val="uk-UA"/>
        </w:rPr>
        <w:t>Перелік</w:t>
      </w:r>
      <w:r w:rsidR="00822817">
        <w:rPr>
          <w:b/>
          <w:bCs/>
          <w:sz w:val="28"/>
          <w:lang w:val="uk-UA"/>
        </w:rPr>
        <w:t xml:space="preserve"> документів, що подаються ОСББ </w:t>
      </w:r>
      <w:r w:rsidRPr="00597D71">
        <w:rPr>
          <w:b/>
          <w:bCs/>
          <w:sz w:val="28"/>
          <w:lang w:val="uk-UA"/>
        </w:rPr>
        <w:t>комісії з відшкодування коштів на впровадження енергоефективних заходів</w:t>
      </w:r>
    </w:p>
    <w:p w:rsidR="000100BF" w:rsidRPr="00597D71" w:rsidRDefault="00822817" w:rsidP="00B03351">
      <w:pPr>
        <w:tabs>
          <w:tab w:val="left" w:pos="0"/>
        </w:tabs>
        <w:ind w:firstLine="709"/>
        <w:jc w:val="both"/>
        <w:rPr>
          <w:lang w:val="uk-UA"/>
        </w:rPr>
      </w:pPr>
      <w:r>
        <w:rPr>
          <w:sz w:val="28"/>
          <w:lang w:val="uk-UA" w:eastAsia="uk-UA"/>
        </w:rPr>
        <w:t>- </w:t>
      </w:r>
      <w:r w:rsidR="00515A9A" w:rsidRPr="00597D71">
        <w:rPr>
          <w:sz w:val="28"/>
          <w:lang w:val="uk-UA" w:eastAsia="uk-UA"/>
        </w:rPr>
        <w:t xml:space="preserve">копія останньої (чинної) версії «Опису проєкту» </w:t>
      </w:r>
      <w:r w:rsidR="00515A9A" w:rsidRPr="00597D71">
        <w:rPr>
          <w:sz w:val="28"/>
          <w:lang w:val="uk-UA"/>
        </w:rPr>
        <w:t>–</w:t>
      </w:r>
      <w:r w:rsidR="00515A9A" w:rsidRPr="00597D71">
        <w:rPr>
          <w:sz w:val="28"/>
          <w:lang w:val="uk-UA" w:eastAsia="uk-UA"/>
        </w:rPr>
        <w:t xml:space="preserve"> документа, складеного відповідно до вимог Програми «ЕНЕРГОДІМ»;</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копія Виписки або Витягу з Єдиного державного реєстру</w:t>
      </w:r>
      <w:r w:rsidR="00B03351" w:rsidRPr="00822817">
        <w:rPr>
          <w:sz w:val="28"/>
          <w:lang w:val="uk-UA" w:eastAsia="uk-UA"/>
        </w:rPr>
        <w:t xml:space="preserve"> </w:t>
      </w:r>
      <w:r w:rsidR="00515A9A" w:rsidRPr="00822817">
        <w:rPr>
          <w:sz w:val="28"/>
          <w:lang w:val="uk-UA" w:eastAsia="uk-UA"/>
        </w:rPr>
        <w:t>юридичних осіб, фізичних осіб-підприємців та громадських формувань;</w:t>
      </w:r>
    </w:p>
    <w:p w:rsidR="000100BF" w:rsidRPr="00822817" w:rsidRDefault="00822817" w:rsidP="00822817">
      <w:pPr>
        <w:tabs>
          <w:tab w:val="left" w:pos="0"/>
        </w:tabs>
        <w:ind w:firstLine="709"/>
        <w:jc w:val="both"/>
        <w:rPr>
          <w:lang w:val="uk-UA"/>
        </w:rPr>
      </w:pPr>
      <w:r>
        <w:rPr>
          <w:sz w:val="28"/>
          <w:lang w:val="uk-UA" w:eastAsia="uk-UA"/>
        </w:rPr>
        <w:t>- </w:t>
      </w:r>
      <w:r w:rsidR="00515A9A" w:rsidRPr="00822817">
        <w:rPr>
          <w:sz w:val="28"/>
          <w:lang w:val="uk-UA" w:eastAsia="uk-UA"/>
        </w:rPr>
        <w:t>копії документів, які підтверджують повноваження голови правління або іншої уповноваженої особи ОСББ;</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завірена Банком копія кредитного договору з усіма додатками, у</w:t>
      </w:r>
      <w:r w:rsidR="00B03351" w:rsidRPr="00822817">
        <w:rPr>
          <w:sz w:val="28"/>
          <w:lang w:val="uk-UA" w:eastAsia="uk-UA"/>
        </w:rPr>
        <w:t xml:space="preserve"> </w:t>
      </w:r>
      <w:r w:rsidR="00515A9A" w:rsidRPr="00822817">
        <w:rPr>
          <w:sz w:val="28"/>
          <w:lang w:val="uk-UA" w:eastAsia="uk-UA"/>
        </w:rPr>
        <w:t>тому числі графік виплати кредиту;</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договір про виконання робіт із виконавцем;</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довідки та акти виконаних робіт (форми КБ-2в, КБ-3);</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 xml:space="preserve">заява щодо намірів участі у Програмі </w:t>
      </w:r>
      <w:r w:rsidR="00515A9A" w:rsidRPr="00822817">
        <w:rPr>
          <w:sz w:val="28"/>
          <w:lang w:val="uk-UA"/>
        </w:rPr>
        <w:t xml:space="preserve">відшкодування частини суми </w:t>
      </w:r>
      <w:r w:rsidR="00515A9A" w:rsidRPr="00822817">
        <w:rPr>
          <w:color w:val="000000"/>
          <w:sz w:val="28"/>
          <w:lang w:val="uk-UA"/>
        </w:rPr>
        <w:t>кредитів</w:t>
      </w:r>
      <w:r w:rsidR="00515A9A" w:rsidRPr="00822817">
        <w:rPr>
          <w:color w:val="FF0000"/>
          <w:sz w:val="28"/>
          <w:lang w:val="uk-UA"/>
        </w:rPr>
        <w:t xml:space="preserve"> </w:t>
      </w:r>
      <w:r w:rsidR="00515A9A" w:rsidRPr="00822817">
        <w:rPr>
          <w:sz w:val="28"/>
          <w:lang w:val="uk-UA"/>
        </w:rPr>
        <w:t>ОСББ Луцької міської територіальної громади, залучених на впровадження в будинках е</w:t>
      </w:r>
      <w:r>
        <w:rPr>
          <w:sz w:val="28"/>
          <w:lang w:val="uk-UA"/>
        </w:rPr>
        <w:t>нергоефективних заходів на 2021–</w:t>
      </w:r>
      <w:r w:rsidR="00515A9A" w:rsidRPr="00822817">
        <w:rPr>
          <w:sz w:val="28"/>
          <w:lang w:val="uk-UA"/>
        </w:rPr>
        <w:t>2023 роки</w:t>
      </w:r>
      <w:r w:rsidR="00B03351" w:rsidRPr="00822817">
        <w:rPr>
          <w:sz w:val="28"/>
          <w:lang w:val="uk-UA"/>
        </w:rPr>
        <w:t>.</w:t>
      </w:r>
    </w:p>
    <w:p w:rsidR="000100BF" w:rsidRPr="00597D71" w:rsidRDefault="00515A9A">
      <w:pPr>
        <w:pStyle w:val="docdata"/>
        <w:widowControl w:val="0"/>
        <w:spacing w:beforeAutospacing="0" w:afterAutospacing="0"/>
        <w:ind w:firstLine="706"/>
        <w:jc w:val="both"/>
        <w:rPr>
          <w:lang w:val="uk-UA"/>
        </w:rPr>
      </w:pPr>
      <w:r w:rsidRPr="00597D71">
        <w:rPr>
          <w:color w:val="000000"/>
          <w:sz w:val="28"/>
          <w:szCs w:val="28"/>
          <w:lang w:val="uk-UA"/>
        </w:rPr>
        <w:t>Скорочення споживання енергетичних ресурсів у житлових будинках дасть їх мешканцям економію витрат на енергоресурси і поліпшить їх умови проживання, а також збільшить вартість квартир. Крім того, це призведе до скорочення витрат бюджету</w:t>
      </w:r>
      <w:r w:rsidR="00B03351" w:rsidRPr="00597D71">
        <w:rPr>
          <w:color w:val="000000"/>
          <w:sz w:val="28"/>
          <w:szCs w:val="28"/>
          <w:lang w:val="uk-UA"/>
        </w:rPr>
        <w:t xml:space="preserve"> Луцької міської територіальної громади</w:t>
      </w:r>
      <w:r w:rsidRPr="00597D71">
        <w:rPr>
          <w:color w:val="000000"/>
          <w:sz w:val="28"/>
          <w:szCs w:val="28"/>
          <w:lang w:val="uk-UA"/>
        </w:rPr>
        <w:t>, пов’язаних з аварійним та капітальним ремонтами багатоквартирного житлового фонду громади, а також вплине на скорочення видатків.</w:t>
      </w:r>
    </w:p>
    <w:p w:rsidR="000100BF" w:rsidRPr="00597D71" w:rsidRDefault="00515A9A">
      <w:pPr>
        <w:pStyle w:val="af8"/>
        <w:widowControl w:val="0"/>
        <w:spacing w:beforeAutospacing="0" w:afterAutospacing="0"/>
        <w:ind w:firstLine="708"/>
        <w:jc w:val="both"/>
        <w:rPr>
          <w:lang w:val="uk-UA"/>
        </w:rPr>
      </w:pPr>
      <w:r w:rsidRPr="00597D71">
        <w:rPr>
          <w:color w:val="000000"/>
          <w:sz w:val="28"/>
          <w:szCs w:val="28"/>
          <w:lang w:val="uk-UA"/>
        </w:rPr>
        <w:t xml:space="preserve">У ході впровадження </w:t>
      </w:r>
      <w:proofErr w:type="spellStart"/>
      <w:r w:rsidRPr="00597D71">
        <w:rPr>
          <w:color w:val="000000"/>
          <w:sz w:val="28"/>
          <w:szCs w:val="28"/>
          <w:lang w:val="uk-UA"/>
        </w:rPr>
        <w:t>проєктів</w:t>
      </w:r>
      <w:proofErr w:type="spellEnd"/>
      <w:r w:rsidRPr="00597D71">
        <w:rPr>
          <w:color w:val="000000"/>
          <w:sz w:val="28"/>
          <w:szCs w:val="28"/>
          <w:lang w:val="uk-UA"/>
        </w:rPr>
        <w:t xml:space="preserve"> з </w:t>
      </w:r>
      <w:proofErr w:type="spellStart"/>
      <w:r w:rsidRPr="00597D71">
        <w:rPr>
          <w:color w:val="000000"/>
          <w:sz w:val="28"/>
          <w:szCs w:val="28"/>
          <w:lang w:val="uk-UA"/>
        </w:rPr>
        <w:t>енергомодернізації</w:t>
      </w:r>
      <w:proofErr w:type="spellEnd"/>
      <w:r w:rsidRPr="00597D71">
        <w:rPr>
          <w:color w:val="000000"/>
          <w:sz w:val="28"/>
          <w:szCs w:val="28"/>
          <w:lang w:val="uk-UA"/>
        </w:rPr>
        <w:t xml:space="preserve"> відбувається об’єднання зусиль мешканців, що сприяє посиленню почуття власника та формуванню громадянського суспільства. </w:t>
      </w:r>
    </w:p>
    <w:p w:rsidR="000100BF" w:rsidRPr="00597D71" w:rsidRDefault="00515A9A">
      <w:pPr>
        <w:pStyle w:val="af8"/>
        <w:widowControl w:val="0"/>
        <w:spacing w:beforeAutospacing="0" w:afterAutospacing="0"/>
        <w:ind w:firstLine="705"/>
        <w:jc w:val="both"/>
        <w:rPr>
          <w:color w:val="000000"/>
          <w:sz w:val="28"/>
          <w:szCs w:val="28"/>
          <w:lang w:val="uk-UA"/>
        </w:rPr>
      </w:pPr>
      <w:r w:rsidRPr="00597D71">
        <w:rPr>
          <w:color w:val="000000"/>
          <w:sz w:val="28"/>
          <w:szCs w:val="28"/>
          <w:lang w:val="uk-UA"/>
        </w:rPr>
        <w:t xml:space="preserve">Впровадження завдань та заходів Програми полягає у проведенні робіт з </w:t>
      </w:r>
      <w:proofErr w:type="spellStart"/>
      <w:r w:rsidRPr="00597D71">
        <w:rPr>
          <w:color w:val="000000"/>
          <w:sz w:val="28"/>
          <w:szCs w:val="28"/>
          <w:lang w:val="uk-UA"/>
        </w:rPr>
        <w:t>термомодернізації</w:t>
      </w:r>
      <w:proofErr w:type="spellEnd"/>
      <w:r w:rsidRPr="00597D71">
        <w:rPr>
          <w:color w:val="000000"/>
          <w:sz w:val="28"/>
          <w:szCs w:val="28"/>
          <w:lang w:val="uk-UA"/>
        </w:rPr>
        <w:t xml:space="preserve"> житлових будинків, робіт із модернізації інженерних мереж будинків, інших заходів, які призведуть до зменшення використання енергоресурсів всіма категоріями споживачів, зменшення обсягу субсидій для населення за спожиті енергоносії. </w:t>
      </w:r>
    </w:p>
    <w:p w:rsidR="000100BF" w:rsidRPr="00597D71" w:rsidRDefault="00515A9A">
      <w:pPr>
        <w:ind w:firstLine="708"/>
        <w:jc w:val="both"/>
        <w:rPr>
          <w:color w:val="000000" w:themeColor="text1"/>
          <w:sz w:val="28"/>
          <w:lang w:val="uk-UA"/>
        </w:rPr>
      </w:pPr>
      <w:r w:rsidRPr="00597D71">
        <w:rPr>
          <w:color w:val="000000" w:themeColor="text1"/>
          <w:sz w:val="28"/>
          <w:lang w:val="uk-UA"/>
        </w:rPr>
        <w:t xml:space="preserve">Доступ до визначених Програмою заходів підтримки мають ОСББ, які беруть участь у програмах державної установи «Фонд енергоефективності», зокрема у Програмі підтримки </w:t>
      </w:r>
      <w:proofErr w:type="spellStart"/>
      <w:r w:rsidRPr="00597D71">
        <w:rPr>
          <w:color w:val="000000" w:themeColor="text1"/>
          <w:sz w:val="28"/>
          <w:lang w:val="uk-UA"/>
        </w:rPr>
        <w:t>енергомодернізації</w:t>
      </w:r>
      <w:proofErr w:type="spellEnd"/>
      <w:r w:rsidRPr="00597D71">
        <w:rPr>
          <w:color w:val="000000" w:themeColor="text1"/>
          <w:sz w:val="28"/>
          <w:lang w:val="uk-UA"/>
        </w:rPr>
        <w:t xml:space="preserve"> багатоквартирних будинків «ЕНЕРГОДІМ» державної установи «Фонд енергоефективності» на 2020</w:t>
      </w:r>
      <w:r w:rsidR="00822817">
        <w:rPr>
          <w:color w:val="000000" w:themeColor="text1"/>
          <w:sz w:val="28"/>
          <w:lang w:val="uk-UA"/>
        </w:rPr>
        <w:t>–</w:t>
      </w:r>
      <w:r w:rsidRPr="00597D71">
        <w:rPr>
          <w:color w:val="000000" w:themeColor="text1"/>
          <w:sz w:val="28"/>
          <w:lang w:val="uk-UA"/>
        </w:rPr>
        <w:t>2023 роки (далі – Програми Фонду та Програма «ЕНЕРГОДІМ»</w:t>
      </w:r>
      <w:r w:rsidRPr="00597D71">
        <w:rPr>
          <w:bCs/>
          <w:color w:val="000000" w:themeColor="text1"/>
          <w:sz w:val="28"/>
          <w:lang w:val="uk-UA"/>
        </w:rPr>
        <w:t>).</w:t>
      </w:r>
    </w:p>
    <w:p w:rsidR="000100BF" w:rsidRPr="00597D71" w:rsidRDefault="00515A9A">
      <w:pPr>
        <w:ind w:firstLine="706"/>
        <w:jc w:val="both"/>
        <w:rPr>
          <w:color w:val="000000" w:themeColor="text1"/>
          <w:sz w:val="28"/>
          <w:lang w:val="uk-UA"/>
        </w:rPr>
      </w:pPr>
      <w:r w:rsidRPr="00597D71">
        <w:rPr>
          <w:color w:val="000000" w:themeColor="text1"/>
          <w:sz w:val="28"/>
          <w:lang w:val="uk-UA"/>
        </w:rPr>
        <w:t xml:space="preserve">Учасниками програм державної установи «Фонд енергоефективності», зокрема Програми «ЕНЕРГОДІМ», є ті ОСББ, які в порядку приєднання </w:t>
      </w:r>
      <w:r w:rsidRPr="00597D71">
        <w:rPr>
          <w:color w:val="000000" w:themeColor="text1"/>
          <w:sz w:val="28"/>
          <w:lang w:val="uk-UA"/>
        </w:rPr>
        <w:lastRenderedPageBreak/>
        <w:t xml:space="preserve">уклали Грантовий договір з державною установою «Фонд енергоефективності» (далі – </w:t>
      </w:r>
      <w:r w:rsidRPr="00597D71">
        <w:rPr>
          <w:bCs/>
          <w:color w:val="000000" w:themeColor="text1"/>
          <w:sz w:val="28"/>
          <w:lang w:val="uk-UA"/>
        </w:rPr>
        <w:t>Фонд</w:t>
      </w:r>
      <w:r w:rsidRPr="00597D71">
        <w:rPr>
          <w:color w:val="000000" w:themeColor="text1"/>
          <w:sz w:val="28"/>
          <w:lang w:val="uk-UA"/>
        </w:rPr>
        <w:t xml:space="preserve">) шляхом отримання від Фонду Повідомлення про схвалення поданої ними Заявки на участь. </w:t>
      </w:r>
    </w:p>
    <w:p w:rsidR="000100BF" w:rsidRPr="00597D71" w:rsidRDefault="000100BF">
      <w:pPr>
        <w:pStyle w:val="af8"/>
        <w:widowControl w:val="0"/>
        <w:spacing w:beforeAutospacing="0" w:afterAutospacing="0"/>
        <w:ind w:firstLine="705"/>
        <w:jc w:val="both"/>
        <w:rPr>
          <w:color w:val="000000"/>
          <w:sz w:val="28"/>
          <w:szCs w:val="28"/>
          <w:lang w:val="uk-UA"/>
        </w:rPr>
      </w:pPr>
    </w:p>
    <w:p w:rsidR="000100BF" w:rsidRPr="00597D71" w:rsidRDefault="00515A9A">
      <w:pPr>
        <w:pStyle w:val="af8"/>
        <w:widowControl w:val="0"/>
        <w:spacing w:beforeAutospacing="0" w:afterAutospacing="0"/>
        <w:ind w:firstLine="633"/>
        <w:jc w:val="both"/>
        <w:rPr>
          <w:lang w:val="uk-UA"/>
        </w:rPr>
      </w:pPr>
      <w:r w:rsidRPr="00597D71">
        <w:rPr>
          <w:color w:val="000000"/>
          <w:sz w:val="28"/>
          <w:szCs w:val="28"/>
          <w:lang w:val="uk-UA"/>
        </w:rPr>
        <w:t>Результативними показниками виконання заходів програми є:</w:t>
      </w:r>
      <w:r w:rsidRPr="00597D71">
        <w:rPr>
          <w:lang w:val="uk-UA"/>
        </w:rPr>
        <w:t xml:space="preserve"> </w:t>
      </w:r>
      <w:r w:rsidRPr="00597D71">
        <w:rPr>
          <w:color w:val="000000"/>
          <w:sz w:val="28"/>
          <w:szCs w:val="28"/>
          <w:lang w:val="uk-UA"/>
        </w:rPr>
        <w:t>кількість ОСББ, які взяли участь у Програмі, зменшення споживання енергії у житлових будинках ОСББ, які взяли участь у Програмі, скорочення викидів СО</w:t>
      </w:r>
      <w:r w:rsidRPr="00597D71">
        <w:rPr>
          <w:color w:val="000000"/>
          <w:sz w:val="28"/>
          <w:szCs w:val="28"/>
          <w:vertAlign w:val="subscript"/>
          <w:lang w:val="uk-UA"/>
        </w:rPr>
        <w:t>2</w:t>
      </w:r>
      <w:r w:rsidRPr="00597D71">
        <w:rPr>
          <w:color w:val="000000"/>
          <w:sz w:val="28"/>
          <w:szCs w:val="28"/>
          <w:lang w:val="uk-UA"/>
        </w:rPr>
        <w:t xml:space="preserve">. </w:t>
      </w:r>
    </w:p>
    <w:p w:rsidR="000100BF" w:rsidRPr="00597D71" w:rsidRDefault="00515A9A">
      <w:pPr>
        <w:shd w:val="clear" w:color="auto" w:fill="FFFFFF"/>
        <w:ind w:firstLine="709"/>
        <w:jc w:val="both"/>
        <w:textAlignment w:val="baseline"/>
        <w:rPr>
          <w:lang w:val="uk-UA"/>
        </w:rPr>
      </w:pPr>
      <w:r w:rsidRPr="00597D71">
        <w:rPr>
          <w:sz w:val="28"/>
          <w:lang w:val="uk-UA"/>
        </w:rPr>
        <w:t>Ресурсне забезпечення Програми наведено у додатку 1 до Програми.</w:t>
      </w:r>
    </w:p>
    <w:p w:rsidR="000100BF" w:rsidRPr="00597D71" w:rsidRDefault="000100BF">
      <w:pPr>
        <w:shd w:val="clear" w:color="auto" w:fill="FFFFFF"/>
        <w:ind w:firstLine="709"/>
        <w:jc w:val="both"/>
        <w:textAlignment w:val="baseline"/>
        <w:rPr>
          <w:sz w:val="28"/>
          <w:lang w:val="uk-UA"/>
        </w:rPr>
      </w:pPr>
    </w:p>
    <w:p w:rsidR="000100BF" w:rsidRPr="00597D71" w:rsidRDefault="00515A9A">
      <w:pPr>
        <w:ind w:firstLine="709"/>
        <w:jc w:val="center"/>
        <w:rPr>
          <w:lang w:val="uk-UA"/>
        </w:rPr>
      </w:pPr>
      <w:r w:rsidRPr="00597D71">
        <w:rPr>
          <w:b/>
          <w:sz w:val="28"/>
          <w:lang w:val="uk-UA"/>
        </w:rPr>
        <w:t>4. ПЕРЕЛІК ЗАВДАНЬ І ЗАХОДІВ ПРОГРАМИ, НАПРЯМИ ВИКОРИСТАННЯ БЮДЖЕТНИХ КОШТІВ ТА РЕЗУЛЬТАТИВНІ ПОКАЗНИКИ</w:t>
      </w:r>
    </w:p>
    <w:p w:rsidR="000100BF" w:rsidRPr="00597D71" w:rsidRDefault="000100BF">
      <w:pPr>
        <w:ind w:firstLine="709"/>
        <w:jc w:val="center"/>
        <w:rPr>
          <w:bCs/>
          <w:sz w:val="28"/>
          <w:lang w:val="uk-UA"/>
        </w:rPr>
      </w:pPr>
    </w:p>
    <w:p w:rsidR="000100BF" w:rsidRPr="00597D71" w:rsidRDefault="00515A9A">
      <w:pPr>
        <w:ind w:firstLine="709"/>
        <w:jc w:val="both"/>
        <w:rPr>
          <w:iCs w:val="0"/>
          <w:sz w:val="28"/>
          <w:lang w:val="uk-UA"/>
        </w:rPr>
      </w:pPr>
      <w:r w:rsidRPr="00597D71">
        <w:rPr>
          <w:color w:val="000000"/>
          <w:sz w:val="28"/>
          <w:lang w:val="uk-UA"/>
        </w:rPr>
        <w:t>Перелік</w:t>
      </w:r>
      <w:r w:rsidRPr="00597D71">
        <w:rPr>
          <w:sz w:val="28"/>
          <w:lang w:val="uk-UA"/>
        </w:rPr>
        <w:t xml:space="preserve"> завдань і заходів Програми наведені у додатку 2 до Програми.</w:t>
      </w:r>
    </w:p>
    <w:p w:rsidR="000100BF" w:rsidRPr="00597D71" w:rsidRDefault="00515A9A">
      <w:pPr>
        <w:pStyle w:val="1"/>
        <w:jc w:val="center"/>
        <w:rPr>
          <w:rFonts w:ascii="Times New Roman" w:eastAsia="Times New Roman" w:hAnsi="Times New Roman" w:cs="Times New Roman"/>
          <w:bCs w:val="0"/>
          <w:color w:val="auto"/>
          <w:lang w:val="uk-UA"/>
        </w:rPr>
      </w:pPr>
      <w:r w:rsidRPr="00597D71">
        <w:rPr>
          <w:rFonts w:ascii="Times New Roman" w:eastAsia="Times New Roman" w:hAnsi="Times New Roman" w:cs="Times New Roman"/>
          <w:bCs w:val="0"/>
          <w:color w:val="auto"/>
          <w:lang w:val="uk-UA"/>
        </w:rPr>
        <w:t>5. КООРДИНАЦІЯ ТА КОНТРОЛЬ ЗА ХОДОМ ВИКОНАННЯМ ПРОГРАМИ</w:t>
      </w:r>
    </w:p>
    <w:p w:rsidR="000100BF" w:rsidRPr="00597D71" w:rsidRDefault="00515A9A">
      <w:pPr>
        <w:ind w:firstLine="720"/>
        <w:jc w:val="both"/>
        <w:rPr>
          <w:sz w:val="28"/>
          <w:lang w:val="uk-UA"/>
        </w:rPr>
      </w:pPr>
      <w:r w:rsidRPr="00597D71">
        <w:rPr>
          <w:sz w:val="28"/>
          <w:lang w:val="uk-UA"/>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0100BF" w:rsidRPr="00597D71" w:rsidRDefault="00515A9A">
      <w:pPr>
        <w:ind w:firstLine="720"/>
        <w:jc w:val="both"/>
        <w:rPr>
          <w:sz w:val="28"/>
          <w:lang w:val="uk-UA"/>
        </w:rPr>
      </w:pPr>
      <w:r w:rsidRPr="00597D71">
        <w:rPr>
          <w:sz w:val="28"/>
          <w:lang w:val="uk-UA"/>
        </w:rPr>
        <w:t>Контроль за виконанням заходів Програми здійснює департамент житлово-комунального господарства, к</w:t>
      </w:r>
      <w:r w:rsidRPr="00597D71">
        <w:rPr>
          <w:color w:val="000000"/>
          <w:sz w:val="28"/>
          <w:lang w:val="uk-UA"/>
        </w:rPr>
        <w:t>омісія</w:t>
      </w:r>
      <w:r w:rsidRPr="00597D71">
        <w:rPr>
          <w:color w:val="FF0000"/>
          <w:sz w:val="28"/>
          <w:lang w:val="uk-UA"/>
        </w:rPr>
        <w:t xml:space="preserve"> </w:t>
      </w:r>
      <w:r w:rsidRPr="00597D71">
        <w:rPr>
          <w:sz w:val="28"/>
          <w:lang w:val="uk-UA"/>
        </w:rPr>
        <w:t>з відшкодування коштів на впровадження ОСББ енергоефективних заходів, постійна  комісія  місько</w:t>
      </w:r>
      <w:r w:rsidR="007C0FE9" w:rsidRPr="00597D71">
        <w:rPr>
          <w:sz w:val="28"/>
          <w:lang w:val="uk-UA"/>
        </w:rPr>
        <w:t>ї ради з питань генерального пла</w:t>
      </w:r>
      <w:r w:rsidRPr="00597D71">
        <w:rPr>
          <w:sz w:val="28"/>
          <w:lang w:val="uk-UA"/>
        </w:rPr>
        <w:t>нування, будівництва, архітектури та благоустрою,</w:t>
      </w:r>
      <w:r w:rsidR="007C0FE9" w:rsidRPr="00597D71">
        <w:rPr>
          <w:sz w:val="28"/>
          <w:lang w:val="uk-UA"/>
        </w:rPr>
        <w:t xml:space="preserve"> </w:t>
      </w:r>
      <w:r w:rsidRPr="00597D71">
        <w:rPr>
          <w:sz w:val="28"/>
          <w:lang w:val="uk-UA"/>
        </w:rPr>
        <w:t xml:space="preserve">житлово-комунального господарства, екології, транспорту та </w:t>
      </w:r>
      <w:proofErr w:type="spellStart"/>
      <w:r w:rsidRPr="00597D71">
        <w:rPr>
          <w:sz w:val="28"/>
          <w:lang w:val="uk-UA"/>
        </w:rPr>
        <w:t>енергоощадності</w:t>
      </w:r>
      <w:proofErr w:type="spellEnd"/>
      <w:r w:rsidRPr="00597D71">
        <w:rPr>
          <w:sz w:val="28"/>
          <w:lang w:val="uk-UA"/>
        </w:rPr>
        <w:t xml:space="preserve">. </w:t>
      </w:r>
    </w:p>
    <w:p w:rsidR="000100BF" w:rsidRPr="00597D71" w:rsidRDefault="00515A9A">
      <w:pPr>
        <w:ind w:firstLine="720"/>
        <w:jc w:val="both"/>
        <w:rPr>
          <w:sz w:val="28"/>
          <w:lang w:val="uk-UA"/>
        </w:rPr>
      </w:pPr>
      <w:r w:rsidRPr="00597D71">
        <w:rPr>
          <w:sz w:val="28"/>
          <w:lang w:val="uk-UA"/>
        </w:rPr>
        <w:t>Звіт про виконання Програми заслуховується на сесії міської ради після завершення її виконання.</w:t>
      </w:r>
    </w:p>
    <w:p w:rsidR="000100BF" w:rsidRDefault="000100BF">
      <w:pPr>
        <w:jc w:val="both"/>
        <w:rPr>
          <w:sz w:val="28"/>
          <w:lang w:val="uk-UA"/>
        </w:rPr>
      </w:pPr>
    </w:p>
    <w:p w:rsidR="00822817" w:rsidRDefault="00822817">
      <w:pPr>
        <w:jc w:val="both"/>
        <w:rPr>
          <w:sz w:val="28"/>
          <w:lang w:val="uk-UA"/>
        </w:rPr>
      </w:pPr>
    </w:p>
    <w:p w:rsidR="00822817" w:rsidRPr="00597D71" w:rsidRDefault="00822817">
      <w:pPr>
        <w:jc w:val="both"/>
        <w:rPr>
          <w:sz w:val="28"/>
          <w:lang w:val="uk-UA"/>
        </w:rPr>
      </w:pPr>
    </w:p>
    <w:p w:rsidR="001D3559" w:rsidRPr="00597D71" w:rsidRDefault="001D3559" w:rsidP="001D3559">
      <w:pPr>
        <w:jc w:val="both"/>
        <w:rPr>
          <w:color w:val="000000"/>
          <w:sz w:val="28"/>
          <w:lang w:val="uk-UA"/>
        </w:rPr>
      </w:pPr>
      <w:r>
        <w:rPr>
          <w:color w:val="000000"/>
          <w:sz w:val="28"/>
          <w:lang w:val="uk-UA"/>
        </w:rPr>
        <w:t>Секретар міської ради</w:t>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t>Юрій БЕЗПЯТКО</w:t>
      </w:r>
    </w:p>
    <w:p w:rsidR="00822817" w:rsidRDefault="00822817">
      <w:pPr>
        <w:jc w:val="both"/>
        <w:rPr>
          <w:lang w:val="uk-UA"/>
        </w:rPr>
      </w:pPr>
    </w:p>
    <w:p w:rsidR="001D3559" w:rsidRDefault="001D3559">
      <w:pPr>
        <w:jc w:val="both"/>
        <w:rPr>
          <w:lang w:val="uk-UA"/>
        </w:rPr>
      </w:pPr>
    </w:p>
    <w:p w:rsidR="00822817" w:rsidRDefault="00822817">
      <w:pPr>
        <w:jc w:val="both"/>
        <w:rPr>
          <w:lang w:val="uk-UA"/>
        </w:rPr>
      </w:pPr>
      <w:proofErr w:type="spellStart"/>
      <w:r>
        <w:rPr>
          <w:lang w:val="uk-UA"/>
        </w:rPr>
        <w:t>Осіюк</w:t>
      </w:r>
      <w:proofErr w:type="spellEnd"/>
      <w:r>
        <w:rPr>
          <w:lang w:val="uk-UA"/>
        </w:rPr>
        <w:t xml:space="preserve"> 773</w:t>
      </w:r>
      <w:r w:rsidR="001D3559">
        <w:rPr>
          <w:lang w:val="uk-UA"/>
        </w:rPr>
        <w:t> </w:t>
      </w:r>
      <w:r>
        <w:rPr>
          <w:lang w:val="uk-UA"/>
        </w:rPr>
        <w:t>150</w:t>
      </w:r>
    </w:p>
    <w:p w:rsidR="00822817" w:rsidRDefault="00822817">
      <w:pPr>
        <w:jc w:val="both"/>
        <w:rPr>
          <w:lang w:val="uk-UA"/>
        </w:rPr>
      </w:pPr>
    </w:p>
    <w:p w:rsidR="001D3559" w:rsidRDefault="001D3559">
      <w:pPr>
        <w:jc w:val="both"/>
        <w:rPr>
          <w:lang w:val="uk-UA"/>
        </w:rPr>
      </w:pPr>
      <w:bookmarkStart w:id="5" w:name="_GoBack"/>
      <w:bookmarkEnd w:id="5"/>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22817" w:rsidRPr="00822817" w:rsidRDefault="00822817" w:rsidP="00822817">
      <w:pPr>
        <w:ind w:left="4956" w:firstLine="6"/>
        <w:jc w:val="both"/>
        <w:rPr>
          <w:sz w:val="28"/>
          <w:lang w:val="uk-UA"/>
        </w:rPr>
      </w:pPr>
      <w:r w:rsidRPr="00822817">
        <w:rPr>
          <w:sz w:val="28"/>
          <w:lang w:val="uk-UA"/>
        </w:rPr>
        <w:lastRenderedPageBreak/>
        <w:t>Додаток 1</w:t>
      </w:r>
    </w:p>
    <w:p w:rsidR="00822817" w:rsidRPr="00822817" w:rsidRDefault="00822817" w:rsidP="00822817">
      <w:pPr>
        <w:ind w:left="4956" w:firstLine="6"/>
        <w:jc w:val="both"/>
        <w:rPr>
          <w:sz w:val="28"/>
          <w:lang w:val="uk-UA"/>
        </w:rPr>
      </w:pPr>
      <w:r w:rsidRPr="00822817">
        <w:rPr>
          <w:sz w:val="28"/>
          <w:lang w:val="uk-UA"/>
        </w:rPr>
        <w:t>до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p w:rsidR="00822817" w:rsidRPr="00822817" w:rsidRDefault="00822817" w:rsidP="00822817">
      <w:pPr>
        <w:jc w:val="both"/>
        <w:rPr>
          <w:sz w:val="28"/>
          <w:lang w:val="uk-UA"/>
        </w:rPr>
      </w:pPr>
    </w:p>
    <w:p w:rsidR="00822817" w:rsidRPr="00822817" w:rsidRDefault="00822817" w:rsidP="00822817">
      <w:pPr>
        <w:jc w:val="center"/>
        <w:rPr>
          <w:sz w:val="28"/>
          <w:lang w:val="uk-UA"/>
        </w:rPr>
      </w:pPr>
      <w:r w:rsidRPr="00822817">
        <w:rPr>
          <w:sz w:val="28"/>
          <w:lang w:val="uk-UA"/>
        </w:rPr>
        <w:t xml:space="preserve">Ресурсне забезпечення </w:t>
      </w:r>
    </w:p>
    <w:p w:rsidR="00822817" w:rsidRPr="00822817" w:rsidRDefault="00822817" w:rsidP="00822817">
      <w:pPr>
        <w:jc w:val="center"/>
        <w:rPr>
          <w:sz w:val="28"/>
          <w:lang w:val="uk-UA"/>
        </w:rPr>
      </w:pPr>
      <w:r w:rsidRPr="00822817">
        <w:rPr>
          <w:sz w:val="28"/>
          <w:lang w:val="uk-UA"/>
        </w:rPr>
        <w:t>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p w:rsidR="00822817" w:rsidRPr="00822817" w:rsidRDefault="00822817" w:rsidP="00822817">
      <w:pPr>
        <w:ind w:left="4956" w:firstLine="708"/>
        <w:jc w:val="both"/>
        <w:rPr>
          <w:sz w:val="28"/>
          <w:lang w:val="uk-UA"/>
        </w:rPr>
      </w:pPr>
    </w:p>
    <w:tbl>
      <w:tblPr>
        <w:tblpPr w:leftFromText="180" w:rightFromText="180" w:vertAnchor="text" w:tblpX="108" w:tblpY="1"/>
        <w:tblW w:w="9750" w:type="dxa"/>
        <w:tblLook w:val="01E0" w:firstRow="1" w:lastRow="1" w:firstColumn="1" w:lastColumn="1" w:noHBand="0" w:noVBand="0"/>
      </w:tblPr>
      <w:tblGrid>
        <w:gridCol w:w="2713"/>
        <w:gridCol w:w="1386"/>
        <w:gridCol w:w="1424"/>
        <w:gridCol w:w="1410"/>
        <w:gridCol w:w="2817"/>
      </w:tblGrid>
      <w:tr w:rsidR="00822817" w:rsidRPr="00822817" w:rsidTr="0056335D">
        <w:trPr>
          <w:trHeight w:val="575"/>
        </w:trPr>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Обсяг коштів, які пропонується залучити на виконання Програми, тис. грн</w:t>
            </w:r>
          </w:p>
        </w:tc>
        <w:tc>
          <w:tcPr>
            <w:tcW w:w="4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Етапи  виконання програми</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sz w:val="28"/>
                <w:lang w:val="uk-UA"/>
              </w:rPr>
            </w:pPr>
            <w:r w:rsidRPr="00822817">
              <w:rPr>
                <w:sz w:val="28"/>
                <w:lang w:val="uk-UA"/>
              </w:rPr>
              <w:t>Загальний  обсяг фінансування Програми, тис. грн</w:t>
            </w:r>
          </w:p>
        </w:tc>
      </w:tr>
      <w:tr w:rsidR="00822817" w:rsidRPr="00822817" w:rsidTr="0056335D">
        <w:trPr>
          <w:trHeight w:val="1606"/>
        </w:trPr>
        <w:tc>
          <w:tcPr>
            <w:tcW w:w="2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sz w:val="28"/>
                <w:lang w:val="uk-UA"/>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2021 рік</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2022 рік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2023 рік</w:t>
            </w: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Pr>
          <w:p w:rsidR="00822817" w:rsidRPr="00822817" w:rsidRDefault="00822817" w:rsidP="00F253E0">
            <w:pPr>
              <w:jc w:val="center"/>
              <w:rPr>
                <w:sz w:val="28"/>
                <w:lang w:val="uk-UA"/>
              </w:rPr>
            </w:pPr>
          </w:p>
        </w:tc>
      </w:tr>
      <w:tr w:rsidR="00822817" w:rsidRPr="00822817" w:rsidTr="0056335D">
        <w:trPr>
          <w:trHeight w:val="1504"/>
        </w:trPr>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Обся</w:t>
            </w:r>
            <w:r>
              <w:rPr>
                <w:sz w:val="28"/>
                <w:lang w:val="uk-UA"/>
              </w:rPr>
              <w:t xml:space="preserve">г фінансових ресурсів всього, </w:t>
            </w:r>
            <w:r w:rsidRPr="00822817">
              <w:rPr>
                <w:sz w:val="28"/>
                <w:lang w:val="uk-UA"/>
              </w:rPr>
              <w:t>у </w:t>
            </w:r>
            <w:r>
              <w:rPr>
                <w:sz w:val="28"/>
                <w:lang w:val="uk-UA"/>
              </w:rPr>
              <w:t xml:space="preserve">тому числі: </w:t>
            </w:r>
            <w:r w:rsidRPr="00822817">
              <w:rPr>
                <w:sz w:val="28"/>
                <w:lang w:val="uk-UA"/>
              </w:rPr>
              <w:t>бюджет міської територіальної громади</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25 000,00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30 000,00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75 000,00</w:t>
            </w:r>
          </w:p>
        </w:tc>
      </w:tr>
      <w:tr w:rsidR="00232325" w:rsidRPr="00822817" w:rsidTr="0056335D">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822817" w:rsidRDefault="00232325" w:rsidP="00232325">
            <w:pPr>
              <w:jc w:val="center"/>
              <w:rPr>
                <w:sz w:val="28"/>
                <w:lang w:val="uk-UA"/>
              </w:rPr>
            </w:pPr>
            <w:r w:rsidRPr="00822817">
              <w:rPr>
                <w:sz w:val="28"/>
                <w:lang w:val="uk-UA"/>
              </w:rPr>
              <w:t xml:space="preserve">кошти </w:t>
            </w:r>
            <w:r>
              <w:rPr>
                <w:sz w:val="28"/>
                <w:lang w:val="uk-UA"/>
              </w:rPr>
              <w:t>співвласників відповідно до Державної цільової програми енергоефективності</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rPr>
                <w:sz w:val="26"/>
                <w:szCs w:val="26"/>
                <w:lang w:val="uk-UA"/>
              </w:rPr>
            </w:pPr>
            <w:r w:rsidRPr="00232325">
              <w:rPr>
                <w:sz w:val="26"/>
                <w:szCs w:val="26"/>
                <w:lang w:val="uk-UA"/>
              </w:rPr>
              <w:t>40 000,00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rPr>
                <w:sz w:val="26"/>
                <w:szCs w:val="26"/>
                <w:lang w:val="uk-UA"/>
              </w:rPr>
            </w:pPr>
            <w:r w:rsidRPr="00232325">
              <w:rPr>
                <w:sz w:val="26"/>
                <w:szCs w:val="26"/>
                <w:lang w:val="uk-UA"/>
              </w:rPr>
              <w:t>50 000,00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rPr>
                <w:sz w:val="26"/>
                <w:szCs w:val="26"/>
                <w:lang w:val="uk-UA"/>
              </w:rPr>
            </w:pPr>
            <w:r w:rsidRPr="00232325">
              <w:rPr>
                <w:sz w:val="26"/>
                <w:szCs w:val="26"/>
                <w:lang w:val="uk-UA"/>
              </w:rPr>
              <w:t>60 000,00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jc w:val="center"/>
              <w:rPr>
                <w:sz w:val="26"/>
                <w:szCs w:val="26"/>
                <w:lang w:val="uk-UA"/>
              </w:rPr>
            </w:pPr>
            <w:r w:rsidRPr="00232325">
              <w:rPr>
                <w:sz w:val="26"/>
                <w:szCs w:val="26"/>
                <w:lang w:val="uk-UA"/>
              </w:rPr>
              <w:t>150 000,00</w:t>
            </w:r>
          </w:p>
        </w:tc>
      </w:tr>
      <w:tr w:rsidR="0056335D" w:rsidRPr="00232325" w:rsidTr="0056335D">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822817" w:rsidRDefault="0056335D" w:rsidP="00121632">
            <w:pPr>
              <w:jc w:val="center"/>
              <w:rPr>
                <w:lang w:val="uk-UA"/>
              </w:rPr>
            </w:pPr>
            <w:r w:rsidRPr="00822817">
              <w:rPr>
                <w:sz w:val="28"/>
                <w:lang w:val="uk-UA"/>
              </w:rPr>
              <w:t>кошти інших джерел</w:t>
            </w:r>
            <w:r>
              <w:rPr>
                <w:sz w:val="28"/>
                <w:lang w:val="uk-UA"/>
              </w:rPr>
              <w:t xml:space="preserve"> відповідно до Державної цільової програми енергоефективності</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140 000,00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175 000,00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210 000,00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525 000,00</w:t>
            </w:r>
          </w:p>
        </w:tc>
      </w:tr>
    </w:tbl>
    <w:p w:rsidR="00822817" w:rsidRDefault="00822817" w:rsidP="00822817">
      <w:pPr>
        <w:rPr>
          <w:iCs w:val="0"/>
          <w:color w:val="000000"/>
          <w:sz w:val="28"/>
          <w:lang w:val="uk-UA"/>
        </w:rPr>
      </w:pPr>
    </w:p>
    <w:p w:rsidR="00822817" w:rsidRPr="00822817" w:rsidRDefault="00822817" w:rsidP="00822817">
      <w:pPr>
        <w:rPr>
          <w:iCs w:val="0"/>
          <w:color w:val="000000"/>
          <w:sz w:val="28"/>
          <w:lang w:val="uk-UA"/>
        </w:rPr>
      </w:pPr>
    </w:p>
    <w:p w:rsidR="00822817" w:rsidRPr="00822817" w:rsidRDefault="00822817" w:rsidP="00822817">
      <w:pPr>
        <w:rPr>
          <w:szCs w:val="24"/>
          <w:lang w:val="uk-UA"/>
        </w:rPr>
      </w:pPr>
      <w:proofErr w:type="spellStart"/>
      <w:r w:rsidRPr="00822817">
        <w:rPr>
          <w:szCs w:val="24"/>
          <w:lang w:val="uk-UA"/>
        </w:rPr>
        <w:t>Осіюк</w:t>
      </w:r>
      <w:proofErr w:type="spellEnd"/>
      <w:r w:rsidRPr="00822817">
        <w:rPr>
          <w:szCs w:val="24"/>
          <w:lang w:val="uk-UA"/>
        </w:rPr>
        <w:t xml:space="preserve"> 773</w:t>
      </w:r>
      <w:r>
        <w:rPr>
          <w:szCs w:val="24"/>
          <w:lang w:val="uk-UA"/>
        </w:rPr>
        <w:t> </w:t>
      </w:r>
      <w:r w:rsidRPr="00822817">
        <w:rPr>
          <w:szCs w:val="24"/>
          <w:lang w:val="uk-UA"/>
        </w:rPr>
        <w:t>150</w:t>
      </w:r>
    </w:p>
    <w:p w:rsidR="00822817" w:rsidRDefault="00822817">
      <w:pPr>
        <w:jc w:val="both"/>
        <w:rPr>
          <w:lang w:val="uk-UA"/>
        </w:rPr>
      </w:pPr>
    </w:p>
    <w:p w:rsidR="00822817" w:rsidRDefault="00822817">
      <w:pPr>
        <w:jc w:val="both"/>
        <w:rPr>
          <w:lang w:val="uk-UA"/>
        </w:rPr>
      </w:pPr>
      <w:r>
        <w:rPr>
          <w:lang w:val="uk-UA"/>
        </w:rPr>
        <w:br w:type="page"/>
      </w:r>
    </w:p>
    <w:p w:rsidR="00FC6D6B" w:rsidRDefault="00FC6D6B">
      <w:pPr>
        <w:jc w:val="both"/>
        <w:rPr>
          <w:lang w:val="uk-UA"/>
        </w:rPr>
        <w:sectPr w:rsidR="00FC6D6B" w:rsidSect="00597D71">
          <w:headerReference w:type="default" r:id="rId8"/>
          <w:pgSz w:w="11906" w:h="16838"/>
          <w:pgMar w:top="567" w:right="567" w:bottom="1134" w:left="1985" w:header="567" w:footer="0" w:gutter="0"/>
          <w:pgNumType w:start="2"/>
          <w:cols w:space="720"/>
          <w:formProt w:val="0"/>
          <w:docGrid w:linePitch="360"/>
        </w:sectPr>
      </w:pPr>
    </w:p>
    <w:p w:rsidR="00FC6D6B" w:rsidRPr="00FC6D6B" w:rsidRDefault="00FC6D6B" w:rsidP="00FC6D6B">
      <w:pPr>
        <w:ind w:left="9912" w:firstLine="708"/>
        <w:jc w:val="both"/>
        <w:rPr>
          <w:sz w:val="28"/>
          <w:lang w:val="uk-UA"/>
        </w:rPr>
      </w:pPr>
      <w:r w:rsidRPr="00FC6D6B">
        <w:rPr>
          <w:sz w:val="28"/>
          <w:lang w:val="uk-UA"/>
        </w:rPr>
        <w:lastRenderedPageBreak/>
        <w:t>Додаток 2</w:t>
      </w:r>
    </w:p>
    <w:p w:rsidR="00FC6D6B" w:rsidRPr="00FC6D6B" w:rsidRDefault="00FC6D6B" w:rsidP="00FC6D6B">
      <w:pPr>
        <w:ind w:left="10620"/>
        <w:jc w:val="both"/>
        <w:rPr>
          <w:sz w:val="28"/>
          <w:lang w:val="uk-UA"/>
        </w:rPr>
      </w:pPr>
      <w:r w:rsidRPr="00FC6D6B">
        <w:rPr>
          <w:sz w:val="28"/>
          <w:lang w:val="uk-UA"/>
        </w:rPr>
        <w:t>до Програми відшкодування частини суми кредитів ОСББ Луцької міської територіальної громади, залучених на впровадження в будинках енергоефект</w:t>
      </w:r>
      <w:r w:rsidR="006147AA">
        <w:rPr>
          <w:sz w:val="28"/>
          <w:lang w:val="uk-UA"/>
        </w:rPr>
        <w:t>ивних заходів на 2021–2023 роки</w:t>
      </w:r>
    </w:p>
    <w:p w:rsidR="00FC6D6B" w:rsidRPr="00FC6D6B" w:rsidRDefault="00FC6D6B" w:rsidP="00FC6D6B">
      <w:pPr>
        <w:jc w:val="center"/>
        <w:rPr>
          <w:b/>
          <w:sz w:val="28"/>
          <w:lang w:val="uk-UA"/>
        </w:rPr>
      </w:pPr>
    </w:p>
    <w:p w:rsidR="00FC6D6B" w:rsidRPr="00FC6D6B" w:rsidRDefault="00FC6D6B" w:rsidP="00FC6D6B">
      <w:pPr>
        <w:jc w:val="center"/>
        <w:rPr>
          <w:b/>
          <w:sz w:val="28"/>
          <w:lang w:val="uk-UA"/>
        </w:rPr>
      </w:pPr>
      <w:r w:rsidRPr="00FC6D6B">
        <w:rPr>
          <w:b/>
          <w:sz w:val="28"/>
          <w:lang w:val="uk-UA"/>
        </w:rPr>
        <w:t>НАПРЯМИ ДІЯЛЬНОСТІ І ЗАХОДИ РЕАЛІЗАЦІЇ ПРОГРАМИ</w:t>
      </w:r>
    </w:p>
    <w:tbl>
      <w:tblPr>
        <w:tblW w:w="14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0"/>
        <w:gridCol w:w="1440"/>
        <w:gridCol w:w="2500"/>
        <w:gridCol w:w="1170"/>
        <w:gridCol w:w="1239"/>
        <w:gridCol w:w="1276"/>
        <w:gridCol w:w="1559"/>
        <w:gridCol w:w="1560"/>
        <w:gridCol w:w="1170"/>
        <w:gridCol w:w="1170"/>
        <w:gridCol w:w="9"/>
        <w:gridCol w:w="1284"/>
        <w:gridCol w:w="9"/>
      </w:tblGrid>
      <w:tr w:rsidR="00FC6D6B" w:rsidRPr="00FC6D6B" w:rsidTr="00F253E0">
        <w:trPr>
          <w:cantSplit/>
          <w:trHeight w:val="276"/>
          <w:tblHeader/>
          <w:jc w:val="center"/>
        </w:trPr>
        <w:tc>
          <w:tcPr>
            <w:tcW w:w="45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 з/п</w:t>
            </w:r>
          </w:p>
        </w:tc>
        <w:tc>
          <w:tcPr>
            <w:tcW w:w="144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Назва напряму діяльності (пріоритетні завдання)</w:t>
            </w:r>
          </w:p>
        </w:tc>
        <w:tc>
          <w:tcPr>
            <w:tcW w:w="250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Перелік заходів Програми</w:t>
            </w:r>
            <w:r w:rsidRPr="00FC6D6B" w:rsidDel="005B6ECE">
              <w:rPr>
                <w:b/>
                <w:sz w:val="22"/>
                <w:szCs w:val="22"/>
                <w:lang w:val="uk-UA"/>
              </w:rPr>
              <w:t xml:space="preserve"> </w:t>
            </w:r>
          </w:p>
        </w:tc>
        <w:tc>
          <w:tcPr>
            <w:tcW w:w="117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Термін вико-</w:t>
            </w:r>
            <w:proofErr w:type="spellStart"/>
            <w:r w:rsidRPr="00FC6D6B">
              <w:rPr>
                <w:b/>
                <w:sz w:val="22"/>
                <w:szCs w:val="22"/>
                <w:lang w:val="uk-UA"/>
              </w:rPr>
              <w:t>нання</w:t>
            </w:r>
            <w:proofErr w:type="spellEnd"/>
          </w:p>
        </w:tc>
        <w:tc>
          <w:tcPr>
            <w:tcW w:w="1239"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Виконавці</w:t>
            </w:r>
          </w:p>
        </w:tc>
        <w:tc>
          <w:tcPr>
            <w:tcW w:w="1276"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Джерела фінансування</w:t>
            </w:r>
          </w:p>
        </w:tc>
        <w:tc>
          <w:tcPr>
            <w:tcW w:w="5468" w:type="dxa"/>
            <w:gridSpan w:val="5"/>
            <w:shd w:val="clear" w:color="auto" w:fill="C6D9F1"/>
          </w:tcPr>
          <w:p w:rsidR="00FC6D6B" w:rsidRPr="00FC6D6B" w:rsidRDefault="00FC6D6B" w:rsidP="00F253E0">
            <w:pPr>
              <w:ind w:left="-136" w:right="-79"/>
              <w:jc w:val="center"/>
              <w:rPr>
                <w:b/>
                <w:sz w:val="22"/>
                <w:szCs w:val="22"/>
                <w:lang w:val="uk-UA"/>
              </w:rPr>
            </w:pPr>
            <w:r w:rsidRPr="00FC6D6B">
              <w:rPr>
                <w:b/>
                <w:sz w:val="22"/>
                <w:szCs w:val="22"/>
                <w:lang w:val="uk-UA"/>
              </w:rPr>
              <w:t>Орієнтовні</w:t>
            </w:r>
          </w:p>
          <w:p w:rsidR="00FC6D6B" w:rsidRPr="00FC6D6B" w:rsidRDefault="00FC6D6B" w:rsidP="008C5FFC">
            <w:pPr>
              <w:jc w:val="center"/>
              <w:rPr>
                <w:b/>
                <w:lang w:val="uk-UA"/>
              </w:rPr>
            </w:pPr>
            <w:r w:rsidRPr="00FC6D6B">
              <w:rPr>
                <w:b/>
                <w:sz w:val="22"/>
                <w:szCs w:val="22"/>
                <w:lang w:val="uk-UA"/>
              </w:rPr>
              <w:t>обсяги фінансування (вартість) тис. грн.</w:t>
            </w:r>
          </w:p>
        </w:tc>
        <w:tc>
          <w:tcPr>
            <w:tcW w:w="1293" w:type="dxa"/>
            <w:gridSpan w:val="2"/>
            <w:shd w:val="clear" w:color="auto" w:fill="C6D9F1"/>
            <w:vAlign w:val="center"/>
          </w:tcPr>
          <w:p w:rsidR="00FC6D6B" w:rsidRPr="00FC6D6B" w:rsidRDefault="00FC6D6B" w:rsidP="00F253E0">
            <w:pPr>
              <w:jc w:val="center"/>
              <w:rPr>
                <w:b/>
                <w:lang w:val="uk-UA"/>
              </w:rPr>
            </w:pPr>
            <w:r w:rsidRPr="00FC6D6B">
              <w:rPr>
                <w:b/>
                <w:sz w:val="22"/>
                <w:szCs w:val="22"/>
                <w:lang w:val="uk-UA"/>
              </w:rPr>
              <w:t>Очікуваний результат</w:t>
            </w:r>
          </w:p>
        </w:tc>
      </w:tr>
      <w:tr w:rsidR="00FC6D6B" w:rsidRPr="00FC6D6B" w:rsidTr="00F253E0">
        <w:trPr>
          <w:gridAfter w:val="1"/>
          <w:wAfter w:w="9" w:type="dxa"/>
          <w:cantSplit/>
          <w:trHeight w:val="539"/>
          <w:tblHeader/>
          <w:jc w:val="center"/>
        </w:trPr>
        <w:tc>
          <w:tcPr>
            <w:tcW w:w="450" w:type="dxa"/>
            <w:vMerge/>
            <w:vAlign w:val="center"/>
          </w:tcPr>
          <w:p w:rsidR="00FC6D6B" w:rsidRPr="00FC6D6B" w:rsidRDefault="00FC6D6B" w:rsidP="00F253E0">
            <w:pPr>
              <w:jc w:val="center"/>
              <w:rPr>
                <w:b/>
                <w:lang w:val="uk-UA"/>
              </w:rPr>
            </w:pPr>
          </w:p>
        </w:tc>
        <w:tc>
          <w:tcPr>
            <w:tcW w:w="1440" w:type="dxa"/>
            <w:vMerge/>
            <w:vAlign w:val="center"/>
          </w:tcPr>
          <w:p w:rsidR="00FC6D6B" w:rsidRPr="00FC6D6B" w:rsidRDefault="00FC6D6B" w:rsidP="00F253E0">
            <w:pPr>
              <w:jc w:val="center"/>
              <w:rPr>
                <w:b/>
                <w:lang w:val="uk-UA"/>
              </w:rPr>
            </w:pPr>
          </w:p>
        </w:tc>
        <w:tc>
          <w:tcPr>
            <w:tcW w:w="2500" w:type="dxa"/>
            <w:vMerge/>
            <w:vAlign w:val="center"/>
          </w:tcPr>
          <w:p w:rsidR="00FC6D6B" w:rsidRPr="00FC6D6B" w:rsidRDefault="00FC6D6B" w:rsidP="00F253E0">
            <w:pPr>
              <w:jc w:val="center"/>
              <w:rPr>
                <w:b/>
                <w:lang w:val="uk-UA"/>
              </w:rPr>
            </w:pPr>
          </w:p>
        </w:tc>
        <w:tc>
          <w:tcPr>
            <w:tcW w:w="1170" w:type="dxa"/>
            <w:vMerge/>
            <w:vAlign w:val="center"/>
          </w:tcPr>
          <w:p w:rsidR="00FC6D6B" w:rsidRPr="00FC6D6B" w:rsidRDefault="00FC6D6B" w:rsidP="00F253E0">
            <w:pPr>
              <w:jc w:val="center"/>
              <w:rPr>
                <w:b/>
                <w:lang w:val="uk-UA"/>
              </w:rPr>
            </w:pPr>
          </w:p>
        </w:tc>
        <w:tc>
          <w:tcPr>
            <w:tcW w:w="1239" w:type="dxa"/>
            <w:vMerge/>
            <w:vAlign w:val="center"/>
          </w:tcPr>
          <w:p w:rsidR="00FC6D6B" w:rsidRPr="00FC6D6B" w:rsidRDefault="00FC6D6B" w:rsidP="00F253E0">
            <w:pPr>
              <w:jc w:val="center"/>
              <w:rPr>
                <w:b/>
                <w:lang w:val="uk-UA"/>
              </w:rPr>
            </w:pPr>
          </w:p>
        </w:tc>
        <w:tc>
          <w:tcPr>
            <w:tcW w:w="1276" w:type="dxa"/>
            <w:vMerge/>
            <w:vAlign w:val="center"/>
          </w:tcPr>
          <w:p w:rsidR="00FC6D6B" w:rsidRPr="00FC6D6B" w:rsidRDefault="00FC6D6B" w:rsidP="00F253E0">
            <w:pPr>
              <w:jc w:val="center"/>
              <w:rPr>
                <w:b/>
                <w:lang w:val="uk-UA"/>
              </w:rPr>
            </w:pPr>
          </w:p>
        </w:tc>
        <w:tc>
          <w:tcPr>
            <w:tcW w:w="1559" w:type="dxa"/>
            <w:vAlign w:val="center"/>
          </w:tcPr>
          <w:p w:rsidR="00FC6D6B" w:rsidRPr="00FC6D6B" w:rsidRDefault="00FC6D6B" w:rsidP="00F253E0">
            <w:pPr>
              <w:jc w:val="center"/>
              <w:rPr>
                <w:b/>
                <w:sz w:val="22"/>
                <w:szCs w:val="22"/>
                <w:lang w:val="uk-UA"/>
              </w:rPr>
            </w:pPr>
            <w:r w:rsidRPr="00FC6D6B">
              <w:rPr>
                <w:b/>
                <w:sz w:val="22"/>
                <w:szCs w:val="22"/>
                <w:lang w:val="uk-UA"/>
              </w:rPr>
              <w:t xml:space="preserve">2021 </w:t>
            </w:r>
          </w:p>
          <w:p w:rsidR="00FC6D6B" w:rsidRPr="00FC6D6B" w:rsidRDefault="00FC6D6B" w:rsidP="00F253E0">
            <w:pPr>
              <w:jc w:val="center"/>
              <w:rPr>
                <w:b/>
                <w:lang w:val="uk-UA"/>
              </w:rPr>
            </w:pPr>
          </w:p>
        </w:tc>
        <w:tc>
          <w:tcPr>
            <w:tcW w:w="1560" w:type="dxa"/>
            <w:vAlign w:val="center"/>
          </w:tcPr>
          <w:p w:rsidR="00FC6D6B" w:rsidRPr="00FC6D6B" w:rsidRDefault="00FC6D6B" w:rsidP="00F253E0">
            <w:pPr>
              <w:jc w:val="center"/>
              <w:rPr>
                <w:b/>
                <w:lang w:val="uk-UA"/>
              </w:rPr>
            </w:pPr>
            <w:r w:rsidRPr="00FC6D6B">
              <w:rPr>
                <w:b/>
                <w:sz w:val="22"/>
                <w:szCs w:val="22"/>
                <w:lang w:val="uk-UA"/>
              </w:rPr>
              <w:t>2022</w:t>
            </w:r>
          </w:p>
          <w:p w:rsidR="00FC6D6B" w:rsidRPr="00FC6D6B" w:rsidRDefault="00FC6D6B" w:rsidP="00F253E0">
            <w:pPr>
              <w:jc w:val="center"/>
              <w:rPr>
                <w:b/>
                <w:lang w:val="uk-UA"/>
              </w:rPr>
            </w:pPr>
          </w:p>
        </w:tc>
        <w:tc>
          <w:tcPr>
            <w:tcW w:w="1170" w:type="dxa"/>
            <w:vAlign w:val="center"/>
          </w:tcPr>
          <w:p w:rsidR="00FC6D6B" w:rsidRPr="00FC6D6B" w:rsidRDefault="00FC6D6B" w:rsidP="00F253E0">
            <w:pPr>
              <w:jc w:val="center"/>
              <w:rPr>
                <w:b/>
                <w:lang w:val="uk-UA"/>
              </w:rPr>
            </w:pPr>
            <w:r w:rsidRPr="00FC6D6B">
              <w:rPr>
                <w:b/>
                <w:sz w:val="22"/>
                <w:szCs w:val="22"/>
                <w:lang w:val="uk-UA"/>
              </w:rPr>
              <w:t xml:space="preserve">2023 </w:t>
            </w:r>
          </w:p>
        </w:tc>
        <w:tc>
          <w:tcPr>
            <w:tcW w:w="1170" w:type="dxa"/>
            <w:vAlign w:val="center"/>
          </w:tcPr>
          <w:p w:rsidR="00FC6D6B" w:rsidRPr="00FC6D6B" w:rsidRDefault="00FC6D6B" w:rsidP="00F253E0">
            <w:pPr>
              <w:jc w:val="center"/>
              <w:rPr>
                <w:b/>
                <w:lang w:val="uk-UA"/>
              </w:rPr>
            </w:pPr>
            <w:r w:rsidRPr="00FC6D6B">
              <w:rPr>
                <w:b/>
                <w:sz w:val="22"/>
                <w:szCs w:val="22"/>
                <w:lang w:val="uk-UA"/>
              </w:rPr>
              <w:t>РАЗОМ</w:t>
            </w:r>
          </w:p>
        </w:tc>
        <w:tc>
          <w:tcPr>
            <w:tcW w:w="1293" w:type="dxa"/>
            <w:gridSpan w:val="2"/>
            <w:vAlign w:val="center"/>
          </w:tcPr>
          <w:p w:rsidR="00FC6D6B" w:rsidRPr="00FC6D6B" w:rsidRDefault="00FC6D6B" w:rsidP="00F253E0">
            <w:pPr>
              <w:jc w:val="center"/>
              <w:rPr>
                <w:b/>
                <w:lang w:val="uk-UA"/>
              </w:rPr>
            </w:pPr>
          </w:p>
        </w:tc>
      </w:tr>
      <w:tr w:rsidR="00FC6D6B" w:rsidRPr="00FC6D6B" w:rsidTr="00F253E0">
        <w:trPr>
          <w:gridAfter w:val="1"/>
          <w:wAfter w:w="9" w:type="dxa"/>
          <w:cantSplit/>
          <w:tblHeader/>
          <w:jc w:val="center"/>
        </w:trPr>
        <w:tc>
          <w:tcPr>
            <w:tcW w:w="450" w:type="dxa"/>
            <w:vAlign w:val="center"/>
          </w:tcPr>
          <w:p w:rsidR="00FC6D6B" w:rsidRPr="00FC6D6B" w:rsidRDefault="00FC6D6B" w:rsidP="00F253E0">
            <w:pPr>
              <w:jc w:val="center"/>
              <w:rPr>
                <w:b/>
                <w:lang w:val="uk-UA"/>
              </w:rPr>
            </w:pPr>
            <w:r w:rsidRPr="00FC6D6B">
              <w:rPr>
                <w:b/>
                <w:sz w:val="22"/>
                <w:szCs w:val="22"/>
                <w:lang w:val="uk-UA"/>
              </w:rPr>
              <w:t>1</w:t>
            </w:r>
          </w:p>
        </w:tc>
        <w:tc>
          <w:tcPr>
            <w:tcW w:w="1440" w:type="dxa"/>
            <w:vAlign w:val="center"/>
          </w:tcPr>
          <w:p w:rsidR="00FC6D6B" w:rsidRPr="00FC6D6B" w:rsidRDefault="00FC6D6B" w:rsidP="00F253E0">
            <w:pPr>
              <w:jc w:val="center"/>
              <w:rPr>
                <w:b/>
                <w:lang w:val="uk-UA"/>
              </w:rPr>
            </w:pPr>
            <w:r w:rsidRPr="00FC6D6B">
              <w:rPr>
                <w:b/>
                <w:sz w:val="22"/>
                <w:szCs w:val="22"/>
                <w:lang w:val="uk-UA"/>
              </w:rPr>
              <w:t>2</w:t>
            </w:r>
          </w:p>
        </w:tc>
        <w:tc>
          <w:tcPr>
            <w:tcW w:w="2500" w:type="dxa"/>
            <w:vAlign w:val="center"/>
          </w:tcPr>
          <w:p w:rsidR="00FC6D6B" w:rsidRPr="00FC6D6B" w:rsidRDefault="00FC6D6B" w:rsidP="00F253E0">
            <w:pPr>
              <w:jc w:val="center"/>
              <w:rPr>
                <w:b/>
                <w:lang w:val="uk-UA"/>
              </w:rPr>
            </w:pPr>
            <w:r w:rsidRPr="00FC6D6B">
              <w:rPr>
                <w:b/>
                <w:sz w:val="22"/>
                <w:szCs w:val="22"/>
                <w:lang w:val="uk-UA"/>
              </w:rPr>
              <w:t>3</w:t>
            </w:r>
          </w:p>
        </w:tc>
        <w:tc>
          <w:tcPr>
            <w:tcW w:w="1170" w:type="dxa"/>
            <w:vAlign w:val="center"/>
          </w:tcPr>
          <w:p w:rsidR="00FC6D6B" w:rsidRPr="00FC6D6B" w:rsidRDefault="00FC6D6B" w:rsidP="00F253E0">
            <w:pPr>
              <w:jc w:val="center"/>
              <w:rPr>
                <w:b/>
                <w:lang w:val="uk-UA"/>
              </w:rPr>
            </w:pPr>
            <w:r w:rsidRPr="00FC6D6B">
              <w:rPr>
                <w:b/>
                <w:sz w:val="22"/>
                <w:szCs w:val="22"/>
                <w:lang w:val="uk-UA"/>
              </w:rPr>
              <w:t>4</w:t>
            </w:r>
          </w:p>
        </w:tc>
        <w:tc>
          <w:tcPr>
            <w:tcW w:w="1239" w:type="dxa"/>
            <w:vAlign w:val="center"/>
          </w:tcPr>
          <w:p w:rsidR="00FC6D6B" w:rsidRPr="00FC6D6B" w:rsidRDefault="00FC6D6B" w:rsidP="00F253E0">
            <w:pPr>
              <w:jc w:val="center"/>
              <w:rPr>
                <w:b/>
                <w:lang w:val="uk-UA"/>
              </w:rPr>
            </w:pPr>
            <w:r w:rsidRPr="00FC6D6B">
              <w:rPr>
                <w:b/>
                <w:sz w:val="22"/>
                <w:szCs w:val="22"/>
                <w:lang w:val="uk-UA"/>
              </w:rPr>
              <w:t>5</w:t>
            </w:r>
          </w:p>
        </w:tc>
        <w:tc>
          <w:tcPr>
            <w:tcW w:w="1276" w:type="dxa"/>
            <w:vAlign w:val="center"/>
          </w:tcPr>
          <w:p w:rsidR="00FC6D6B" w:rsidRPr="00FC6D6B" w:rsidRDefault="00FC6D6B" w:rsidP="00F253E0">
            <w:pPr>
              <w:jc w:val="center"/>
              <w:rPr>
                <w:b/>
                <w:lang w:val="uk-UA"/>
              </w:rPr>
            </w:pPr>
            <w:r w:rsidRPr="00FC6D6B">
              <w:rPr>
                <w:b/>
                <w:sz w:val="22"/>
                <w:szCs w:val="22"/>
                <w:lang w:val="uk-UA"/>
              </w:rPr>
              <w:t>6</w:t>
            </w:r>
          </w:p>
        </w:tc>
        <w:tc>
          <w:tcPr>
            <w:tcW w:w="1559" w:type="dxa"/>
          </w:tcPr>
          <w:p w:rsidR="00FC6D6B" w:rsidRPr="00FC6D6B" w:rsidRDefault="00FC6D6B" w:rsidP="00F253E0">
            <w:pPr>
              <w:jc w:val="center"/>
              <w:rPr>
                <w:b/>
                <w:lang w:val="uk-UA"/>
              </w:rPr>
            </w:pPr>
            <w:r w:rsidRPr="00FC6D6B">
              <w:rPr>
                <w:b/>
                <w:lang w:val="uk-UA"/>
              </w:rPr>
              <w:t>7</w:t>
            </w:r>
          </w:p>
          <w:p w:rsidR="00FC6D6B" w:rsidRPr="00FC6D6B" w:rsidRDefault="00FC6D6B" w:rsidP="00F253E0">
            <w:pPr>
              <w:jc w:val="center"/>
              <w:rPr>
                <w:b/>
                <w:lang w:val="uk-UA"/>
              </w:rPr>
            </w:pPr>
          </w:p>
        </w:tc>
        <w:tc>
          <w:tcPr>
            <w:tcW w:w="1560" w:type="dxa"/>
          </w:tcPr>
          <w:p w:rsidR="00FC6D6B" w:rsidRPr="00FC6D6B" w:rsidRDefault="00FC6D6B" w:rsidP="00F253E0">
            <w:pPr>
              <w:jc w:val="center"/>
              <w:rPr>
                <w:b/>
                <w:lang w:val="uk-UA"/>
              </w:rPr>
            </w:pPr>
            <w:r w:rsidRPr="00FC6D6B">
              <w:rPr>
                <w:b/>
                <w:lang w:val="uk-UA"/>
              </w:rPr>
              <w:t>8</w:t>
            </w:r>
          </w:p>
        </w:tc>
        <w:tc>
          <w:tcPr>
            <w:tcW w:w="1170" w:type="dxa"/>
          </w:tcPr>
          <w:p w:rsidR="00FC6D6B" w:rsidRPr="00FC6D6B" w:rsidRDefault="00FC6D6B" w:rsidP="00F253E0">
            <w:pPr>
              <w:jc w:val="center"/>
              <w:rPr>
                <w:b/>
                <w:lang w:val="uk-UA"/>
              </w:rPr>
            </w:pPr>
            <w:r w:rsidRPr="00FC6D6B">
              <w:rPr>
                <w:b/>
                <w:lang w:val="uk-UA"/>
              </w:rPr>
              <w:t>9</w:t>
            </w:r>
          </w:p>
        </w:tc>
        <w:tc>
          <w:tcPr>
            <w:tcW w:w="1170" w:type="dxa"/>
            <w:vAlign w:val="center"/>
          </w:tcPr>
          <w:p w:rsidR="00FC6D6B" w:rsidRPr="00FC6D6B" w:rsidRDefault="00FC6D6B" w:rsidP="00F253E0">
            <w:pPr>
              <w:jc w:val="center"/>
              <w:rPr>
                <w:b/>
                <w:lang w:val="uk-UA"/>
              </w:rPr>
            </w:pPr>
            <w:r w:rsidRPr="00FC6D6B">
              <w:rPr>
                <w:b/>
                <w:lang w:val="uk-UA"/>
              </w:rPr>
              <w:t>10</w:t>
            </w:r>
          </w:p>
        </w:tc>
        <w:tc>
          <w:tcPr>
            <w:tcW w:w="1293" w:type="dxa"/>
            <w:gridSpan w:val="2"/>
            <w:vAlign w:val="center"/>
          </w:tcPr>
          <w:p w:rsidR="00FC6D6B" w:rsidRPr="00FC6D6B" w:rsidRDefault="00FC6D6B" w:rsidP="00F253E0">
            <w:pPr>
              <w:jc w:val="center"/>
              <w:rPr>
                <w:b/>
                <w:lang w:val="uk-UA"/>
              </w:rPr>
            </w:pPr>
            <w:r w:rsidRPr="00FC6D6B">
              <w:rPr>
                <w:b/>
                <w:lang w:val="uk-UA"/>
              </w:rPr>
              <w:t>11</w:t>
            </w:r>
          </w:p>
        </w:tc>
      </w:tr>
      <w:tr w:rsidR="0056335D" w:rsidRPr="00FC6D6B" w:rsidTr="00F253E0">
        <w:trPr>
          <w:gridAfter w:val="1"/>
          <w:wAfter w:w="9" w:type="dxa"/>
          <w:cantSplit/>
          <w:jc w:val="center"/>
        </w:trPr>
        <w:tc>
          <w:tcPr>
            <w:tcW w:w="450" w:type="dxa"/>
            <w:vAlign w:val="center"/>
          </w:tcPr>
          <w:p w:rsidR="0056335D" w:rsidRPr="00FC6D6B" w:rsidRDefault="0056335D" w:rsidP="00F253E0">
            <w:pPr>
              <w:jc w:val="center"/>
              <w:rPr>
                <w:sz w:val="20"/>
                <w:szCs w:val="20"/>
                <w:lang w:val="uk-UA"/>
              </w:rPr>
            </w:pPr>
            <w:r w:rsidRPr="00FC6D6B">
              <w:rPr>
                <w:sz w:val="20"/>
                <w:szCs w:val="20"/>
                <w:lang w:val="uk-UA"/>
              </w:rPr>
              <w:t>1.</w:t>
            </w:r>
          </w:p>
        </w:tc>
        <w:tc>
          <w:tcPr>
            <w:tcW w:w="1440" w:type="dxa"/>
            <w:vMerge w:val="restart"/>
            <w:vAlign w:val="center"/>
          </w:tcPr>
          <w:p w:rsidR="0056335D" w:rsidRPr="00FC6D6B" w:rsidRDefault="0056335D" w:rsidP="00F253E0">
            <w:pPr>
              <w:jc w:val="center"/>
              <w:rPr>
                <w:sz w:val="20"/>
                <w:szCs w:val="20"/>
                <w:lang w:val="uk-UA"/>
              </w:rPr>
            </w:pPr>
            <w:r w:rsidRPr="00FC6D6B">
              <w:rPr>
                <w:sz w:val="20"/>
                <w:szCs w:val="20"/>
                <w:lang w:val="uk-UA"/>
              </w:rPr>
              <w:t xml:space="preserve">Стимулювати впровадження </w:t>
            </w:r>
            <w:proofErr w:type="spellStart"/>
            <w:r w:rsidRPr="00FC6D6B">
              <w:rPr>
                <w:sz w:val="20"/>
                <w:szCs w:val="20"/>
                <w:lang w:val="uk-UA"/>
              </w:rPr>
              <w:t>енерго</w:t>
            </w:r>
            <w:proofErr w:type="spellEnd"/>
            <w:r w:rsidRPr="00FC6D6B">
              <w:rPr>
                <w:sz w:val="20"/>
                <w:szCs w:val="20"/>
                <w:lang w:val="uk-UA"/>
              </w:rPr>
              <w:t>-ефективних заходів населенням та суб’єктами господарювання</w:t>
            </w:r>
          </w:p>
        </w:tc>
        <w:tc>
          <w:tcPr>
            <w:tcW w:w="2500" w:type="dxa"/>
            <w:vAlign w:val="center"/>
          </w:tcPr>
          <w:p w:rsidR="0056335D" w:rsidRPr="00FC6D6B" w:rsidRDefault="0056335D" w:rsidP="00F253E0">
            <w:pPr>
              <w:rPr>
                <w:sz w:val="20"/>
                <w:szCs w:val="20"/>
                <w:lang w:val="uk-UA"/>
              </w:rPr>
            </w:pPr>
            <w:r w:rsidRPr="00FC6D6B">
              <w:rPr>
                <w:sz w:val="20"/>
                <w:szCs w:val="20"/>
                <w:lang w:val="uk-UA"/>
              </w:rPr>
              <w:t xml:space="preserve">Висвітленням в ЗМІ переваг та ефективності впровадження заходів з енергоефективності, в </w:t>
            </w:r>
            <w:proofErr w:type="spellStart"/>
            <w:r w:rsidRPr="00FC6D6B">
              <w:rPr>
                <w:sz w:val="20"/>
                <w:szCs w:val="20"/>
                <w:lang w:val="uk-UA"/>
              </w:rPr>
              <w:t>т.ч</w:t>
            </w:r>
            <w:proofErr w:type="spellEnd"/>
            <w:r w:rsidRPr="00FC6D6B">
              <w:rPr>
                <w:sz w:val="20"/>
                <w:szCs w:val="20"/>
                <w:lang w:val="uk-UA"/>
              </w:rPr>
              <w:t>. на основі місцевого досвіду</w:t>
            </w:r>
          </w:p>
        </w:tc>
        <w:tc>
          <w:tcPr>
            <w:tcW w:w="1170" w:type="dxa"/>
            <w:vAlign w:val="center"/>
          </w:tcPr>
          <w:p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56335D" w:rsidRPr="00FC6D6B" w:rsidRDefault="0056335D" w:rsidP="00F253E0">
            <w:pPr>
              <w:jc w:val="center"/>
              <w:rPr>
                <w:sz w:val="20"/>
                <w:szCs w:val="20"/>
                <w:lang w:val="uk-UA"/>
              </w:rPr>
            </w:pPr>
            <w:r w:rsidRPr="00FC6D6B">
              <w:rPr>
                <w:sz w:val="20"/>
                <w:szCs w:val="20"/>
                <w:lang w:val="uk-UA"/>
              </w:rPr>
              <w:t>Фінансування не потребує</w:t>
            </w:r>
          </w:p>
        </w:tc>
        <w:tc>
          <w:tcPr>
            <w:tcW w:w="1559" w:type="dxa"/>
          </w:tcPr>
          <w:p w:rsidR="0056335D" w:rsidRPr="00FC6D6B" w:rsidRDefault="0056335D" w:rsidP="00F253E0">
            <w:pPr>
              <w:jc w:val="center"/>
              <w:rPr>
                <w:sz w:val="20"/>
                <w:szCs w:val="20"/>
                <w:lang w:val="uk-UA"/>
              </w:rPr>
            </w:pPr>
          </w:p>
        </w:tc>
        <w:tc>
          <w:tcPr>
            <w:tcW w:w="1560" w:type="dxa"/>
          </w:tcPr>
          <w:p w:rsidR="0056335D" w:rsidRPr="00FC6D6B" w:rsidRDefault="0056335D" w:rsidP="00F253E0">
            <w:pPr>
              <w:jc w:val="center"/>
              <w:rPr>
                <w:sz w:val="20"/>
                <w:szCs w:val="20"/>
                <w:lang w:val="uk-UA"/>
              </w:rPr>
            </w:pPr>
          </w:p>
        </w:tc>
        <w:tc>
          <w:tcPr>
            <w:tcW w:w="1170" w:type="dxa"/>
          </w:tcPr>
          <w:p w:rsidR="0056335D" w:rsidRPr="00FC6D6B" w:rsidRDefault="0056335D" w:rsidP="00F253E0">
            <w:pPr>
              <w:jc w:val="center"/>
              <w:rPr>
                <w:sz w:val="20"/>
                <w:szCs w:val="20"/>
                <w:lang w:val="uk-UA"/>
              </w:rPr>
            </w:pPr>
          </w:p>
        </w:tc>
        <w:tc>
          <w:tcPr>
            <w:tcW w:w="1170" w:type="dxa"/>
          </w:tcPr>
          <w:p w:rsidR="0056335D" w:rsidRPr="00FC6D6B" w:rsidRDefault="0056335D" w:rsidP="00F253E0">
            <w:pPr>
              <w:jc w:val="center"/>
              <w:rPr>
                <w:sz w:val="20"/>
                <w:szCs w:val="20"/>
                <w:lang w:val="uk-UA"/>
              </w:rPr>
            </w:pPr>
          </w:p>
        </w:tc>
        <w:tc>
          <w:tcPr>
            <w:tcW w:w="1293" w:type="dxa"/>
            <w:gridSpan w:val="2"/>
            <w:vMerge w:val="restart"/>
            <w:vAlign w:val="center"/>
          </w:tcPr>
          <w:p w:rsidR="0056335D" w:rsidRPr="00FC6D6B" w:rsidRDefault="0056335D"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56335D" w:rsidRPr="00FC6D6B" w:rsidTr="0056335D">
        <w:trPr>
          <w:gridAfter w:val="1"/>
          <w:wAfter w:w="9" w:type="dxa"/>
          <w:cantSplit/>
          <w:trHeight w:val="1152"/>
          <w:jc w:val="center"/>
        </w:trPr>
        <w:tc>
          <w:tcPr>
            <w:tcW w:w="450" w:type="dxa"/>
            <w:vMerge w:val="restart"/>
            <w:vAlign w:val="center"/>
          </w:tcPr>
          <w:p w:rsidR="0056335D" w:rsidRPr="00FC6D6B" w:rsidRDefault="0056335D" w:rsidP="00F253E0">
            <w:pPr>
              <w:jc w:val="center"/>
              <w:rPr>
                <w:sz w:val="20"/>
                <w:szCs w:val="20"/>
                <w:lang w:val="uk-UA"/>
              </w:rPr>
            </w:pPr>
            <w:r w:rsidRPr="00FC6D6B">
              <w:rPr>
                <w:sz w:val="20"/>
                <w:szCs w:val="20"/>
                <w:lang w:val="uk-UA"/>
              </w:rPr>
              <w:t>2.</w:t>
            </w:r>
          </w:p>
        </w:tc>
        <w:tc>
          <w:tcPr>
            <w:tcW w:w="1440" w:type="dxa"/>
            <w:vMerge/>
          </w:tcPr>
          <w:p w:rsidR="0056335D" w:rsidRPr="00FC6D6B" w:rsidRDefault="0056335D" w:rsidP="00F253E0">
            <w:pPr>
              <w:jc w:val="center"/>
              <w:rPr>
                <w:sz w:val="20"/>
                <w:szCs w:val="20"/>
                <w:lang w:val="uk-UA"/>
              </w:rPr>
            </w:pPr>
          </w:p>
        </w:tc>
        <w:tc>
          <w:tcPr>
            <w:tcW w:w="2500" w:type="dxa"/>
            <w:vMerge w:val="restart"/>
            <w:vAlign w:val="center"/>
          </w:tcPr>
          <w:p w:rsidR="0056335D" w:rsidRPr="00FC6D6B" w:rsidRDefault="0056335D" w:rsidP="00F253E0">
            <w:pPr>
              <w:rPr>
                <w:sz w:val="20"/>
                <w:szCs w:val="20"/>
                <w:lang w:val="uk-UA"/>
              </w:rPr>
            </w:pPr>
            <w:bookmarkStart w:id="6" w:name="_Hlk27577940"/>
            <w:r w:rsidRPr="00FC6D6B">
              <w:rPr>
                <w:sz w:val="20"/>
                <w:szCs w:val="20"/>
                <w:lang w:val="uk-UA"/>
              </w:rPr>
              <w:t>Надання фінансової підтримки  ОСББ, які беруть участь у програмах державної установи «Фонд енергоефективності», зокрема, Програмі «</w:t>
            </w:r>
            <w:proofErr w:type="spellStart"/>
            <w:r w:rsidRPr="00FC6D6B">
              <w:rPr>
                <w:sz w:val="20"/>
                <w:szCs w:val="20"/>
                <w:lang w:val="uk-UA"/>
              </w:rPr>
              <w:t>Енергодім</w:t>
            </w:r>
            <w:proofErr w:type="spellEnd"/>
            <w:r w:rsidRPr="00FC6D6B">
              <w:rPr>
                <w:sz w:val="20"/>
                <w:szCs w:val="20"/>
                <w:lang w:val="uk-UA"/>
              </w:rPr>
              <w:t xml:space="preserve">» та залучають кредити на впровадження заходів </w:t>
            </w:r>
            <w:proofErr w:type="spellStart"/>
            <w:r w:rsidRPr="00FC6D6B">
              <w:rPr>
                <w:sz w:val="20"/>
                <w:szCs w:val="20"/>
                <w:lang w:val="uk-UA"/>
              </w:rPr>
              <w:t>енергомодернізації</w:t>
            </w:r>
            <w:proofErr w:type="spellEnd"/>
            <w:r w:rsidRPr="00FC6D6B">
              <w:rPr>
                <w:sz w:val="20"/>
                <w:szCs w:val="20"/>
                <w:lang w:val="uk-UA"/>
              </w:rPr>
              <w:t xml:space="preserve"> житлових будівель </w:t>
            </w:r>
            <w:bookmarkEnd w:id="6"/>
          </w:p>
        </w:tc>
        <w:tc>
          <w:tcPr>
            <w:tcW w:w="1170" w:type="dxa"/>
            <w:vMerge w:val="restart"/>
            <w:vAlign w:val="center"/>
          </w:tcPr>
          <w:p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56335D" w:rsidRPr="00FC6D6B" w:rsidRDefault="0056335D" w:rsidP="00F253E0">
            <w:pPr>
              <w:jc w:val="center"/>
              <w:rPr>
                <w:sz w:val="20"/>
                <w:szCs w:val="20"/>
                <w:lang w:val="uk-UA"/>
              </w:rPr>
            </w:pPr>
            <w:r w:rsidRPr="00FC6D6B">
              <w:rPr>
                <w:sz w:val="20"/>
                <w:szCs w:val="20"/>
                <w:lang w:val="uk-UA"/>
              </w:rPr>
              <w:t>Бюджет Луцької міської територіальної громади</w:t>
            </w:r>
          </w:p>
        </w:tc>
        <w:tc>
          <w:tcPr>
            <w:tcW w:w="1559"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A1399C" w:rsidP="009B1870">
            <w:pPr>
              <w:jc w:val="center"/>
              <w:rPr>
                <w:sz w:val="20"/>
                <w:szCs w:val="20"/>
                <w:lang w:val="uk-UA"/>
              </w:rPr>
            </w:pPr>
            <w:r>
              <w:rPr>
                <w:sz w:val="20"/>
                <w:szCs w:val="20"/>
                <w:lang w:val="uk-UA"/>
              </w:rPr>
              <w:t>15</w:t>
            </w:r>
            <w:r w:rsidR="0056335D">
              <w:rPr>
                <w:sz w:val="20"/>
                <w:szCs w:val="20"/>
                <w:lang w:val="uk-UA"/>
              </w:rPr>
              <w:t>500,0</w:t>
            </w:r>
          </w:p>
        </w:tc>
        <w:tc>
          <w:tcPr>
            <w:tcW w:w="156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A1399C">
            <w:pPr>
              <w:jc w:val="center"/>
              <w:rPr>
                <w:sz w:val="20"/>
                <w:szCs w:val="20"/>
                <w:lang w:val="uk-UA"/>
              </w:rPr>
            </w:pPr>
            <w:r>
              <w:rPr>
                <w:sz w:val="20"/>
                <w:szCs w:val="20"/>
                <w:lang w:val="uk-UA"/>
              </w:rPr>
              <w:t>2</w:t>
            </w:r>
            <w:r w:rsidR="00A1399C">
              <w:rPr>
                <w:sz w:val="20"/>
                <w:szCs w:val="20"/>
                <w:lang w:val="uk-UA"/>
              </w:rPr>
              <w:t>1</w:t>
            </w:r>
            <w:r>
              <w:rPr>
                <w:sz w:val="20"/>
                <w:szCs w:val="20"/>
                <w:lang w:val="uk-UA"/>
              </w:rPr>
              <w:t>900,0</w:t>
            </w:r>
          </w:p>
        </w:tc>
        <w:tc>
          <w:tcPr>
            <w:tcW w:w="117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9B1870">
            <w:pPr>
              <w:jc w:val="center"/>
              <w:rPr>
                <w:sz w:val="20"/>
                <w:szCs w:val="20"/>
                <w:lang w:val="uk-UA"/>
              </w:rPr>
            </w:pPr>
            <w:r>
              <w:rPr>
                <w:sz w:val="20"/>
                <w:szCs w:val="20"/>
                <w:lang w:val="uk-UA"/>
              </w:rPr>
              <w:t>29200,0</w:t>
            </w:r>
          </w:p>
        </w:tc>
        <w:tc>
          <w:tcPr>
            <w:tcW w:w="1170" w:type="dxa"/>
          </w:tcPr>
          <w:p w:rsidR="0056335D" w:rsidRDefault="0056335D" w:rsidP="00F253E0">
            <w:pPr>
              <w:jc w:val="center"/>
              <w:rPr>
                <w:sz w:val="20"/>
                <w:szCs w:val="20"/>
                <w:lang w:val="uk-UA"/>
              </w:rPr>
            </w:pPr>
          </w:p>
          <w:p w:rsidR="00604D51" w:rsidRDefault="00604D51" w:rsidP="00F253E0">
            <w:pPr>
              <w:jc w:val="center"/>
              <w:rPr>
                <w:sz w:val="20"/>
                <w:szCs w:val="20"/>
                <w:lang w:val="uk-UA"/>
              </w:rPr>
            </w:pPr>
          </w:p>
          <w:p w:rsidR="00604D51" w:rsidRPr="00FC6D6B" w:rsidRDefault="00A1399C" w:rsidP="00F253E0">
            <w:pPr>
              <w:jc w:val="center"/>
              <w:rPr>
                <w:sz w:val="20"/>
                <w:szCs w:val="20"/>
                <w:lang w:val="uk-UA"/>
              </w:rPr>
            </w:pPr>
            <w:r>
              <w:rPr>
                <w:sz w:val="20"/>
                <w:szCs w:val="20"/>
                <w:lang w:val="uk-UA"/>
              </w:rPr>
              <w:t>66</w:t>
            </w:r>
            <w:r w:rsidR="00604D51">
              <w:rPr>
                <w:sz w:val="20"/>
                <w:szCs w:val="20"/>
                <w:lang w:val="uk-UA"/>
              </w:rPr>
              <w:t>600,0</w:t>
            </w:r>
          </w:p>
        </w:tc>
        <w:tc>
          <w:tcPr>
            <w:tcW w:w="1293" w:type="dxa"/>
            <w:gridSpan w:val="2"/>
            <w:vMerge/>
            <w:vAlign w:val="center"/>
          </w:tcPr>
          <w:p w:rsidR="0056335D" w:rsidRPr="00FC6D6B" w:rsidRDefault="0056335D" w:rsidP="00F253E0">
            <w:pPr>
              <w:jc w:val="center"/>
              <w:rPr>
                <w:sz w:val="20"/>
                <w:szCs w:val="20"/>
                <w:lang w:val="uk-UA"/>
              </w:rPr>
            </w:pPr>
          </w:p>
        </w:tc>
      </w:tr>
      <w:tr w:rsidR="0056335D" w:rsidRPr="00FC6D6B" w:rsidTr="0056335D">
        <w:trPr>
          <w:gridAfter w:val="1"/>
          <w:wAfter w:w="9" w:type="dxa"/>
          <w:cantSplit/>
          <w:trHeight w:val="576"/>
          <w:jc w:val="center"/>
        </w:trPr>
        <w:tc>
          <w:tcPr>
            <w:tcW w:w="450" w:type="dxa"/>
            <w:vMerge/>
            <w:vAlign w:val="center"/>
          </w:tcPr>
          <w:p w:rsidR="0056335D" w:rsidRPr="00FC6D6B" w:rsidRDefault="0056335D" w:rsidP="00F253E0">
            <w:pPr>
              <w:jc w:val="center"/>
              <w:rPr>
                <w:sz w:val="20"/>
                <w:szCs w:val="20"/>
                <w:lang w:val="uk-UA"/>
              </w:rPr>
            </w:pPr>
          </w:p>
        </w:tc>
        <w:tc>
          <w:tcPr>
            <w:tcW w:w="1440" w:type="dxa"/>
            <w:vMerge/>
          </w:tcPr>
          <w:p w:rsidR="0056335D" w:rsidRPr="00FC6D6B" w:rsidRDefault="0056335D" w:rsidP="00F253E0">
            <w:pPr>
              <w:jc w:val="center"/>
              <w:rPr>
                <w:sz w:val="20"/>
                <w:szCs w:val="20"/>
                <w:lang w:val="uk-UA"/>
              </w:rPr>
            </w:pPr>
          </w:p>
        </w:tc>
        <w:tc>
          <w:tcPr>
            <w:tcW w:w="2500" w:type="dxa"/>
            <w:vMerge/>
            <w:vAlign w:val="center"/>
          </w:tcPr>
          <w:p w:rsidR="0056335D" w:rsidRPr="00FC6D6B" w:rsidRDefault="0056335D" w:rsidP="00F253E0">
            <w:pPr>
              <w:rPr>
                <w:sz w:val="20"/>
                <w:szCs w:val="20"/>
                <w:lang w:val="uk-UA"/>
              </w:rPr>
            </w:pPr>
          </w:p>
        </w:tc>
        <w:tc>
          <w:tcPr>
            <w:tcW w:w="1170" w:type="dxa"/>
            <w:vMerge/>
            <w:vAlign w:val="center"/>
          </w:tcPr>
          <w:p w:rsidR="0056335D" w:rsidRPr="00FC6D6B" w:rsidRDefault="0056335D" w:rsidP="00F253E0">
            <w:pPr>
              <w:jc w:val="center"/>
              <w:rPr>
                <w:sz w:val="20"/>
                <w:szCs w:val="20"/>
                <w:lang w:val="uk-UA"/>
              </w:rPr>
            </w:pPr>
          </w:p>
        </w:tc>
        <w:tc>
          <w:tcPr>
            <w:tcW w:w="1239" w:type="dxa"/>
            <w:vAlign w:val="center"/>
          </w:tcPr>
          <w:p w:rsidR="0056335D" w:rsidRPr="00FC6D6B" w:rsidRDefault="005361CD" w:rsidP="00F253E0">
            <w:pPr>
              <w:jc w:val="center"/>
              <w:rPr>
                <w:sz w:val="20"/>
                <w:szCs w:val="20"/>
                <w:lang w:val="uk-UA"/>
              </w:rPr>
            </w:pPr>
            <w:r>
              <w:rPr>
                <w:sz w:val="20"/>
                <w:szCs w:val="20"/>
                <w:lang w:val="uk-UA"/>
              </w:rPr>
              <w:t>ОСББ</w:t>
            </w:r>
          </w:p>
        </w:tc>
        <w:tc>
          <w:tcPr>
            <w:tcW w:w="1276" w:type="dxa"/>
            <w:vAlign w:val="center"/>
          </w:tcPr>
          <w:p w:rsidR="0056335D" w:rsidRPr="00604D51" w:rsidRDefault="00604D51" w:rsidP="00F253E0">
            <w:pPr>
              <w:jc w:val="center"/>
              <w:rPr>
                <w:sz w:val="20"/>
                <w:szCs w:val="20"/>
                <w:lang w:val="uk-UA"/>
              </w:rPr>
            </w:pPr>
            <w:r w:rsidRPr="00604D51">
              <w:rPr>
                <w:sz w:val="20"/>
                <w:szCs w:val="20"/>
                <w:lang w:val="uk-UA"/>
              </w:rPr>
              <w:t>Кошти співвласників</w:t>
            </w:r>
          </w:p>
        </w:tc>
        <w:tc>
          <w:tcPr>
            <w:tcW w:w="1559" w:type="dxa"/>
          </w:tcPr>
          <w:p w:rsidR="0056335D" w:rsidRDefault="00604D51" w:rsidP="00F253E0">
            <w:pPr>
              <w:jc w:val="center"/>
              <w:rPr>
                <w:sz w:val="20"/>
                <w:szCs w:val="20"/>
                <w:lang w:val="uk-UA"/>
              </w:rPr>
            </w:pPr>
            <w:r>
              <w:rPr>
                <w:sz w:val="20"/>
                <w:szCs w:val="20"/>
                <w:lang w:val="uk-UA"/>
              </w:rPr>
              <w:t>40000,0</w:t>
            </w:r>
          </w:p>
        </w:tc>
        <w:tc>
          <w:tcPr>
            <w:tcW w:w="1560" w:type="dxa"/>
          </w:tcPr>
          <w:p w:rsidR="0056335D" w:rsidRDefault="00604D51" w:rsidP="00F253E0">
            <w:pPr>
              <w:jc w:val="center"/>
              <w:rPr>
                <w:sz w:val="20"/>
                <w:szCs w:val="20"/>
                <w:lang w:val="uk-UA"/>
              </w:rPr>
            </w:pPr>
            <w:r>
              <w:rPr>
                <w:sz w:val="20"/>
                <w:szCs w:val="20"/>
                <w:lang w:val="uk-UA"/>
              </w:rPr>
              <w:t>50000,0</w:t>
            </w:r>
          </w:p>
        </w:tc>
        <w:tc>
          <w:tcPr>
            <w:tcW w:w="1170" w:type="dxa"/>
          </w:tcPr>
          <w:p w:rsidR="0056335D" w:rsidRDefault="00604D51" w:rsidP="00F253E0">
            <w:pPr>
              <w:jc w:val="center"/>
              <w:rPr>
                <w:sz w:val="20"/>
                <w:szCs w:val="20"/>
                <w:lang w:val="uk-UA"/>
              </w:rPr>
            </w:pPr>
            <w:r>
              <w:rPr>
                <w:sz w:val="20"/>
                <w:szCs w:val="20"/>
                <w:lang w:val="uk-UA"/>
              </w:rPr>
              <w:t>60000,0</w:t>
            </w:r>
          </w:p>
        </w:tc>
        <w:tc>
          <w:tcPr>
            <w:tcW w:w="1170" w:type="dxa"/>
          </w:tcPr>
          <w:p w:rsidR="0056335D" w:rsidRPr="00FC6D6B" w:rsidRDefault="00604D51" w:rsidP="00F253E0">
            <w:pPr>
              <w:jc w:val="center"/>
              <w:rPr>
                <w:sz w:val="20"/>
                <w:szCs w:val="20"/>
                <w:lang w:val="uk-UA"/>
              </w:rPr>
            </w:pPr>
            <w:r>
              <w:rPr>
                <w:sz w:val="20"/>
                <w:szCs w:val="20"/>
                <w:lang w:val="uk-UA"/>
              </w:rPr>
              <w:t>150000,0</w:t>
            </w:r>
          </w:p>
        </w:tc>
        <w:tc>
          <w:tcPr>
            <w:tcW w:w="1293" w:type="dxa"/>
            <w:gridSpan w:val="2"/>
            <w:vMerge/>
            <w:vAlign w:val="center"/>
          </w:tcPr>
          <w:p w:rsidR="0056335D" w:rsidRPr="00FC6D6B" w:rsidRDefault="0056335D" w:rsidP="00F253E0">
            <w:pPr>
              <w:jc w:val="center"/>
              <w:rPr>
                <w:sz w:val="20"/>
                <w:szCs w:val="20"/>
                <w:lang w:val="uk-UA"/>
              </w:rPr>
            </w:pPr>
          </w:p>
        </w:tc>
      </w:tr>
      <w:tr w:rsidR="0056335D" w:rsidRPr="00FC6D6B" w:rsidTr="00F253E0">
        <w:trPr>
          <w:gridAfter w:val="1"/>
          <w:wAfter w:w="9" w:type="dxa"/>
          <w:cantSplit/>
          <w:trHeight w:val="576"/>
          <w:jc w:val="center"/>
        </w:trPr>
        <w:tc>
          <w:tcPr>
            <w:tcW w:w="450" w:type="dxa"/>
            <w:vMerge/>
            <w:vAlign w:val="center"/>
          </w:tcPr>
          <w:p w:rsidR="0056335D" w:rsidRPr="00FC6D6B" w:rsidRDefault="0056335D" w:rsidP="00F253E0">
            <w:pPr>
              <w:jc w:val="center"/>
              <w:rPr>
                <w:sz w:val="20"/>
                <w:szCs w:val="20"/>
                <w:lang w:val="uk-UA"/>
              </w:rPr>
            </w:pPr>
          </w:p>
        </w:tc>
        <w:tc>
          <w:tcPr>
            <w:tcW w:w="1440" w:type="dxa"/>
            <w:vMerge/>
          </w:tcPr>
          <w:p w:rsidR="0056335D" w:rsidRPr="00FC6D6B" w:rsidRDefault="0056335D" w:rsidP="00F253E0">
            <w:pPr>
              <w:jc w:val="center"/>
              <w:rPr>
                <w:sz w:val="20"/>
                <w:szCs w:val="20"/>
                <w:lang w:val="uk-UA"/>
              </w:rPr>
            </w:pPr>
          </w:p>
        </w:tc>
        <w:tc>
          <w:tcPr>
            <w:tcW w:w="2500" w:type="dxa"/>
            <w:vMerge/>
            <w:vAlign w:val="center"/>
          </w:tcPr>
          <w:p w:rsidR="0056335D" w:rsidRPr="00FC6D6B" w:rsidRDefault="0056335D" w:rsidP="00F253E0">
            <w:pPr>
              <w:rPr>
                <w:sz w:val="20"/>
                <w:szCs w:val="20"/>
                <w:lang w:val="uk-UA"/>
              </w:rPr>
            </w:pPr>
          </w:p>
        </w:tc>
        <w:tc>
          <w:tcPr>
            <w:tcW w:w="1170" w:type="dxa"/>
            <w:vMerge/>
            <w:vAlign w:val="center"/>
          </w:tcPr>
          <w:p w:rsidR="0056335D" w:rsidRPr="00FC6D6B" w:rsidRDefault="0056335D" w:rsidP="00F253E0">
            <w:pPr>
              <w:jc w:val="center"/>
              <w:rPr>
                <w:sz w:val="20"/>
                <w:szCs w:val="20"/>
                <w:lang w:val="uk-UA"/>
              </w:rPr>
            </w:pPr>
          </w:p>
        </w:tc>
        <w:tc>
          <w:tcPr>
            <w:tcW w:w="1239" w:type="dxa"/>
            <w:vAlign w:val="center"/>
          </w:tcPr>
          <w:p w:rsidR="0056335D" w:rsidRPr="00FC6D6B" w:rsidRDefault="005361CD" w:rsidP="00F253E0">
            <w:pPr>
              <w:jc w:val="center"/>
              <w:rPr>
                <w:sz w:val="20"/>
                <w:szCs w:val="20"/>
                <w:lang w:val="uk-UA"/>
              </w:rPr>
            </w:pPr>
            <w:r>
              <w:rPr>
                <w:sz w:val="20"/>
                <w:szCs w:val="20"/>
                <w:lang w:val="uk-UA"/>
              </w:rPr>
              <w:t>Фонд ЕЕ</w:t>
            </w:r>
          </w:p>
        </w:tc>
        <w:tc>
          <w:tcPr>
            <w:tcW w:w="1276" w:type="dxa"/>
            <w:vAlign w:val="center"/>
          </w:tcPr>
          <w:p w:rsidR="0056335D" w:rsidRPr="00604D51" w:rsidRDefault="00604D51" w:rsidP="00604D51">
            <w:pPr>
              <w:jc w:val="center"/>
              <w:rPr>
                <w:sz w:val="20"/>
                <w:szCs w:val="20"/>
                <w:lang w:val="uk-UA"/>
              </w:rPr>
            </w:pPr>
            <w:r w:rsidRPr="00604D51">
              <w:rPr>
                <w:sz w:val="20"/>
                <w:szCs w:val="20"/>
                <w:lang w:val="uk-UA"/>
              </w:rPr>
              <w:t>Кошти інших джерел Програма ЕНЕРГОДІМ</w:t>
            </w:r>
          </w:p>
        </w:tc>
        <w:tc>
          <w:tcPr>
            <w:tcW w:w="1559" w:type="dxa"/>
          </w:tcPr>
          <w:p w:rsidR="0056335D" w:rsidRDefault="00604D51" w:rsidP="00F253E0">
            <w:pPr>
              <w:jc w:val="center"/>
              <w:rPr>
                <w:sz w:val="20"/>
                <w:szCs w:val="20"/>
                <w:lang w:val="uk-UA"/>
              </w:rPr>
            </w:pPr>
            <w:r>
              <w:rPr>
                <w:sz w:val="20"/>
                <w:szCs w:val="20"/>
                <w:lang w:val="uk-UA"/>
              </w:rPr>
              <w:t>140000,0</w:t>
            </w:r>
          </w:p>
        </w:tc>
        <w:tc>
          <w:tcPr>
            <w:tcW w:w="1560" w:type="dxa"/>
          </w:tcPr>
          <w:p w:rsidR="0056335D" w:rsidRDefault="00604D51" w:rsidP="00F253E0">
            <w:pPr>
              <w:jc w:val="center"/>
              <w:rPr>
                <w:sz w:val="20"/>
                <w:szCs w:val="20"/>
                <w:lang w:val="uk-UA"/>
              </w:rPr>
            </w:pPr>
            <w:r>
              <w:rPr>
                <w:sz w:val="20"/>
                <w:szCs w:val="20"/>
                <w:lang w:val="uk-UA"/>
              </w:rPr>
              <w:t>175000,0</w:t>
            </w:r>
          </w:p>
        </w:tc>
        <w:tc>
          <w:tcPr>
            <w:tcW w:w="1170" w:type="dxa"/>
          </w:tcPr>
          <w:p w:rsidR="0056335D" w:rsidRDefault="00604D51" w:rsidP="00F253E0">
            <w:pPr>
              <w:jc w:val="center"/>
              <w:rPr>
                <w:sz w:val="20"/>
                <w:szCs w:val="20"/>
                <w:lang w:val="uk-UA"/>
              </w:rPr>
            </w:pPr>
            <w:r>
              <w:rPr>
                <w:sz w:val="20"/>
                <w:szCs w:val="20"/>
                <w:lang w:val="uk-UA"/>
              </w:rPr>
              <w:t>210000,0</w:t>
            </w:r>
          </w:p>
        </w:tc>
        <w:tc>
          <w:tcPr>
            <w:tcW w:w="1170" w:type="dxa"/>
          </w:tcPr>
          <w:p w:rsidR="0056335D" w:rsidRPr="00FC6D6B" w:rsidRDefault="00604D51" w:rsidP="00F253E0">
            <w:pPr>
              <w:jc w:val="center"/>
              <w:rPr>
                <w:sz w:val="20"/>
                <w:szCs w:val="20"/>
                <w:lang w:val="uk-UA"/>
              </w:rPr>
            </w:pPr>
            <w:r>
              <w:rPr>
                <w:sz w:val="20"/>
                <w:szCs w:val="20"/>
                <w:lang w:val="uk-UA"/>
              </w:rPr>
              <w:t>525000,0</w:t>
            </w:r>
          </w:p>
        </w:tc>
        <w:tc>
          <w:tcPr>
            <w:tcW w:w="1293" w:type="dxa"/>
            <w:gridSpan w:val="2"/>
            <w:vMerge/>
            <w:vAlign w:val="center"/>
          </w:tcPr>
          <w:p w:rsidR="0056335D" w:rsidRPr="00FC6D6B" w:rsidRDefault="0056335D" w:rsidP="00F253E0">
            <w:pPr>
              <w:jc w:val="center"/>
              <w:rPr>
                <w:sz w:val="20"/>
                <w:szCs w:val="20"/>
                <w:lang w:val="uk-UA"/>
              </w:rPr>
            </w:pPr>
          </w:p>
        </w:tc>
      </w:tr>
      <w:tr w:rsidR="0056335D" w:rsidRPr="00FC6D6B" w:rsidTr="00F253E0">
        <w:trPr>
          <w:gridAfter w:val="1"/>
          <w:wAfter w:w="9" w:type="dxa"/>
          <w:cantSplit/>
          <w:jc w:val="center"/>
        </w:trPr>
        <w:tc>
          <w:tcPr>
            <w:tcW w:w="450" w:type="dxa"/>
            <w:vAlign w:val="center"/>
          </w:tcPr>
          <w:p w:rsidR="0056335D" w:rsidRPr="00FC6D6B" w:rsidRDefault="0056335D" w:rsidP="00F253E0">
            <w:pPr>
              <w:jc w:val="center"/>
              <w:rPr>
                <w:sz w:val="20"/>
                <w:szCs w:val="20"/>
                <w:lang w:val="uk-UA"/>
              </w:rPr>
            </w:pPr>
            <w:r w:rsidRPr="00FC6D6B">
              <w:rPr>
                <w:sz w:val="20"/>
                <w:szCs w:val="20"/>
                <w:lang w:val="uk-UA"/>
              </w:rPr>
              <w:lastRenderedPageBreak/>
              <w:t>3.</w:t>
            </w:r>
          </w:p>
        </w:tc>
        <w:tc>
          <w:tcPr>
            <w:tcW w:w="1440" w:type="dxa"/>
            <w:vMerge/>
          </w:tcPr>
          <w:p w:rsidR="0056335D" w:rsidRPr="00FC6D6B" w:rsidRDefault="0056335D" w:rsidP="00F253E0">
            <w:pPr>
              <w:jc w:val="center"/>
              <w:rPr>
                <w:sz w:val="20"/>
                <w:szCs w:val="20"/>
                <w:lang w:val="uk-UA"/>
              </w:rPr>
            </w:pPr>
          </w:p>
        </w:tc>
        <w:tc>
          <w:tcPr>
            <w:tcW w:w="2500" w:type="dxa"/>
            <w:vAlign w:val="center"/>
          </w:tcPr>
          <w:p w:rsidR="0056335D" w:rsidRPr="00FC6D6B" w:rsidRDefault="0056335D" w:rsidP="00F253E0">
            <w:pPr>
              <w:rPr>
                <w:sz w:val="20"/>
                <w:szCs w:val="20"/>
                <w:lang w:val="uk-UA"/>
              </w:rPr>
            </w:pPr>
            <w:r w:rsidRPr="00FC6D6B">
              <w:rPr>
                <w:sz w:val="20"/>
                <w:szCs w:val="20"/>
                <w:lang w:val="uk-UA"/>
              </w:rPr>
              <w:t>Розробка, тиражування та поширення поліграфічної продукції навчального, довідкового, рекламного характеру; проведення круглих столів, семінарів, семінарів-тренінгів з питань енергозбереження та енергоефективності</w:t>
            </w:r>
          </w:p>
        </w:tc>
        <w:tc>
          <w:tcPr>
            <w:tcW w:w="1170" w:type="dxa"/>
            <w:vAlign w:val="center"/>
          </w:tcPr>
          <w:p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56335D" w:rsidRPr="00FC6D6B" w:rsidRDefault="0056335D" w:rsidP="00F253E0">
            <w:pPr>
              <w:jc w:val="center"/>
              <w:rPr>
                <w:sz w:val="20"/>
                <w:szCs w:val="20"/>
                <w:lang w:val="uk-UA"/>
              </w:rPr>
            </w:pPr>
            <w:r w:rsidRPr="00FC6D6B">
              <w:rPr>
                <w:sz w:val="20"/>
                <w:szCs w:val="20"/>
                <w:lang w:val="uk-UA"/>
              </w:rPr>
              <w:t>Фінансування не потребує</w:t>
            </w:r>
          </w:p>
        </w:tc>
        <w:tc>
          <w:tcPr>
            <w:tcW w:w="1559"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F253E0">
            <w:pPr>
              <w:jc w:val="center"/>
              <w:rPr>
                <w:sz w:val="20"/>
                <w:szCs w:val="20"/>
                <w:lang w:val="uk-UA"/>
              </w:rPr>
            </w:pPr>
          </w:p>
        </w:tc>
        <w:tc>
          <w:tcPr>
            <w:tcW w:w="156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F253E0">
            <w:pPr>
              <w:jc w:val="center"/>
              <w:rPr>
                <w:sz w:val="20"/>
                <w:szCs w:val="20"/>
                <w:lang w:val="uk-UA"/>
              </w:rPr>
            </w:pPr>
          </w:p>
        </w:tc>
        <w:tc>
          <w:tcPr>
            <w:tcW w:w="117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F253E0">
            <w:pPr>
              <w:jc w:val="center"/>
              <w:rPr>
                <w:sz w:val="20"/>
                <w:szCs w:val="20"/>
                <w:lang w:val="uk-UA"/>
              </w:rPr>
            </w:pPr>
          </w:p>
        </w:tc>
        <w:tc>
          <w:tcPr>
            <w:tcW w:w="1170" w:type="dxa"/>
          </w:tcPr>
          <w:p w:rsidR="0056335D" w:rsidRPr="00FC6D6B" w:rsidRDefault="0056335D" w:rsidP="00F253E0">
            <w:pPr>
              <w:jc w:val="center"/>
              <w:rPr>
                <w:sz w:val="20"/>
                <w:szCs w:val="20"/>
                <w:lang w:val="uk-UA"/>
              </w:rPr>
            </w:pPr>
          </w:p>
        </w:tc>
        <w:tc>
          <w:tcPr>
            <w:tcW w:w="1293" w:type="dxa"/>
            <w:gridSpan w:val="2"/>
            <w:vMerge/>
            <w:vAlign w:val="center"/>
          </w:tcPr>
          <w:p w:rsidR="0056335D" w:rsidRPr="00FC6D6B" w:rsidRDefault="0056335D" w:rsidP="00F253E0">
            <w:pPr>
              <w:jc w:val="center"/>
              <w:rPr>
                <w:sz w:val="20"/>
                <w:szCs w:val="20"/>
                <w:lang w:val="uk-UA"/>
              </w:rPr>
            </w:pPr>
          </w:p>
        </w:tc>
      </w:tr>
      <w:tr w:rsidR="00FC6D6B" w:rsidRPr="00FC6D6B" w:rsidTr="00F253E0">
        <w:trPr>
          <w:gridAfter w:val="1"/>
          <w:wAfter w:w="9" w:type="dxa"/>
          <w:cantSplit/>
          <w:jc w:val="center"/>
        </w:trPr>
        <w:tc>
          <w:tcPr>
            <w:tcW w:w="450" w:type="dxa"/>
            <w:vAlign w:val="center"/>
          </w:tcPr>
          <w:p w:rsidR="00FC6D6B" w:rsidRPr="00FC6D6B" w:rsidRDefault="00FC6D6B" w:rsidP="00F253E0">
            <w:pPr>
              <w:jc w:val="center"/>
              <w:rPr>
                <w:sz w:val="20"/>
                <w:szCs w:val="20"/>
                <w:lang w:val="uk-UA"/>
              </w:rPr>
            </w:pPr>
            <w:r w:rsidRPr="00FC6D6B">
              <w:rPr>
                <w:sz w:val="20"/>
                <w:szCs w:val="20"/>
                <w:lang w:val="uk-UA"/>
              </w:rPr>
              <w:lastRenderedPageBreak/>
              <w:t>4.</w:t>
            </w:r>
          </w:p>
        </w:tc>
        <w:tc>
          <w:tcPr>
            <w:tcW w:w="1440" w:type="dxa"/>
          </w:tcPr>
          <w:p w:rsidR="00FC6D6B" w:rsidRPr="00FC6D6B" w:rsidRDefault="00FC6D6B" w:rsidP="00F253E0">
            <w:pPr>
              <w:jc w:val="center"/>
              <w:rPr>
                <w:sz w:val="20"/>
                <w:szCs w:val="20"/>
                <w:lang w:val="uk-UA"/>
              </w:rPr>
            </w:pPr>
            <w:r w:rsidRPr="00FC6D6B">
              <w:rPr>
                <w:sz w:val="20"/>
                <w:szCs w:val="20"/>
                <w:lang w:val="uk-UA"/>
              </w:rPr>
              <w:t>Забезпечити участь активних мешканців в реалізації місцевої енергетичної політики</w:t>
            </w:r>
          </w:p>
        </w:tc>
        <w:tc>
          <w:tcPr>
            <w:tcW w:w="2500" w:type="dxa"/>
            <w:vAlign w:val="center"/>
          </w:tcPr>
          <w:p w:rsidR="00FC6D6B" w:rsidRPr="00FC6D6B" w:rsidRDefault="00FC6D6B" w:rsidP="00F253E0">
            <w:pPr>
              <w:rPr>
                <w:sz w:val="20"/>
                <w:szCs w:val="20"/>
                <w:lang w:val="uk-UA"/>
              </w:rPr>
            </w:pPr>
            <w:r w:rsidRPr="00FC6D6B">
              <w:rPr>
                <w:sz w:val="20"/>
                <w:szCs w:val="20"/>
                <w:lang w:val="uk-UA"/>
              </w:rPr>
              <w:t>Залучення до співпраці активної молоді та людей з громадських організацій і бізнесу</w:t>
            </w:r>
          </w:p>
        </w:tc>
        <w:tc>
          <w:tcPr>
            <w:tcW w:w="1170" w:type="dxa"/>
            <w:vAlign w:val="center"/>
          </w:tcPr>
          <w:p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rsidR="00FC6D6B" w:rsidRPr="00FC6D6B" w:rsidRDefault="00FC6D6B" w:rsidP="00F253E0">
            <w:pPr>
              <w:jc w:val="center"/>
              <w:rPr>
                <w:sz w:val="20"/>
                <w:szCs w:val="20"/>
                <w:lang w:val="uk-UA"/>
              </w:rPr>
            </w:pPr>
          </w:p>
        </w:tc>
        <w:tc>
          <w:tcPr>
            <w:tcW w:w="156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293" w:type="dxa"/>
            <w:gridSpan w:val="2"/>
            <w:vAlign w:val="center"/>
          </w:tcPr>
          <w:p w:rsidR="00FC6D6B" w:rsidRPr="00FC6D6B" w:rsidRDefault="00FC6D6B" w:rsidP="00F253E0">
            <w:pPr>
              <w:jc w:val="center"/>
              <w:rPr>
                <w:sz w:val="20"/>
                <w:szCs w:val="20"/>
                <w:lang w:val="uk-UA"/>
              </w:rPr>
            </w:pPr>
            <w:r w:rsidRPr="00FC6D6B">
              <w:rPr>
                <w:sz w:val="20"/>
                <w:szCs w:val="20"/>
                <w:lang w:val="uk-UA"/>
              </w:rPr>
              <w:t>Нові ідеї та проекти</w:t>
            </w:r>
          </w:p>
        </w:tc>
      </w:tr>
      <w:tr w:rsidR="00FC6D6B" w:rsidRPr="00FC6D6B" w:rsidTr="00F253E0">
        <w:trPr>
          <w:gridAfter w:val="1"/>
          <w:wAfter w:w="9" w:type="dxa"/>
          <w:cantSplit/>
          <w:trHeight w:val="2267"/>
          <w:jc w:val="center"/>
        </w:trPr>
        <w:tc>
          <w:tcPr>
            <w:tcW w:w="450" w:type="dxa"/>
            <w:vAlign w:val="center"/>
          </w:tcPr>
          <w:p w:rsidR="00FC6D6B" w:rsidRPr="00FC6D6B" w:rsidRDefault="00FC6D6B" w:rsidP="00F253E0">
            <w:pPr>
              <w:jc w:val="center"/>
              <w:rPr>
                <w:sz w:val="20"/>
                <w:szCs w:val="20"/>
                <w:lang w:val="uk-UA"/>
              </w:rPr>
            </w:pPr>
            <w:r w:rsidRPr="00FC6D6B">
              <w:rPr>
                <w:sz w:val="20"/>
                <w:szCs w:val="20"/>
                <w:lang w:val="uk-UA"/>
              </w:rPr>
              <w:t>5.</w:t>
            </w:r>
          </w:p>
        </w:tc>
        <w:tc>
          <w:tcPr>
            <w:tcW w:w="1440" w:type="dxa"/>
            <w:vMerge w:val="restart"/>
          </w:tcPr>
          <w:p w:rsidR="00FC6D6B" w:rsidRPr="00FC6D6B" w:rsidRDefault="00FC6D6B" w:rsidP="00F253E0">
            <w:pPr>
              <w:jc w:val="center"/>
              <w:rPr>
                <w:sz w:val="20"/>
                <w:szCs w:val="20"/>
                <w:lang w:val="uk-UA"/>
              </w:rPr>
            </w:pPr>
            <w:r w:rsidRPr="00FC6D6B">
              <w:rPr>
                <w:sz w:val="20"/>
                <w:szCs w:val="20"/>
                <w:lang w:val="uk-UA"/>
              </w:rPr>
              <w:t>Підвищити обізнаність населення з питань раціонального споживання енергії та оптимальних технічних рішень для скорочення споживання енергії на рівні кінцевого споживача</w:t>
            </w:r>
          </w:p>
        </w:tc>
        <w:tc>
          <w:tcPr>
            <w:tcW w:w="2500" w:type="dxa"/>
            <w:vAlign w:val="center"/>
          </w:tcPr>
          <w:p w:rsidR="00FC6D6B" w:rsidRPr="00FC6D6B" w:rsidRDefault="00FC6D6B" w:rsidP="00F253E0">
            <w:pPr>
              <w:pStyle w:val="afd"/>
              <w:spacing w:line="240" w:lineRule="auto"/>
              <w:rPr>
                <w:rFonts w:ascii="Times New Roman" w:hAnsi="Times New Roman" w:cs="Times New Roman"/>
                <w:spacing w:val="0"/>
                <w:sz w:val="20"/>
                <w:szCs w:val="20"/>
                <w:lang w:val="uk-UA" w:eastAsia="ru-RU"/>
              </w:rPr>
            </w:pPr>
            <w:r w:rsidRPr="00FC6D6B">
              <w:rPr>
                <w:rFonts w:ascii="Times New Roman" w:hAnsi="Times New Roman" w:cs="Times New Roman"/>
                <w:spacing w:val="0"/>
                <w:sz w:val="20"/>
                <w:szCs w:val="20"/>
                <w:lang w:val="uk-UA" w:eastAsia="ru-RU"/>
              </w:rPr>
              <w:t>Створення окремого розділу на сайті міської ради, присвяченого підтримці інформаційних кампаній, місцевій енергетичній політиці. Ведення на сайті ради відкритого реєстру заяв та договорів ОСББ про надання фінансової підтримки.</w:t>
            </w:r>
          </w:p>
        </w:tc>
        <w:tc>
          <w:tcPr>
            <w:tcW w:w="1170" w:type="dxa"/>
            <w:vAlign w:val="center"/>
          </w:tcPr>
          <w:p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rsidR="00FC6D6B" w:rsidRPr="00FC6D6B" w:rsidRDefault="00FC6D6B" w:rsidP="00F253E0">
            <w:pPr>
              <w:jc w:val="center"/>
              <w:rPr>
                <w:sz w:val="20"/>
                <w:szCs w:val="20"/>
                <w:lang w:val="uk-UA"/>
              </w:rPr>
            </w:pPr>
          </w:p>
        </w:tc>
        <w:tc>
          <w:tcPr>
            <w:tcW w:w="156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293" w:type="dxa"/>
            <w:gridSpan w:val="2"/>
            <w:vMerge w:val="restart"/>
            <w:vAlign w:val="center"/>
          </w:tcPr>
          <w:p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FC6D6B" w:rsidRPr="00FC6D6B" w:rsidTr="00F253E0">
        <w:trPr>
          <w:gridAfter w:val="1"/>
          <w:wAfter w:w="9" w:type="dxa"/>
          <w:cantSplit/>
          <w:jc w:val="center"/>
        </w:trPr>
        <w:tc>
          <w:tcPr>
            <w:tcW w:w="450" w:type="dxa"/>
            <w:vAlign w:val="center"/>
          </w:tcPr>
          <w:p w:rsidR="00FC6D6B" w:rsidRPr="00FC6D6B" w:rsidRDefault="00FC6D6B" w:rsidP="00F253E0">
            <w:pPr>
              <w:jc w:val="center"/>
              <w:rPr>
                <w:sz w:val="20"/>
                <w:szCs w:val="20"/>
                <w:lang w:val="uk-UA"/>
              </w:rPr>
            </w:pPr>
            <w:r w:rsidRPr="00FC6D6B">
              <w:rPr>
                <w:sz w:val="20"/>
                <w:szCs w:val="20"/>
                <w:lang w:val="uk-UA"/>
              </w:rPr>
              <w:t>6.</w:t>
            </w:r>
          </w:p>
        </w:tc>
        <w:tc>
          <w:tcPr>
            <w:tcW w:w="1440" w:type="dxa"/>
            <w:vMerge/>
          </w:tcPr>
          <w:p w:rsidR="00FC6D6B" w:rsidRPr="00FC6D6B" w:rsidRDefault="00FC6D6B" w:rsidP="00F253E0">
            <w:pPr>
              <w:jc w:val="center"/>
              <w:rPr>
                <w:sz w:val="20"/>
                <w:szCs w:val="20"/>
                <w:lang w:val="uk-UA"/>
              </w:rPr>
            </w:pPr>
          </w:p>
        </w:tc>
        <w:tc>
          <w:tcPr>
            <w:tcW w:w="2500" w:type="dxa"/>
            <w:vAlign w:val="center"/>
          </w:tcPr>
          <w:p w:rsidR="00FC6D6B" w:rsidRPr="00FC6D6B" w:rsidRDefault="00FC6D6B" w:rsidP="00F253E0">
            <w:pPr>
              <w:rPr>
                <w:sz w:val="20"/>
                <w:szCs w:val="20"/>
                <w:lang w:val="uk-UA"/>
              </w:rPr>
            </w:pPr>
            <w:r w:rsidRPr="00FC6D6B">
              <w:rPr>
                <w:sz w:val="20"/>
                <w:szCs w:val="20"/>
                <w:lang w:val="uk-UA"/>
              </w:rPr>
              <w:t>Просвітницька робота та інформаційні заходи в навчальних закладах</w:t>
            </w:r>
          </w:p>
        </w:tc>
        <w:tc>
          <w:tcPr>
            <w:tcW w:w="1170" w:type="dxa"/>
            <w:vAlign w:val="center"/>
          </w:tcPr>
          <w:p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rsidR="00FC6D6B" w:rsidRPr="00FC6D6B" w:rsidRDefault="00FC6D6B" w:rsidP="00F253E0">
            <w:pPr>
              <w:jc w:val="center"/>
              <w:rPr>
                <w:sz w:val="20"/>
                <w:szCs w:val="20"/>
                <w:lang w:val="uk-UA"/>
              </w:rPr>
            </w:pPr>
          </w:p>
        </w:tc>
        <w:tc>
          <w:tcPr>
            <w:tcW w:w="156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293" w:type="dxa"/>
            <w:gridSpan w:val="2"/>
            <w:vMerge/>
          </w:tcPr>
          <w:p w:rsidR="00FC6D6B" w:rsidRPr="00FC6D6B" w:rsidRDefault="00FC6D6B" w:rsidP="00F253E0">
            <w:pPr>
              <w:jc w:val="center"/>
              <w:rPr>
                <w:sz w:val="20"/>
                <w:szCs w:val="20"/>
                <w:lang w:val="uk-UA"/>
              </w:rPr>
            </w:pPr>
          </w:p>
        </w:tc>
      </w:tr>
      <w:tr w:rsidR="00FC6D6B" w:rsidRPr="00FC6D6B" w:rsidTr="00F253E0">
        <w:trPr>
          <w:gridAfter w:val="1"/>
          <w:wAfter w:w="9" w:type="dxa"/>
          <w:cantSplit/>
          <w:jc w:val="center"/>
        </w:trPr>
        <w:tc>
          <w:tcPr>
            <w:tcW w:w="450" w:type="dxa"/>
            <w:vMerge w:val="restart"/>
            <w:vAlign w:val="center"/>
          </w:tcPr>
          <w:p w:rsidR="00FC6D6B" w:rsidRPr="00FC6D6B" w:rsidRDefault="00FC6D6B" w:rsidP="00F253E0">
            <w:pPr>
              <w:jc w:val="center"/>
              <w:rPr>
                <w:sz w:val="20"/>
                <w:szCs w:val="20"/>
                <w:highlight w:val="yellow"/>
                <w:lang w:val="uk-UA"/>
              </w:rPr>
            </w:pPr>
            <w:r w:rsidRPr="00FC6D6B">
              <w:rPr>
                <w:sz w:val="20"/>
                <w:szCs w:val="20"/>
                <w:lang w:val="uk-UA"/>
              </w:rPr>
              <w:lastRenderedPageBreak/>
              <w:t>7</w:t>
            </w:r>
          </w:p>
        </w:tc>
        <w:tc>
          <w:tcPr>
            <w:tcW w:w="1440" w:type="dxa"/>
            <w:vMerge w:val="restart"/>
          </w:tcPr>
          <w:p w:rsidR="00FC6D6B" w:rsidRPr="00FC6D6B" w:rsidRDefault="00FC6D6B" w:rsidP="00F253E0">
            <w:pPr>
              <w:jc w:val="center"/>
              <w:rPr>
                <w:sz w:val="20"/>
                <w:szCs w:val="20"/>
                <w:highlight w:val="yellow"/>
                <w:lang w:val="uk-UA"/>
              </w:rPr>
            </w:pPr>
            <w:r w:rsidRPr="00FC6D6B">
              <w:rPr>
                <w:sz w:val="20"/>
                <w:szCs w:val="20"/>
                <w:lang w:val="uk-UA"/>
              </w:rPr>
              <w:t xml:space="preserve">Залучення кредитних коштів на заходи </w:t>
            </w:r>
            <w:proofErr w:type="spellStart"/>
            <w:r w:rsidRPr="00FC6D6B">
              <w:rPr>
                <w:sz w:val="20"/>
                <w:szCs w:val="20"/>
                <w:lang w:val="uk-UA"/>
              </w:rPr>
              <w:t>термомодернізації</w:t>
            </w:r>
            <w:proofErr w:type="spellEnd"/>
            <w:r w:rsidRPr="00FC6D6B">
              <w:rPr>
                <w:sz w:val="20"/>
                <w:szCs w:val="20"/>
                <w:lang w:val="uk-UA"/>
              </w:rPr>
              <w:t xml:space="preserve"> та підвищення енергоефективності житлових будинків</w:t>
            </w:r>
          </w:p>
        </w:tc>
        <w:tc>
          <w:tcPr>
            <w:tcW w:w="2500" w:type="dxa"/>
          </w:tcPr>
          <w:p w:rsidR="00FC6D6B" w:rsidRPr="00FC6D6B" w:rsidRDefault="00FC6D6B" w:rsidP="00F253E0">
            <w:pPr>
              <w:rPr>
                <w:sz w:val="20"/>
                <w:szCs w:val="20"/>
                <w:lang w:val="uk-UA"/>
              </w:rPr>
            </w:pPr>
            <w:r w:rsidRPr="00FC6D6B">
              <w:rPr>
                <w:sz w:val="20"/>
                <w:szCs w:val="20"/>
                <w:lang w:val="uk-UA"/>
              </w:rPr>
              <w:t>Відшкодування відсотків</w:t>
            </w:r>
            <w:r w:rsidRPr="00FC6D6B">
              <w:rPr>
                <w:color w:val="FF0000"/>
                <w:sz w:val="20"/>
                <w:szCs w:val="20"/>
                <w:lang w:val="uk-UA"/>
              </w:rPr>
              <w:t xml:space="preserve">  </w:t>
            </w:r>
            <w:r w:rsidRPr="00FC6D6B">
              <w:rPr>
                <w:sz w:val="20"/>
                <w:szCs w:val="20"/>
                <w:lang w:val="uk-UA"/>
              </w:rPr>
              <w:t xml:space="preserve">за кредитами, залученими ОСББ на заходи  енергозбереження </w:t>
            </w:r>
          </w:p>
          <w:p w:rsidR="00FC6D6B" w:rsidRPr="00FC6D6B" w:rsidRDefault="00FC6D6B" w:rsidP="00F253E0">
            <w:pPr>
              <w:rPr>
                <w:sz w:val="20"/>
                <w:szCs w:val="20"/>
                <w:highlight w:val="yellow"/>
                <w:lang w:val="uk-UA"/>
              </w:rPr>
            </w:pPr>
            <w:r w:rsidRPr="00FC6D6B">
              <w:rPr>
                <w:sz w:val="20"/>
                <w:szCs w:val="20"/>
                <w:lang w:val="uk-UA"/>
              </w:rPr>
              <w:t>у житлових будинках за час дії Програми по відшкодуванню відсоткових ставок за залучен</w:t>
            </w:r>
            <w:r w:rsidR="00A1399C">
              <w:rPr>
                <w:sz w:val="20"/>
                <w:szCs w:val="20"/>
                <w:lang w:val="uk-UA"/>
              </w:rPr>
              <w:t xml:space="preserve">ими кредитами у 2013-2017 роках </w:t>
            </w:r>
            <w:r w:rsidR="00A1399C" w:rsidRPr="00FC6D6B">
              <w:rPr>
                <w:sz w:val="20"/>
                <w:szCs w:val="20"/>
                <w:lang w:val="uk-UA"/>
              </w:rPr>
              <w:t>(у тому числі оплата кредиторської заборгованості)</w:t>
            </w:r>
          </w:p>
        </w:tc>
        <w:tc>
          <w:tcPr>
            <w:tcW w:w="1170" w:type="dxa"/>
            <w:vAlign w:val="center"/>
          </w:tcPr>
          <w:p w:rsidR="00FC6D6B" w:rsidRPr="00FC6D6B" w:rsidRDefault="00FC6D6B" w:rsidP="00F253E0">
            <w:pPr>
              <w:jc w:val="center"/>
              <w:rPr>
                <w:sz w:val="20"/>
                <w:szCs w:val="20"/>
                <w:lang w:val="uk-UA"/>
              </w:rPr>
            </w:pPr>
            <w:r w:rsidRPr="00FC6D6B">
              <w:rPr>
                <w:sz w:val="20"/>
                <w:szCs w:val="20"/>
                <w:lang w:val="uk-UA"/>
              </w:rPr>
              <w:t>2021-2023 роки</w:t>
            </w:r>
          </w:p>
        </w:tc>
        <w:tc>
          <w:tcPr>
            <w:tcW w:w="1239" w:type="dxa"/>
            <w:vAlign w:val="center"/>
          </w:tcPr>
          <w:p w:rsidR="00FC6D6B" w:rsidRPr="00FC6D6B" w:rsidRDefault="005361CD" w:rsidP="00810A22">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FC6D6B" w:rsidRPr="00FC6D6B" w:rsidRDefault="00FC6D6B" w:rsidP="00FC6D6B">
            <w:pPr>
              <w:jc w:val="center"/>
              <w:rPr>
                <w:sz w:val="20"/>
                <w:szCs w:val="20"/>
                <w:lang w:val="uk-UA"/>
              </w:rPr>
            </w:pPr>
            <w:r w:rsidRPr="00FC6D6B">
              <w:rPr>
                <w:sz w:val="20"/>
                <w:szCs w:val="20"/>
                <w:lang w:val="uk-UA"/>
              </w:rPr>
              <w:t>Бюджет Луцької міської територіальної громади</w:t>
            </w:r>
          </w:p>
          <w:p w:rsidR="00FC6D6B" w:rsidRPr="00FC6D6B" w:rsidRDefault="00FC6D6B" w:rsidP="00F253E0">
            <w:pPr>
              <w:rPr>
                <w:sz w:val="20"/>
                <w:szCs w:val="20"/>
                <w:lang w:val="uk-UA"/>
              </w:rPr>
            </w:pPr>
          </w:p>
        </w:tc>
        <w:tc>
          <w:tcPr>
            <w:tcW w:w="1559"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8C5FFC" w:rsidP="009B1870">
            <w:pPr>
              <w:jc w:val="center"/>
              <w:rPr>
                <w:sz w:val="20"/>
                <w:szCs w:val="20"/>
                <w:lang w:val="uk-UA"/>
              </w:rPr>
            </w:pPr>
            <w:r>
              <w:rPr>
                <w:sz w:val="20"/>
                <w:szCs w:val="20"/>
                <w:lang w:val="uk-UA"/>
              </w:rPr>
              <w:t>16</w:t>
            </w:r>
            <w:r w:rsidR="009B1870">
              <w:rPr>
                <w:sz w:val="20"/>
                <w:szCs w:val="20"/>
                <w:lang w:val="uk-UA"/>
              </w:rPr>
              <w:t>00,0</w:t>
            </w:r>
          </w:p>
        </w:tc>
        <w:tc>
          <w:tcPr>
            <w:tcW w:w="1560"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8C5FFC" w:rsidP="009B1870">
            <w:pPr>
              <w:jc w:val="center"/>
              <w:rPr>
                <w:sz w:val="20"/>
                <w:szCs w:val="20"/>
                <w:lang w:val="uk-UA"/>
              </w:rPr>
            </w:pPr>
            <w:r>
              <w:rPr>
                <w:sz w:val="20"/>
                <w:szCs w:val="20"/>
                <w:lang w:val="uk-UA"/>
              </w:rPr>
              <w:t>11</w:t>
            </w:r>
            <w:r w:rsidR="009B1870">
              <w:rPr>
                <w:sz w:val="20"/>
                <w:szCs w:val="20"/>
                <w:lang w:val="uk-UA"/>
              </w:rPr>
              <w:t>00,0</w:t>
            </w:r>
          </w:p>
        </w:tc>
        <w:tc>
          <w:tcPr>
            <w:tcW w:w="1170"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8C5FFC" w:rsidP="00F253E0">
            <w:pPr>
              <w:jc w:val="center"/>
              <w:rPr>
                <w:sz w:val="20"/>
                <w:szCs w:val="20"/>
                <w:lang w:val="uk-UA"/>
              </w:rPr>
            </w:pPr>
            <w:r>
              <w:rPr>
                <w:sz w:val="20"/>
                <w:szCs w:val="20"/>
                <w:lang w:val="uk-UA"/>
              </w:rPr>
              <w:t>8</w:t>
            </w:r>
            <w:r w:rsidR="009B1870">
              <w:rPr>
                <w:sz w:val="20"/>
                <w:szCs w:val="20"/>
                <w:lang w:val="uk-UA"/>
              </w:rPr>
              <w:t>00,0</w:t>
            </w:r>
          </w:p>
        </w:tc>
        <w:tc>
          <w:tcPr>
            <w:tcW w:w="1170" w:type="dxa"/>
          </w:tcPr>
          <w:p w:rsidR="00FC6D6B" w:rsidRDefault="00FC6D6B"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Pr="00FC6D6B" w:rsidRDefault="00604D51" w:rsidP="00F253E0">
            <w:pPr>
              <w:jc w:val="center"/>
              <w:rPr>
                <w:sz w:val="20"/>
                <w:szCs w:val="20"/>
                <w:lang w:val="uk-UA"/>
              </w:rPr>
            </w:pPr>
            <w:r>
              <w:rPr>
                <w:sz w:val="20"/>
                <w:szCs w:val="20"/>
                <w:lang w:val="uk-UA"/>
              </w:rPr>
              <w:t>3500,0</w:t>
            </w:r>
          </w:p>
        </w:tc>
        <w:tc>
          <w:tcPr>
            <w:tcW w:w="1293" w:type="dxa"/>
            <w:gridSpan w:val="2"/>
          </w:tcPr>
          <w:p w:rsidR="00FC6D6B" w:rsidRPr="00FC6D6B" w:rsidRDefault="00FC6D6B" w:rsidP="00F253E0">
            <w:pPr>
              <w:jc w:val="center"/>
              <w:rPr>
                <w:sz w:val="20"/>
                <w:szCs w:val="20"/>
                <w:lang w:val="uk-UA"/>
              </w:rPr>
            </w:pPr>
          </w:p>
          <w:p w:rsidR="00FC6D6B" w:rsidRPr="00FC6D6B" w:rsidRDefault="00FC6D6B" w:rsidP="00FC6D6B">
            <w:pPr>
              <w:rPr>
                <w:sz w:val="20"/>
                <w:szCs w:val="20"/>
                <w:lang w:val="uk-UA"/>
              </w:rPr>
            </w:pPr>
          </w:p>
          <w:p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FC6D6B" w:rsidRPr="00FC6D6B" w:rsidTr="00F253E0">
        <w:trPr>
          <w:gridAfter w:val="1"/>
          <w:wAfter w:w="9" w:type="dxa"/>
          <w:cantSplit/>
          <w:jc w:val="center"/>
        </w:trPr>
        <w:tc>
          <w:tcPr>
            <w:tcW w:w="450" w:type="dxa"/>
            <w:vMerge/>
            <w:vAlign w:val="center"/>
          </w:tcPr>
          <w:p w:rsidR="00FC6D6B" w:rsidRPr="00FC6D6B" w:rsidRDefault="00FC6D6B" w:rsidP="00F253E0">
            <w:pPr>
              <w:jc w:val="center"/>
              <w:rPr>
                <w:sz w:val="20"/>
                <w:szCs w:val="20"/>
                <w:highlight w:val="yellow"/>
                <w:lang w:val="uk-UA"/>
              </w:rPr>
            </w:pPr>
          </w:p>
        </w:tc>
        <w:tc>
          <w:tcPr>
            <w:tcW w:w="1440" w:type="dxa"/>
            <w:vMerge/>
          </w:tcPr>
          <w:p w:rsidR="00FC6D6B" w:rsidRPr="00FC6D6B" w:rsidRDefault="00FC6D6B" w:rsidP="00F253E0">
            <w:pPr>
              <w:jc w:val="center"/>
              <w:rPr>
                <w:sz w:val="20"/>
                <w:szCs w:val="20"/>
                <w:highlight w:val="yellow"/>
                <w:lang w:val="uk-UA"/>
              </w:rPr>
            </w:pPr>
          </w:p>
        </w:tc>
        <w:tc>
          <w:tcPr>
            <w:tcW w:w="2500" w:type="dxa"/>
          </w:tcPr>
          <w:p w:rsidR="00FC6D6B" w:rsidRPr="00FC6D6B" w:rsidRDefault="00FC6D6B" w:rsidP="00F45D4E">
            <w:pPr>
              <w:rPr>
                <w:sz w:val="20"/>
                <w:szCs w:val="20"/>
                <w:highlight w:val="yellow"/>
                <w:lang w:val="uk-UA"/>
              </w:rPr>
            </w:pPr>
            <w:r w:rsidRPr="00FC6D6B">
              <w:rPr>
                <w:sz w:val="20"/>
                <w:szCs w:val="20"/>
                <w:lang w:val="uk-UA"/>
              </w:rPr>
              <w:t xml:space="preserve">Відшкодування  </w:t>
            </w:r>
            <w:r w:rsidRPr="00FC6D6B">
              <w:rPr>
                <w:b/>
                <w:sz w:val="28"/>
                <w:lang w:val="uk-UA"/>
              </w:rPr>
              <w:t xml:space="preserve"> </w:t>
            </w:r>
            <w:r w:rsidRPr="00FC6D6B">
              <w:rPr>
                <w:sz w:val="20"/>
                <w:szCs w:val="20"/>
                <w:lang w:val="uk-UA"/>
              </w:rPr>
              <w:t>частини суми кредитів та відсотки</w:t>
            </w:r>
            <w:r w:rsidRPr="00FC6D6B">
              <w:rPr>
                <w:color w:val="FF0000"/>
                <w:sz w:val="20"/>
                <w:szCs w:val="20"/>
                <w:lang w:val="uk-UA"/>
              </w:rPr>
              <w:t xml:space="preserve">  </w:t>
            </w:r>
            <w:r w:rsidRPr="00FC6D6B">
              <w:rPr>
                <w:sz w:val="20"/>
                <w:szCs w:val="20"/>
                <w:lang w:val="uk-UA"/>
              </w:rPr>
              <w:t>за кредитами ОСББ міста Луцька, залучених на впровадження в будинках енергоефективних заходів на 2018-2020 роки (у тому числі оплата кредиторської заборгованості)</w:t>
            </w:r>
          </w:p>
        </w:tc>
        <w:tc>
          <w:tcPr>
            <w:tcW w:w="1170" w:type="dxa"/>
            <w:vAlign w:val="center"/>
          </w:tcPr>
          <w:p w:rsidR="00FC6D6B" w:rsidRPr="00FC6D6B" w:rsidRDefault="00FC6D6B" w:rsidP="00F253E0">
            <w:pPr>
              <w:jc w:val="center"/>
              <w:rPr>
                <w:sz w:val="20"/>
                <w:szCs w:val="20"/>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Бюджет Луцької міської територіальної громади</w:t>
            </w:r>
          </w:p>
        </w:tc>
        <w:tc>
          <w:tcPr>
            <w:tcW w:w="1559"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A1399C" w:rsidP="00F253E0">
            <w:pPr>
              <w:jc w:val="center"/>
              <w:rPr>
                <w:sz w:val="20"/>
                <w:szCs w:val="20"/>
                <w:lang w:val="uk-UA"/>
              </w:rPr>
            </w:pPr>
            <w:r>
              <w:rPr>
                <w:sz w:val="20"/>
                <w:szCs w:val="20"/>
                <w:lang w:val="uk-UA"/>
              </w:rPr>
              <w:t>2</w:t>
            </w:r>
            <w:r w:rsidR="008C5FFC">
              <w:rPr>
                <w:sz w:val="20"/>
                <w:szCs w:val="20"/>
                <w:lang w:val="uk-UA"/>
              </w:rPr>
              <w:t>9</w:t>
            </w:r>
            <w:r w:rsidR="009B1870">
              <w:rPr>
                <w:sz w:val="20"/>
                <w:szCs w:val="20"/>
                <w:lang w:val="uk-UA"/>
              </w:rPr>
              <w:t>00,0</w:t>
            </w:r>
          </w:p>
        </w:tc>
        <w:tc>
          <w:tcPr>
            <w:tcW w:w="1560" w:type="dxa"/>
          </w:tcPr>
          <w:p w:rsidR="00FC6D6B" w:rsidRDefault="00FC6D6B" w:rsidP="00F253E0">
            <w:pPr>
              <w:jc w:val="center"/>
              <w:rPr>
                <w:sz w:val="20"/>
                <w:szCs w:val="20"/>
                <w:lang w:val="uk-UA"/>
              </w:rPr>
            </w:pPr>
          </w:p>
          <w:p w:rsidR="00A1399C" w:rsidRDefault="00A1399C" w:rsidP="00F253E0">
            <w:pPr>
              <w:jc w:val="center"/>
              <w:rPr>
                <w:sz w:val="20"/>
                <w:szCs w:val="20"/>
                <w:lang w:val="uk-UA"/>
              </w:rPr>
            </w:pPr>
          </w:p>
          <w:p w:rsidR="00A1399C" w:rsidRDefault="00A1399C" w:rsidP="00F253E0">
            <w:pPr>
              <w:jc w:val="center"/>
              <w:rPr>
                <w:sz w:val="20"/>
                <w:szCs w:val="20"/>
                <w:lang w:val="uk-UA"/>
              </w:rPr>
            </w:pPr>
          </w:p>
          <w:p w:rsidR="00A1399C" w:rsidRDefault="00A1399C" w:rsidP="00F253E0">
            <w:pPr>
              <w:jc w:val="center"/>
              <w:rPr>
                <w:sz w:val="20"/>
                <w:szCs w:val="20"/>
                <w:lang w:val="uk-UA"/>
              </w:rPr>
            </w:pPr>
          </w:p>
          <w:p w:rsidR="00A1399C" w:rsidRPr="00FC6D6B" w:rsidRDefault="00A1399C" w:rsidP="00A1399C">
            <w:pPr>
              <w:jc w:val="center"/>
              <w:rPr>
                <w:sz w:val="20"/>
                <w:szCs w:val="20"/>
                <w:lang w:val="uk-UA"/>
              </w:rPr>
            </w:pPr>
            <w:r>
              <w:rPr>
                <w:sz w:val="20"/>
                <w:szCs w:val="20"/>
                <w:lang w:val="uk-UA"/>
              </w:rPr>
              <w:t>2000,0</w:t>
            </w:r>
          </w:p>
        </w:tc>
        <w:tc>
          <w:tcPr>
            <w:tcW w:w="1170" w:type="dxa"/>
          </w:tcPr>
          <w:p w:rsidR="00FC6D6B" w:rsidRPr="00FC6D6B" w:rsidRDefault="00FC6D6B" w:rsidP="00F253E0">
            <w:pPr>
              <w:jc w:val="center"/>
              <w:rPr>
                <w:sz w:val="20"/>
                <w:szCs w:val="20"/>
                <w:lang w:val="uk-UA"/>
              </w:rPr>
            </w:pPr>
          </w:p>
        </w:tc>
        <w:tc>
          <w:tcPr>
            <w:tcW w:w="1170" w:type="dxa"/>
          </w:tcPr>
          <w:p w:rsidR="00FC6D6B" w:rsidRDefault="00FC6D6B"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Pr="00FC6D6B" w:rsidRDefault="00A1399C" w:rsidP="00F253E0">
            <w:pPr>
              <w:jc w:val="center"/>
              <w:rPr>
                <w:sz w:val="20"/>
                <w:szCs w:val="20"/>
                <w:lang w:val="uk-UA"/>
              </w:rPr>
            </w:pPr>
            <w:r>
              <w:rPr>
                <w:sz w:val="20"/>
                <w:szCs w:val="20"/>
                <w:lang w:val="uk-UA"/>
              </w:rPr>
              <w:t>49</w:t>
            </w:r>
            <w:r w:rsidR="00604D51">
              <w:rPr>
                <w:sz w:val="20"/>
                <w:szCs w:val="20"/>
                <w:lang w:val="uk-UA"/>
              </w:rPr>
              <w:t>00,0</w:t>
            </w:r>
          </w:p>
        </w:tc>
        <w:tc>
          <w:tcPr>
            <w:tcW w:w="1293" w:type="dxa"/>
            <w:gridSpan w:val="2"/>
          </w:tcPr>
          <w:p w:rsidR="00FC6D6B" w:rsidRPr="00FC6D6B" w:rsidRDefault="00FC6D6B" w:rsidP="00F253E0">
            <w:pPr>
              <w:jc w:val="center"/>
              <w:rPr>
                <w:sz w:val="20"/>
                <w:szCs w:val="20"/>
                <w:lang w:val="uk-UA"/>
              </w:rPr>
            </w:pPr>
          </w:p>
          <w:p w:rsidR="00FC6D6B" w:rsidRPr="00FC6D6B" w:rsidRDefault="00FC6D6B" w:rsidP="00F253E0">
            <w:pPr>
              <w:jc w:val="center"/>
              <w:rPr>
                <w:sz w:val="20"/>
                <w:szCs w:val="20"/>
                <w:lang w:val="uk-UA"/>
              </w:rPr>
            </w:pPr>
          </w:p>
          <w:p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bl>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ind w:left="142"/>
        <w:rPr>
          <w:b/>
          <w:sz w:val="28"/>
          <w:lang w:val="uk-UA"/>
        </w:rPr>
      </w:pPr>
      <w:proofErr w:type="spellStart"/>
      <w:r w:rsidRPr="00FC6D6B">
        <w:rPr>
          <w:lang w:val="uk-UA"/>
        </w:rPr>
        <w:t>Осіюк</w:t>
      </w:r>
      <w:proofErr w:type="spellEnd"/>
      <w:r w:rsidRPr="00FC6D6B">
        <w:rPr>
          <w:lang w:val="uk-UA"/>
        </w:rPr>
        <w:t xml:space="preserve"> 773 150</w:t>
      </w:r>
    </w:p>
    <w:p w:rsidR="00822817" w:rsidRPr="00FC6D6B" w:rsidRDefault="00822817">
      <w:pPr>
        <w:jc w:val="both"/>
        <w:rPr>
          <w:lang w:val="uk-UA"/>
        </w:rPr>
      </w:pPr>
    </w:p>
    <w:sectPr w:rsidR="00822817" w:rsidRPr="00FC6D6B" w:rsidSect="001D6B55">
      <w:footerReference w:type="default" r:id="rId9"/>
      <w:pgSz w:w="16838" w:h="11906" w:orient="landscape"/>
      <w:pgMar w:top="1560" w:right="851" w:bottom="851" w:left="851" w:header="709" w:footer="29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9C" w:rsidRDefault="0058619C" w:rsidP="00597D71">
      <w:r>
        <w:separator/>
      </w:r>
    </w:p>
  </w:endnote>
  <w:endnote w:type="continuationSeparator" w:id="0">
    <w:p w:rsidR="0058619C" w:rsidRDefault="0058619C" w:rsidP="0059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36" w:rsidRDefault="00FC6D6B" w:rsidP="00B9162F">
    <w:pPr>
      <w:pStyle w:val="af3"/>
      <w:tabs>
        <w:tab w:val="center" w:pos="7568"/>
        <w:tab w:val="left" w:pos="8148"/>
      </w:tabs>
    </w:pPr>
    <w:r>
      <w:tab/>
    </w:r>
    <w:r>
      <w:tab/>
    </w:r>
  </w:p>
  <w:p w:rsidR="00254F36" w:rsidRDefault="0058619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9C" w:rsidRDefault="0058619C" w:rsidP="00597D71">
      <w:r>
        <w:separator/>
      </w:r>
    </w:p>
  </w:footnote>
  <w:footnote w:type="continuationSeparator" w:id="0">
    <w:p w:rsidR="0058619C" w:rsidRDefault="0058619C" w:rsidP="00597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65060"/>
      <w:docPartObj>
        <w:docPartGallery w:val="Page Numbers (Top of Page)"/>
        <w:docPartUnique/>
      </w:docPartObj>
    </w:sdtPr>
    <w:sdtEndPr/>
    <w:sdtContent>
      <w:p w:rsidR="00597D71" w:rsidRDefault="00597D71">
        <w:pPr>
          <w:pStyle w:val="af2"/>
          <w:jc w:val="center"/>
        </w:pPr>
        <w:r w:rsidRPr="00597D71">
          <w:rPr>
            <w:sz w:val="28"/>
          </w:rPr>
          <w:fldChar w:fldCharType="begin"/>
        </w:r>
        <w:r w:rsidRPr="00597D71">
          <w:rPr>
            <w:sz w:val="28"/>
          </w:rPr>
          <w:instrText>PAGE   \* MERGEFORMAT</w:instrText>
        </w:r>
        <w:r w:rsidRPr="00597D71">
          <w:rPr>
            <w:sz w:val="28"/>
          </w:rPr>
          <w:fldChar w:fldCharType="separate"/>
        </w:r>
        <w:r w:rsidR="001D3559">
          <w:rPr>
            <w:noProof/>
            <w:sz w:val="28"/>
          </w:rPr>
          <w:t>12</w:t>
        </w:r>
        <w:r w:rsidRPr="00597D71">
          <w:rPr>
            <w:sz w:val="28"/>
          </w:rPr>
          <w:fldChar w:fldCharType="end"/>
        </w:r>
      </w:p>
    </w:sdtContent>
  </w:sdt>
  <w:p w:rsidR="00597D71" w:rsidRDefault="00597D7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332"/>
    <w:multiLevelType w:val="multilevel"/>
    <w:tmpl w:val="DF14B9E0"/>
    <w:lvl w:ilvl="0">
      <w:start w:val="2"/>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15:restartNumberingAfterBreak="0">
    <w:nsid w:val="38653DE6"/>
    <w:multiLevelType w:val="multilevel"/>
    <w:tmpl w:val="D256AC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BF"/>
    <w:rsid w:val="000100BF"/>
    <w:rsid w:val="000805FF"/>
    <w:rsid w:val="00126D1D"/>
    <w:rsid w:val="001D3559"/>
    <w:rsid w:val="00232325"/>
    <w:rsid w:val="004761DF"/>
    <w:rsid w:val="004F0D89"/>
    <w:rsid w:val="00511791"/>
    <w:rsid w:val="00515A9A"/>
    <w:rsid w:val="005361CD"/>
    <w:rsid w:val="0056335D"/>
    <w:rsid w:val="0058619C"/>
    <w:rsid w:val="00597D71"/>
    <w:rsid w:val="00604D51"/>
    <w:rsid w:val="006147AA"/>
    <w:rsid w:val="007C0FE9"/>
    <w:rsid w:val="00810A22"/>
    <w:rsid w:val="00822817"/>
    <w:rsid w:val="008413D6"/>
    <w:rsid w:val="008C5FFC"/>
    <w:rsid w:val="009B1870"/>
    <w:rsid w:val="009F540C"/>
    <w:rsid w:val="00A1399C"/>
    <w:rsid w:val="00B03351"/>
    <w:rsid w:val="00B93339"/>
    <w:rsid w:val="00E0301C"/>
    <w:rsid w:val="00F03CE9"/>
    <w:rsid w:val="00F45D4E"/>
    <w:rsid w:val="00FC6D6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E87F"/>
  <w15:docId w15:val="{8B3882E0-2291-42D3-A9EA-62DEFE4B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4D"/>
    <w:rPr>
      <w:rFonts w:ascii="Times New Roman" w:eastAsia="Times New Roman" w:hAnsi="Times New Roman" w:cs="Times New Roman"/>
      <w:iCs/>
      <w:sz w:val="24"/>
      <w:szCs w:val="28"/>
      <w:lang w:eastAsia="ru-RU"/>
    </w:rPr>
  </w:style>
  <w:style w:type="paragraph" w:styleId="1">
    <w:name w:val="heading 1"/>
    <w:basedOn w:val="a"/>
    <w:next w:val="a"/>
    <w:link w:val="10"/>
    <w:uiPriority w:val="9"/>
    <w:qFormat/>
    <w:rsid w:val="00CA4D3C"/>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3">
    <w:name w:val="heading 3"/>
    <w:basedOn w:val="a"/>
    <w:next w:val="a"/>
    <w:link w:val="30"/>
    <w:uiPriority w:val="9"/>
    <w:semiHidden/>
    <w:unhideWhenUsed/>
    <w:qFormat/>
    <w:rsid w:val="00FD02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a4">
    <w:name w:val="Ниж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10">
    <w:name w:val="Заголовок 1 Знак"/>
    <w:basedOn w:val="a0"/>
    <w:link w:val="1"/>
    <w:uiPriority w:val="9"/>
    <w:qFormat/>
    <w:rsid w:val="00CA4D3C"/>
    <w:rPr>
      <w:rFonts w:asciiTheme="majorHAnsi" w:eastAsiaTheme="majorEastAsia" w:hAnsiTheme="majorHAnsi" w:cstheme="majorBidi"/>
      <w:b/>
      <w:bCs/>
      <w:iCs/>
      <w:color w:val="365F91" w:themeColor="accent1" w:themeShade="BF"/>
      <w:sz w:val="28"/>
      <w:szCs w:val="28"/>
      <w:lang w:eastAsia="ru-RU"/>
    </w:rPr>
  </w:style>
  <w:style w:type="character" w:styleId="a5">
    <w:name w:val="Hyperlink"/>
    <w:basedOn w:val="a0"/>
    <w:uiPriority w:val="99"/>
    <w:unhideWhenUsed/>
    <w:rsid w:val="00CA4D3C"/>
    <w:rPr>
      <w:color w:val="0000FF" w:themeColor="hyperlink"/>
      <w:u w:val="single"/>
    </w:rPr>
  </w:style>
  <w:style w:type="character" w:customStyle="1" w:styleId="a6">
    <w:name w:val="Текст выноски Знак"/>
    <w:basedOn w:val="a0"/>
    <w:uiPriority w:val="99"/>
    <w:semiHidden/>
    <w:qFormat/>
    <w:rsid w:val="00CA4D3C"/>
    <w:rPr>
      <w:rFonts w:ascii="Tahoma" w:eastAsia="Times New Roman" w:hAnsi="Tahoma" w:cs="Tahoma"/>
      <w:iCs/>
      <w:sz w:val="16"/>
      <w:szCs w:val="16"/>
      <w:lang w:eastAsia="ru-RU"/>
    </w:rPr>
  </w:style>
  <w:style w:type="character" w:customStyle="1" w:styleId="a7">
    <w:name w:val="Основной текст с отступом Знак"/>
    <w:basedOn w:val="a0"/>
    <w:qFormat/>
    <w:rsid w:val="00CA4D3C"/>
    <w:rPr>
      <w:rFonts w:ascii="Times New Roman" w:eastAsia="Times New Roman" w:hAnsi="Times New Roman" w:cs="Times New Roman"/>
      <w:sz w:val="28"/>
      <w:szCs w:val="24"/>
      <w:lang w:val="uk-UA" w:eastAsia="ru-RU"/>
    </w:rPr>
  </w:style>
  <w:style w:type="character" w:customStyle="1" w:styleId="a8">
    <w:name w:val="Основной текст Знак"/>
    <w:basedOn w:val="a0"/>
    <w:qFormat/>
    <w:rsid w:val="00CA4D3C"/>
    <w:rPr>
      <w:rFonts w:ascii="Times New Roman" w:eastAsia="Times New Roman" w:hAnsi="Times New Roman" w:cs="Times New Roman"/>
      <w:sz w:val="28"/>
      <w:szCs w:val="24"/>
      <w:lang w:val="uk-UA" w:eastAsia="ru-RU"/>
    </w:rPr>
  </w:style>
  <w:style w:type="character" w:customStyle="1" w:styleId="2">
    <w:name w:val="Основной текст 2 Знак"/>
    <w:basedOn w:val="a0"/>
    <w:link w:val="2"/>
    <w:qFormat/>
    <w:rsid w:val="00CA4D3C"/>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uiPriority w:val="9"/>
    <w:semiHidden/>
    <w:qFormat/>
    <w:rsid w:val="00FD02E5"/>
    <w:rPr>
      <w:rFonts w:asciiTheme="majorHAnsi" w:eastAsiaTheme="majorEastAsia" w:hAnsiTheme="majorHAnsi" w:cstheme="majorBidi"/>
      <w:b/>
      <w:bCs/>
      <w:iCs/>
      <w:color w:val="4F81BD" w:themeColor="accent1"/>
      <w:sz w:val="24"/>
      <w:szCs w:val="28"/>
      <w:lang w:eastAsia="ru-RU"/>
    </w:rPr>
  </w:style>
  <w:style w:type="character" w:customStyle="1" w:styleId="FontStyle62">
    <w:name w:val="Font Style62"/>
    <w:basedOn w:val="a0"/>
    <w:qFormat/>
    <w:rsid w:val="00121B32"/>
    <w:rPr>
      <w:rFonts w:ascii="Times New Roman" w:hAnsi="Times New Roman" w:cs="Times New Roman"/>
      <w:sz w:val="26"/>
      <w:szCs w:val="26"/>
    </w:rPr>
  </w:style>
  <w:style w:type="character" w:customStyle="1" w:styleId="FontStyle67">
    <w:name w:val="Font Style67"/>
    <w:basedOn w:val="a0"/>
    <w:qFormat/>
    <w:rsid w:val="00121B32"/>
    <w:rPr>
      <w:rFonts w:ascii="Times New Roman" w:hAnsi="Times New Roman" w:cs="Times New Roman"/>
      <w:b/>
      <w:bCs/>
      <w:sz w:val="26"/>
      <w:szCs w:val="26"/>
    </w:rPr>
  </w:style>
  <w:style w:type="character" w:customStyle="1" w:styleId="rvts23">
    <w:name w:val="rvts23"/>
    <w:basedOn w:val="a0"/>
    <w:qFormat/>
    <w:rsid w:val="00740FB3"/>
  </w:style>
  <w:style w:type="character" w:customStyle="1" w:styleId="apple-converted-space">
    <w:name w:val="apple-converted-space"/>
    <w:basedOn w:val="a0"/>
    <w:qFormat/>
    <w:rsid w:val="00740FB3"/>
  </w:style>
  <w:style w:type="character" w:customStyle="1" w:styleId="rvts64">
    <w:name w:val="rvts64"/>
    <w:basedOn w:val="a0"/>
    <w:qFormat/>
    <w:rsid w:val="00740FB3"/>
  </w:style>
  <w:style w:type="character" w:customStyle="1" w:styleId="rvts9">
    <w:name w:val="rvts9"/>
    <w:basedOn w:val="a0"/>
    <w:qFormat/>
    <w:rsid w:val="00740FB3"/>
  </w:style>
  <w:style w:type="character" w:styleId="a9">
    <w:name w:val="annotation reference"/>
    <w:basedOn w:val="a0"/>
    <w:unhideWhenUsed/>
    <w:qFormat/>
    <w:rsid w:val="00163CA2"/>
    <w:rPr>
      <w:sz w:val="16"/>
      <w:szCs w:val="16"/>
    </w:rPr>
  </w:style>
  <w:style w:type="character" w:customStyle="1" w:styleId="aa">
    <w:name w:val="Текст примечания Знак"/>
    <w:basedOn w:val="a0"/>
    <w:qFormat/>
    <w:rsid w:val="00163CA2"/>
    <w:rPr>
      <w:rFonts w:ascii="Times New Roman" w:eastAsia="Times New Roman" w:hAnsi="Times New Roman" w:cs="Times New Roman"/>
      <w:iCs/>
      <w:sz w:val="20"/>
      <w:szCs w:val="20"/>
      <w:lang w:eastAsia="ru-RU"/>
    </w:rPr>
  </w:style>
  <w:style w:type="character" w:customStyle="1" w:styleId="ab">
    <w:name w:val="Тема примечания Знак"/>
    <w:basedOn w:val="aa"/>
    <w:uiPriority w:val="99"/>
    <w:semiHidden/>
    <w:qFormat/>
    <w:rsid w:val="00163CA2"/>
    <w:rPr>
      <w:rFonts w:ascii="Times New Roman" w:eastAsia="Times New Roman" w:hAnsi="Times New Roman" w:cs="Times New Roman"/>
      <w:b/>
      <w:bCs/>
      <w:iCs/>
      <w:sz w:val="20"/>
      <w:szCs w:val="20"/>
      <w:lang w:eastAsia="ru-RU"/>
    </w:rPr>
  </w:style>
  <w:style w:type="character" w:customStyle="1" w:styleId="ac">
    <w:name w:val="Подзаголовок Знак"/>
    <w:basedOn w:val="a0"/>
    <w:qFormat/>
    <w:rsid w:val="004C40F3"/>
    <w:rPr>
      <w:rFonts w:ascii="Arial" w:eastAsia="Times New Roman" w:hAnsi="Arial" w:cs="Times New Roman"/>
      <w:i/>
      <w:sz w:val="24"/>
      <w:szCs w:val="24"/>
      <w:lang w:val="uk-UA" w:eastAsia="ru-RU"/>
    </w:rPr>
  </w:style>
  <w:style w:type="character" w:customStyle="1" w:styleId="ListLabel1">
    <w:name w:val="ListLabel 1"/>
    <w:qFormat/>
    <w:rPr>
      <w:i w:val="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CYR"/>
      <w:b w:val="0"/>
      <w:color w:val="00000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16"/>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color w:val="000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color w:val="000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color w:val="000000"/>
    </w:rPr>
  </w:style>
  <w:style w:type="character" w:customStyle="1" w:styleId="ListLabel36">
    <w:name w:val="ListLabel 36"/>
    <w:qFormat/>
    <w:rPr>
      <w:rFonts w:eastAsia="Times New Roman" w:cs="Times New Roman"/>
      <w:color w:val="auto"/>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eastAsia="Times New Roman" w:cs="Times New Roman"/>
      <w:sz w:val="28"/>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rPr>
  </w:style>
  <w:style w:type="paragraph" w:styleId="ae">
    <w:name w:val="Body Text"/>
    <w:basedOn w:val="a"/>
    <w:rsid w:val="00CA4D3C"/>
    <w:pPr>
      <w:jc w:val="both"/>
    </w:pPr>
    <w:rPr>
      <w:iCs w:val="0"/>
      <w:sz w:val="28"/>
      <w:szCs w:val="24"/>
      <w:lang w:val="uk-UA"/>
    </w:rPr>
  </w:style>
  <w:style w:type="paragraph" w:styleId="af">
    <w:name w:val="List"/>
    <w:basedOn w:val="ae"/>
    <w:rPr>
      <w:rFonts w:cs="Arial Unicode MS"/>
    </w:rPr>
  </w:style>
  <w:style w:type="paragraph" w:styleId="af0">
    <w:name w:val="caption"/>
    <w:basedOn w:val="a"/>
    <w:qFormat/>
    <w:pPr>
      <w:suppressLineNumbers/>
      <w:spacing w:before="120" w:after="120"/>
    </w:pPr>
    <w:rPr>
      <w:rFonts w:cs="Arial Unicode MS"/>
      <w:i/>
      <w:szCs w:val="24"/>
    </w:rPr>
  </w:style>
  <w:style w:type="paragraph" w:customStyle="1" w:styleId="af1">
    <w:name w:val="Покажчик"/>
    <w:basedOn w:val="a"/>
    <w:qFormat/>
    <w:pPr>
      <w:suppressLineNumbers/>
    </w:pPr>
    <w:rPr>
      <w:rFonts w:cs="Arial Unicode MS"/>
    </w:rPr>
  </w:style>
  <w:style w:type="paragraph" w:styleId="af2">
    <w:name w:val="header"/>
    <w:basedOn w:val="a"/>
    <w:uiPriority w:val="99"/>
    <w:unhideWhenUsed/>
    <w:rsid w:val="00F13C4D"/>
    <w:pPr>
      <w:tabs>
        <w:tab w:val="center" w:pos="4677"/>
        <w:tab w:val="right" w:pos="9355"/>
      </w:tabs>
    </w:pPr>
  </w:style>
  <w:style w:type="paragraph" w:styleId="af3">
    <w:name w:val="footer"/>
    <w:basedOn w:val="a"/>
    <w:uiPriority w:val="99"/>
    <w:unhideWhenUsed/>
    <w:rsid w:val="00F13C4D"/>
    <w:pPr>
      <w:tabs>
        <w:tab w:val="center" w:pos="4677"/>
        <w:tab w:val="right" w:pos="9355"/>
      </w:tabs>
    </w:pPr>
  </w:style>
  <w:style w:type="paragraph" w:styleId="af4">
    <w:name w:val="TOC Heading"/>
    <w:basedOn w:val="1"/>
    <w:next w:val="a"/>
    <w:uiPriority w:val="39"/>
    <w:unhideWhenUsed/>
    <w:qFormat/>
    <w:rsid w:val="00CA4D3C"/>
    <w:pPr>
      <w:spacing w:line="276" w:lineRule="auto"/>
    </w:pPr>
    <w:rPr>
      <w:iCs w:val="0"/>
      <w:lang w:eastAsia="en-US"/>
    </w:rPr>
  </w:style>
  <w:style w:type="paragraph" w:styleId="11">
    <w:name w:val="toc 1"/>
    <w:basedOn w:val="a"/>
    <w:next w:val="a"/>
    <w:autoRedefine/>
    <w:uiPriority w:val="39"/>
    <w:unhideWhenUsed/>
    <w:rsid w:val="00CA4D3C"/>
    <w:pPr>
      <w:spacing w:after="100"/>
    </w:pPr>
  </w:style>
  <w:style w:type="paragraph" w:styleId="af5">
    <w:name w:val="Balloon Text"/>
    <w:basedOn w:val="a"/>
    <w:uiPriority w:val="99"/>
    <w:semiHidden/>
    <w:unhideWhenUsed/>
    <w:qFormat/>
    <w:rsid w:val="00CA4D3C"/>
    <w:rPr>
      <w:rFonts w:ascii="Tahoma" w:hAnsi="Tahoma" w:cs="Tahoma"/>
      <w:sz w:val="16"/>
      <w:szCs w:val="16"/>
    </w:rPr>
  </w:style>
  <w:style w:type="paragraph" w:styleId="af6">
    <w:name w:val="Body Text Indent"/>
    <w:basedOn w:val="a"/>
    <w:rsid w:val="00CA4D3C"/>
    <w:pPr>
      <w:ind w:firstLine="720"/>
      <w:jc w:val="both"/>
    </w:pPr>
    <w:rPr>
      <w:iCs w:val="0"/>
      <w:sz w:val="28"/>
      <w:szCs w:val="24"/>
      <w:lang w:val="uk-UA"/>
    </w:rPr>
  </w:style>
  <w:style w:type="paragraph" w:styleId="20">
    <w:name w:val="Body Text 2"/>
    <w:basedOn w:val="a"/>
    <w:qFormat/>
    <w:rsid w:val="00CA4D3C"/>
    <w:pPr>
      <w:jc w:val="center"/>
    </w:pPr>
    <w:rPr>
      <w:iCs w:val="0"/>
      <w:szCs w:val="24"/>
      <w:lang w:val="uk-UA"/>
    </w:rPr>
  </w:style>
  <w:style w:type="paragraph" w:styleId="af7">
    <w:name w:val="List Paragraph"/>
    <w:basedOn w:val="a"/>
    <w:uiPriority w:val="99"/>
    <w:qFormat/>
    <w:rsid w:val="008C348C"/>
    <w:pPr>
      <w:ind w:left="720"/>
      <w:contextualSpacing/>
    </w:pPr>
  </w:style>
  <w:style w:type="paragraph" w:customStyle="1" w:styleId="Default">
    <w:name w:val="Default"/>
    <w:qFormat/>
    <w:rsid w:val="00754B1A"/>
    <w:rPr>
      <w:rFonts w:ascii="Times New Roman" w:eastAsia="Calibri" w:hAnsi="Times New Roman" w:cs="Times New Roman"/>
      <w:color w:val="000000"/>
      <w:sz w:val="24"/>
      <w:szCs w:val="24"/>
    </w:rPr>
  </w:style>
  <w:style w:type="paragraph" w:styleId="af8">
    <w:name w:val="Normal (Web)"/>
    <w:basedOn w:val="a"/>
    <w:uiPriority w:val="99"/>
    <w:qFormat/>
    <w:rsid w:val="003222E5"/>
    <w:pPr>
      <w:spacing w:beforeAutospacing="1" w:afterAutospacing="1"/>
    </w:pPr>
    <w:rPr>
      <w:iCs w:val="0"/>
      <w:szCs w:val="24"/>
    </w:rPr>
  </w:style>
  <w:style w:type="paragraph" w:customStyle="1" w:styleId="Style3">
    <w:name w:val="Style3"/>
    <w:basedOn w:val="a"/>
    <w:qFormat/>
    <w:rsid w:val="00121B32"/>
    <w:pPr>
      <w:widowControl w:val="0"/>
      <w:spacing w:line="323" w:lineRule="exact"/>
      <w:ind w:firstLine="710"/>
      <w:jc w:val="both"/>
    </w:pPr>
    <w:rPr>
      <w:iCs w:val="0"/>
      <w:szCs w:val="24"/>
    </w:rPr>
  </w:style>
  <w:style w:type="paragraph" w:customStyle="1" w:styleId="Style28">
    <w:name w:val="Style28"/>
    <w:basedOn w:val="a"/>
    <w:qFormat/>
    <w:rsid w:val="00121B32"/>
    <w:pPr>
      <w:widowControl w:val="0"/>
      <w:spacing w:line="326" w:lineRule="exact"/>
      <w:jc w:val="both"/>
    </w:pPr>
    <w:rPr>
      <w:iCs w:val="0"/>
      <w:szCs w:val="24"/>
    </w:rPr>
  </w:style>
  <w:style w:type="paragraph" w:customStyle="1" w:styleId="Style30">
    <w:name w:val="Style30"/>
    <w:basedOn w:val="a"/>
    <w:qFormat/>
    <w:rsid w:val="00121B32"/>
    <w:pPr>
      <w:widowControl w:val="0"/>
      <w:spacing w:line="322" w:lineRule="exact"/>
      <w:ind w:firstLine="360"/>
      <w:jc w:val="both"/>
    </w:pPr>
    <w:rPr>
      <w:iCs w:val="0"/>
      <w:szCs w:val="24"/>
    </w:rPr>
  </w:style>
  <w:style w:type="paragraph" w:customStyle="1" w:styleId="Style31">
    <w:name w:val="Style31"/>
    <w:basedOn w:val="a"/>
    <w:qFormat/>
    <w:rsid w:val="00121B32"/>
    <w:pPr>
      <w:widowControl w:val="0"/>
      <w:spacing w:line="331" w:lineRule="exact"/>
      <w:ind w:hanging="384"/>
      <w:jc w:val="both"/>
    </w:pPr>
    <w:rPr>
      <w:iCs w:val="0"/>
      <w:szCs w:val="24"/>
    </w:rPr>
  </w:style>
  <w:style w:type="paragraph" w:customStyle="1" w:styleId="rvps17">
    <w:name w:val="rvps17"/>
    <w:basedOn w:val="a"/>
    <w:qFormat/>
    <w:rsid w:val="00740FB3"/>
    <w:pPr>
      <w:spacing w:beforeAutospacing="1" w:afterAutospacing="1"/>
    </w:pPr>
    <w:rPr>
      <w:iCs w:val="0"/>
      <w:szCs w:val="24"/>
    </w:rPr>
  </w:style>
  <w:style w:type="paragraph" w:customStyle="1" w:styleId="rvps3">
    <w:name w:val="rvps3"/>
    <w:basedOn w:val="a"/>
    <w:qFormat/>
    <w:rsid w:val="00740FB3"/>
    <w:pPr>
      <w:spacing w:beforeAutospacing="1" w:afterAutospacing="1"/>
    </w:pPr>
    <w:rPr>
      <w:iCs w:val="0"/>
      <w:szCs w:val="24"/>
    </w:rPr>
  </w:style>
  <w:style w:type="paragraph" w:customStyle="1" w:styleId="rvps6">
    <w:name w:val="rvps6"/>
    <w:basedOn w:val="a"/>
    <w:qFormat/>
    <w:rsid w:val="00740FB3"/>
    <w:pPr>
      <w:spacing w:beforeAutospacing="1" w:afterAutospacing="1"/>
    </w:pPr>
    <w:rPr>
      <w:iCs w:val="0"/>
      <w:szCs w:val="24"/>
    </w:rPr>
  </w:style>
  <w:style w:type="paragraph" w:styleId="af9">
    <w:name w:val="annotation text"/>
    <w:basedOn w:val="a"/>
    <w:unhideWhenUsed/>
    <w:qFormat/>
    <w:rsid w:val="00163CA2"/>
    <w:rPr>
      <w:sz w:val="20"/>
      <w:szCs w:val="20"/>
    </w:rPr>
  </w:style>
  <w:style w:type="paragraph" w:styleId="afa">
    <w:name w:val="annotation subject"/>
    <w:basedOn w:val="af9"/>
    <w:next w:val="af9"/>
    <w:uiPriority w:val="99"/>
    <w:semiHidden/>
    <w:unhideWhenUsed/>
    <w:qFormat/>
    <w:rsid w:val="00163CA2"/>
    <w:rPr>
      <w:b/>
      <w:bCs/>
    </w:rPr>
  </w:style>
  <w:style w:type="paragraph" w:customStyle="1" w:styleId="rvps2">
    <w:name w:val="rvps2"/>
    <w:basedOn w:val="a"/>
    <w:qFormat/>
    <w:rsid w:val="00215D69"/>
    <w:pPr>
      <w:spacing w:beforeAutospacing="1" w:afterAutospacing="1"/>
    </w:pPr>
    <w:rPr>
      <w:iCs w:val="0"/>
      <w:szCs w:val="24"/>
      <w:lang w:val="uk-UA" w:eastAsia="uk-UA"/>
    </w:rPr>
  </w:style>
  <w:style w:type="paragraph" w:styleId="afb">
    <w:name w:val="Subtitle"/>
    <w:basedOn w:val="a"/>
    <w:qFormat/>
    <w:rsid w:val="004C40F3"/>
    <w:pPr>
      <w:spacing w:after="60"/>
      <w:jc w:val="center"/>
    </w:pPr>
    <w:rPr>
      <w:rFonts w:ascii="Arial" w:hAnsi="Arial"/>
      <w:i/>
      <w:iCs w:val="0"/>
      <w:szCs w:val="24"/>
      <w:lang w:val="uk-UA"/>
    </w:rPr>
  </w:style>
  <w:style w:type="paragraph" w:customStyle="1" w:styleId="docdata">
    <w:name w:val="docdata"/>
    <w:basedOn w:val="a"/>
    <w:qFormat/>
    <w:rsid w:val="00304E6F"/>
    <w:pPr>
      <w:spacing w:beforeAutospacing="1" w:afterAutospacing="1"/>
    </w:pPr>
    <w:rPr>
      <w:iCs w:val="0"/>
      <w:szCs w:val="24"/>
    </w:rPr>
  </w:style>
  <w:style w:type="table" w:styleId="afc">
    <w:name w:val="Table Grid"/>
    <w:basedOn w:val="a1"/>
    <w:rsid w:val="008718AF"/>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бычный + полужирный"/>
    <w:aliases w:val="По центру,После:  0 пт,Междустр.интервал:  одинарный"/>
    <w:basedOn w:val="a"/>
    <w:rsid w:val="00FC6D6B"/>
    <w:pPr>
      <w:spacing w:line="240" w:lineRule="atLeast"/>
    </w:pPr>
    <w:rPr>
      <w:rFonts w:ascii="Arial" w:hAnsi="Arial" w:cs="Tahoma"/>
      <w:iCs w:val="0"/>
      <w:spacing w:val="4"/>
      <w:sz w:val="16"/>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1112-92A4-4277-9C3F-6F68CA3D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13434</Words>
  <Characters>7658</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dc:description/>
  <cp:lastModifiedBy>hrelia</cp:lastModifiedBy>
  <cp:revision>9</cp:revision>
  <cp:lastPrinted>2021-01-19T14:45:00Z</cp:lastPrinted>
  <dcterms:created xsi:type="dcterms:W3CDTF">2021-01-25T13:07:00Z</dcterms:created>
  <dcterms:modified xsi:type="dcterms:W3CDTF">2021-01-25T14:27:00Z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