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E5" w:rsidRPr="004F2CC4" w:rsidRDefault="00D637E5" w:rsidP="004F2CC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4F2CC4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D637E5" w:rsidRPr="00481C45" w:rsidRDefault="00D637E5" w:rsidP="004F2CC4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до рішення виконавчого комітету міської ради</w:t>
      </w:r>
    </w:p>
    <w:p w:rsidR="00D637E5" w:rsidRPr="00481C45" w:rsidRDefault="00D637E5" w:rsidP="00D637E5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________________ № _________</w:t>
      </w:r>
    </w:p>
    <w:p w:rsidR="00D637E5" w:rsidRPr="00481C45" w:rsidRDefault="00D637E5" w:rsidP="00D637E5">
      <w:pPr>
        <w:suppressAutoHyphens/>
        <w:spacing w:after="0" w:line="240" w:lineRule="auto"/>
        <w:ind w:left="5220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637E5" w:rsidRPr="00481C45" w:rsidRDefault="00D637E5" w:rsidP="00D637E5">
      <w:pPr>
        <w:suppressAutoHyphens/>
        <w:spacing w:after="0" w:line="240" w:lineRule="auto"/>
        <w:ind w:left="5220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bookmarkStart w:id="0" w:name="_GoBack"/>
      <w:bookmarkEnd w:id="0"/>
    </w:p>
    <w:p w:rsidR="00D637E5" w:rsidRPr="00481C45" w:rsidRDefault="00D637E5" w:rsidP="00D637E5">
      <w:pPr>
        <w:suppressAutoHyphens/>
        <w:spacing w:after="0" w:line="240" w:lineRule="auto"/>
        <w:ind w:left="5220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637E5" w:rsidRPr="00481C4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Програма </w:t>
      </w:r>
    </w:p>
    <w:p w:rsidR="00D637E5" w:rsidRPr="00481C4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підтримки ЛСКАП «</w:t>
      </w:r>
      <w:proofErr w:type="spellStart"/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Луцькспецкомунтранс</w:t>
      </w:r>
      <w:proofErr w:type="spellEnd"/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»</w:t>
      </w:r>
    </w:p>
    <w:p w:rsidR="00D637E5" w:rsidRPr="00481C4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на 2021 рік</w:t>
      </w:r>
    </w:p>
    <w:p w:rsidR="00D637E5" w:rsidRPr="00481C4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(</w:t>
      </w:r>
      <w:proofErr w:type="spellStart"/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проєкт</w:t>
      </w:r>
      <w:proofErr w:type="spellEnd"/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)</w:t>
      </w:r>
    </w:p>
    <w:p w:rsidR="00D637E5" w:rsidRPr="00481C4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D637E5" w:rsidRPr="00481C4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D637E5" w:rsidRPr="00481C4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ПАСПОРТ ПРОГРАМИ</w:t>
      </w:r>
    </w:p>
    <w:p w:rsidR="00D637E5" w:rsidRPr="00481C4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3996"/>
        <w:gridCol w:w="4715"/>
      </w:tblGrid>
      <w:tr w:rsidR="00D637E5" w:rsidRPr="00481C45" w:rsidTr="00B0096E">
        <w:trPr>
          <w:trHeight w:val="7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ЛСКАП «</w:t>
            </w:r>
            <w:proofErr w:type="spellStart"/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Луцькспецкомунтранс</w:t>
            </w:r>
            <w:proofErr w:type="spellEnd"/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»</w:t>
            </w:r>
          </w:p>
        </w:tc>
      </w:tr>
      <w:tr w:rsidR="00D637E5" w:rsidRPr="00481C45" w:rsidTr="00B0096E">
        <w:trPr>
          <w:trHeight w:val="11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uk-UA" w:eastAsia="zh-CN" w:bidi="hi-IN"/>
              </w:rPr>
            </w:pPr>
            <w:r w:rsidRPr="00481C4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uk-UA" w:eastAsia="zh-CN" w:bidi="hi-IN"/>
              </w:rPr>
              <w:t>-</w:t>
            </w:r>
          </w:p>
        </w:tc>
      </w:tr>
      <w:tr w:rsidR="00D637E5" w:rsidRPr="00481C45" w:rsidTr="00B0096E">
        <w:trPr>
          <w:trHeight w:val="42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Розробник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ЛСКАП «</w:t>
            </w:r>
            <w:proofErr w:type="spellStart"/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Луцькспецкомунтранс</w:t>
            </w:r>
            <w:proofErr w:type="spellEnd"/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»</w:t>
            </w:r>
          </w:p>
        </w:tc>
      </w:tr>
      <w:tr w:rsidR="00D637E5" w:rsidRPr="00481C45" w:rsidTr="00B0096E">
        <w:trPr>
          <w:trHeight w:val="4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ЛСКАП «</w:t>
            </w:r>
            <w:proofErr w:type="spellStart"/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Луцькспецкомунтранс</w:t>
            </w:r>
            <w:proofErr w:type="spellEnd"/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»</w:t>
            </w:r>
          </w:p>
        </w:tc>
      </w:tr>
      <w:tr w:rsidR="00D637E5" w:rsidRPr="00481C45" w:rsidTr="00B0096E">
        <w:trPr>
          <w:trHeight w:val="8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Департамент житлово-комунального господарства Луцької міської ради</w:t>
            </w:r>
          </w:p>
        </w:tc>
      </w:tr>
      <w:tr w:rsidR="00D637E5" w:rsidRPr="00481C45" w:rsidTr="00B0096E">
        <w:trPr>
          <w:trHeight w:val="111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Департамент житлово-комунального господарства Луцької міської ради та ЛСКАП «</w:t>
            </w:r>
            <w:proofErr w:type="spellStart"/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Луцькспецкомунтранс</w:t>
            </w:r>
            <w:proofErr w:type="spellEnd"/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»</w:t>
            </w:r>
          </w:p>
        </w:tc>
      </w:tr>
      <w:tr w:rsidR="00D637E5" w:rsidRPr="00481C45" w:rsidTr="004F2CC4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2021 рік</w:t>
            </w:r>
          </w:p>
        </w:tc>
      </w:tr>
      <w:tr w:rsidR="00D637E5" w:rsidRPr="00481C45" w:rsidTr="004F2CC4">
        <w:trPr>
          <w:trHeight w:val="111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7E5" w:rsidRPr="004F2CC4" w:rsidRDefault="00D637E5" w:rsidP="004F2CC4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F2C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7E5" w:rsidRPr="00EC1422" w:rsidRDefault="00EC1422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EC14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6 000,00</w:t>
            </w:r>
            <w:r w:rsidR="00D637E5" w:rsidRPr="00EC14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тис. грн</w:t>
            </w:r>
          </w:p>
        </w:tc>
      </w:tr>
      <w:tr w:rsidR="00D637E5" w:rsidRPr="00481C45" w:rsidTr="004F2CC4">
        <w:trPr>
          <w:trHeight w:val="111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7E5" w:rsidRPr="00481C45" w:rsidRDefault="004F2CC4" w:rsidP="00B0096E">
            <w:pPr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8.1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4F2C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в томі числі, кошти </w:t>
            </w:r>
            <w:r w:rsidR="004F2C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бюджету міської територіальної громади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7E5" w:rsidRPr="00EC1422" w:rsidRDefault="00EC1422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EC14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6 000,00</w:t>
            </w:r>
            <w:r w:rsidR="004F2C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тис. грн</w:t>
            </w:r>
          </w:p>
        </w:tc>
      </w:tr>
    </w:tbl>
    <w:p w:rsidR="00D637E5" w:rsidRPr="00481C45" w:rsidRDefault="00D637E5" w:rsidP="00D637E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637E5" w:rsidRPr="00481C45" w:rsidRDefault="00D637E5" w:rsidP="00D637E5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br w:type="page"/>
      </w:r>
    </w:p>
    <w:p w:rsidR="00D637E5" w:rsidRPr="004F2CC4" w:rsidRDefault="00D637E5" w:rsidP="004F2CC4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4F2C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lastRenderedPageBreak/>
        <w:t>Визначення проблем, на розв’язання яких спрямована Програма</w:t>
      </w:r>
    </w:p>
    <w:p w:rsidR="004F2CC4" w:rsidRPr="004F2CC4" w:rsidRDefault="004F2CC4" w:rsidP="004F2CC4">
      <w:pPr>
        <w:pStyle w:val="a3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B6F0C" w:rsidRDefault="000B6F0C" w:rsidP="00D637E5">
      <w:pPr>
        <w:shd w:val="clear" w:color="auto" w:fill="FFFFFF"/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Програма підтримки ЛСКАП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Луцькспецк</w:t>
      </w:r>
      <w:r w:rsidR="004F2C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омунтранс</w:t>
      </w:r>
      <w:proofErr w:type="spellEnd"/>
      <w:r w:rsidR="004F2CC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 на 2021 рік (надалі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Програма) розроблена на виконання статті 91 Бюджетного кодексу України та відповідно до Закону України «Про місцеве самоврядування в Україні».</w:t>
      </w:r>
    </w:p>
    <w:p w:rsidR="000B6F0C" w:rsidRDefault="000B6F0C" w:rsidP="00D637E5">
      <w:pPr>
        <w:shd w:val="clear" w:color="auto" w:fill="FFFFFF"/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Для реалізації статутних завдань ЛСКАП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Луцькспецкомунтранс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 потребує залучення додаткового фінансування, яке сприятиме покращенню надання послуг поводження з побутовими відходами, оновленню матеріально-технічної бази підприємства.</w:t>
      </w:r>
    </w:p>
    <w:p w:rsidR="000B6F0C" w:rsidRDefault="000B6F0C" w:rsidP="00D637E5">
      <w:pPr>
        <w:shd w:val="clear" w:color="auto" w:fill="FFFFFF"/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D637E5" w:rsidRPr="00481C45" w:rsidRDefault="00D637E5" w:rsidP="00D637E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2. Визначення мети Програми</w:t>
      </w:r>
    </w:p>
    <w:p w:rsidR="00D637E5" w:rsidRPr="00481C45" w:rsidRDefault="00D637E5" w:rsidP="00D637E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637E5" w:rsidRPr="00481C45" w:rsidRDefault="00D637E5" w:rsidP="00D637E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Метою Програми є створення та покращення умов, що сприятимуть сталому функціонуванню комунального підприємств</w:t>
      </w:r>
      <w:r w:rsidR="008131B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а ЛСКАП «</w:t>
      </w:r>
      <w:proofErr w:type="spellStart"/>
      <w:r w:rsidR="008131B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Луцькспецкомунтранс</w:t>
      </w:r>
      <w:proofErr w:type="spellEnd"/>
      <w:r w:rsidR="008131B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»</w:t>
      </w: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, ш</w:t>
      </w:r>
      <w:r w:rsidR="0000298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ляхом покращення технічної та бази підприємства та </w:t>
      </w: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запобігання </w:t>
      </w:r>
      <w:proofErr w:type="spellStart"/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перенакопиченню</w:t>
      </w:r>
      <w:proofErr w:type="spellEnd"/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побутових відходів на території контейнерних майданчиків, недопущення екологічної катастрофи та погіршення санітарно-екологічного стану на територі</w:t>
      </w:r>
      <w:r w:rsidR="004F2CC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ї</w:t>
      </w: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Луцької міської територіальної громади.</w:t>
      </w:r>
    </w:p>
    <w:p w:rsidR="006755CF" w:rsidRDefault="006755CF" w:rsidP="00D637E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Кошти спрямовуються на оновлення технічної бази підприємства в частині закупівлі спеціальних транспортних засобів для збирання та перевезення побутових відходів. Вказане є критично необхідним для забезпечення споживачів якісними послугами по</w:t>
      </w:r>
      <w:r w:rsidR="002A27C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водження з побутовими відходами</w:t>
      </w:r>
      <w:r w:rsidRPr="002A27C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адже переважна більшість наявної техніки є застарілою та потребує постійних ремонтів, що зумовлює використання додаткових ресурсів.</w:t>
      </w:r>
    </w:p>
    <w:p w:rsidR="00D637E5" w:rsidRPr="00481C45" w:rsidRDefault="00D637E5" w:rsidP="00D637E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Крім того, забезпечення прозорої та ефективної процедури використання коштів, що передбачаються у </w:t>
      </w:r>
      <w:r w:rsidR="004F2CC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бюджеті міської територіальної громади </w:t>
      </w: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для надання фінансової підтримки є похідною метою цієї Програми.</w:t>
      </w:r>
    </w:p>
    <w:p w:rsidR="00D637E5" w:rsidRPr="00481C45" w:rsidRDefault="00D637E5" w:rsidP="00D637E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637E5" w:rsidRPr="00481C4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3. Обґрунтування шляхів і засобів розв’язання проблеми, обсягів та джерел фінансування, терміни виконання завдань, заходів</w:t>
      </w:r>
    </w:p>
    <w:p w:rsidR="000B6F0C" w:rsidRDefault="000B6F0C" w:rsidP="006755C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B6F0C" w:rsidRDefault="000B6F0C" w:rsidP="00D637E5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Підтримка комунальному підприємству здійснюється шляхом:</w:t>
      </w:r>
    </w:p>
    <w:p w:rsidR="0010153D" w:rsidRDefault="004F2CC4" w:rsidP="00D637E5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1) з</w:t>
      </w:r>
      <w:r w:rsidR="0010153D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більшення державної частки в статутному капіталі суб’єктів господарювання – КЕКВ 3210 – капі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тальні трансферти підприємствам;</w:t>
      </w:r>
    </w:p>
    <w:p w:rsidR="0010153D" w:rsidRDefault="004F2CC4" w:rsidP="00D637E5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2) ф</w:t>
      </w:r>
      <w:r w:rsidR="0010153D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інансування ЛСКАП «</w:t>
      </w:r>
      <w:proofErr w:type="spellStart"/>
      <w:r w:rsidR="0010153D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Луцькспецкомунтранс</w:t>
      </w:r>
      <w:proofErr w:type="spellEnd"/>
      <w:r w:rsidR="0010153D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» відбувається шляхом перерахування коштів на рахунок державної казначейської служби на підставі укладених договорів про виконання робіт, актів прийому-передачі виконаних робіт, накладних на придбання устаткування,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обладнання тощо, в результаті </w:t>
      </w:r>
      <w:r w:rsidR="0010153D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проведення ЛСКАП «</w:t>
      </w:r>
      <w:proofErr w:type="spellStart"/>
      <w:r w:rsidR="0010153D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Луцькспецкомунтранс</w:t>
      </w:r>
      <w:proofErr w:type="spellEnd"/>
      <w:r w:rsidR="0010153D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» публічної закупівлі у спосіб, що передбачений чинним законодавством України.</w:t>
      </w:r>
    </w:p>
    <w:p w:rsidR="00D637E5" w:rsidRDefault="00D637E5" w:rsidP="00D637E5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Ресурсне забезпечення Програми наведене у додатку 1 до Програми.</w:t>
      </w:r>
    </w:p>
    <w:p w:rsidR="00D637E5" w:rsidRPr="00481C45" w:rsidRDefault="00D637E5" w:rsidP="004F2CC4">
      <w:pPr>
        <w:tabs>
          <w:tab w:val="left" w:pos="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lastRenderedPageBreak/>
        <w:t>4. Перелік завдань, заходів Програми, напрями використання бюджетних коштів та результативні показники</w:t>
      </w:r>
    </w:p>
    <w:p w:rsidR="000B6F0C" w:rsidRDefault="000B6F0C" w:rsidP="00D637E5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zh-CN"/>
        </w:rPr>
      </w:pPr>
    </w:p>
    <w:p w:rsidR="00D637E5" w:rsidRPr="00481C45" w:rsidRDefault="00D637E5" w:rsidP="00D637E5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Перелік напрямів, завдань, заходів Програми наведено у додатку 2 до Програми.</w:t>
      </w:r>
    </w:p>
    <w:p w:rsidR="00D637E5" w:rsidRPr="00481C45" w:rsidRDefault="00D637E5" w:rsidP="00D637E5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637E5" w:rsidRPr="00481C45" w:rsidRDefault="00D637E5" w:rsidP="00D637E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5. Координація та контроль за виконанням Програми</w:t>
      </w:r>
    </w:p>
    <w:p w:rsidR="00D637E5" w:rsidRPr="00481C45" w:rsidRDefault="00D637E5" w:rsidP="00D637E5">
      <w:pPr>
        <w:tabs>
          <w:tab w:val="left" w:pos="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637E5" w:rsidRPr="00481C45" w:rsidRDefault="00D637E5" w:rsidP="00D637E5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Загальна координація та контроль за ходом виконання Програми покладені на </w:t>
      </w:r>
      <w:r w:rsidR="004F2CC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</w:t>
      </w: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епартамент житлово-комунального господарства та ЛСКАП «</w:t>
      </w:r>
      <w:proofErr w:type="spellStart"/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Луцькспецкомунтранс</w:t>
      </w:r>
      <w:proofErr w:type="spellEnd"/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».</w:t>
      </w:r>
    </w:p>
    <w:p w:rsidR="00D637E5" w:rsidRPr="00481C45" w:rsidRDefault="00D637E5" w:rsidP="00D637E5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 w:rsidRPr="00481C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zh-CN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енергозбереження.</w:t>
      </w:r>
    </w:p>
    <w:p w:rsidR="00D637E5" w:rsidRPr="00481C45" w:rsidRDefault="00D637E5" w:rsidP="00D637E5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Звіт про виконання Програми заслуховується на сесії міської ради після завершення терміну її дії.</w:t>
      </w:r>
    </w:p>
    <w:p w:rsidR="00D637E5" w:rsidRDefault="00D637E5" w:rsidP="00D637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4F2CC4" w:rsidRPr="004F2CC4" w:rsidRDefault="004F2CC4" w:rsidP="00D637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637E5" w:rsidRPr="004F2CC4" w:rsidRDefault="00D637E5" w:rsidP="00D637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4F2CC4" w:rsidRPr="00AE1C12" w:rsidRDefault="004F2CC4" w:rsidP="004F2CC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AE1C12"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  <w:t>Заступник міського голови,</w:t>
      </w:r>
    </w:p>
    <w:p w:rsidR="00D637E5" w:rsidRPr="00481C45" w:rsidRDefault="004F2CC4" w:rsidP="004F2CC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AE1C12"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  <w:tab/>
      </w:r>
      <w:r w:rsidRPr="00AE1C12"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  <w:t xml:space="preserve">Юрій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  <w:t>ВЕРБИЧ</w:t>
      </w:r>
    </w:p>
    <w:p w:rsidR="00D637E5" w:rsidRDefault="00D637E5" w:rsidP="00D637E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D71316" w:rsidRDefault="00D71316" w:rsidP="00D637E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D71316" w:rsidRPr="00D21DC8" w:rsidRDefault="00D71316" w:rsidP="00D713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Марценюк</w:t>
      </w:r>
      <w:proofErr w:type="spellEnd"/>
      <w:r w:rsidRPr="00D21DC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245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Pr="00D21DC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451</w:t>
      </w:r>
    </w:p>
    <w:p w:rsidR="00D71316" w:rsidRPr="00481C45" w:rsidRDefault="00D71316" w:rsidP="00D637E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D637E5" w:rsidRPr="00481C45" w:rsidRDefault="00D637E5" w:rsidP="00D637E5">
      <w:pPr>
        <w:spacing w:after="16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br w:type="page"/>
      </w:r>
    </w:p>
    <w:p w:rsidR="00D637E5" w:rsidRPr="00481C45" w:rsidRDefault="00D637E5" w:rsidP="00D637E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sectPr w:rsidR="00D637E5" w:rsidRPr="00481C45" w:rsidSect="004F2CC4">
          <w:headerReference w:type="default" r:id="rId9"/>
          <w:headerReference w:type="first" r:id="rId10"/>
          <w:pgSz w:w="11906" w:h="16838" w:code="9"/>
          <w:pgMar w:top="1134" w:right="567" w:bottom="1134" w:left="1985" w:header="709" w:footer="709" w:gutter="0"/>
          <w:pgNumType w:start="2"/>
          <w:cols w:space="708"/>
          <w:titlePg/>
          <w:docGrid w:linePitch="381"/>
        </w:sectPr>
      </w:pPr>
    </w:p>
    <w:p w:rsidR="00D637E5" w:rsidRPr="00481C45" w:rsidRDefault="00D637E5" w:rsidP="00D637E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D637E5" w:rsidRPr="00481C45" w:rsidRDefault="00D637E5" w:rsidP="00D637E5">
      <w:pPr>
        <w:shd w:val="clear" w:color="auto" w:fill="FFFFFF"/>
        <w:suppressAutoHyphens/>
        <w:spacing w:after="0" w:line="240" w:lineRule="auto"/>
        <w:ind w:left="10773" w:right="1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Додаток 1</w:t>
      </w:r>
    </w:p>
    <w:p w:rsidR="00D637E5" w:rsidRPr="00481C45" w:rsidRDefault="00D637E5" w:rsidP="00D637E5">
      <w:pPr>
        <w:shd w:val="clear" w:color="auto" w:fill="FFFFFF"/>
        <w:suppressAutoHyphens/>
        <w:spacing w:after="0" w:line="240" w:lineRule="auto"/>
        <w:ind w:left="10773" w:right="1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 Програми підтримки </w:t>
      </w:r>
    </w:p>
    <w:p w:rsidR="00D637E5" w:rsidRPr="00481C45" w:rsidRDefault="00D637E5" w:rsidP="00D637E5">
      <w:pPr>
        <w:shd w:val="clear" w:color="auto" w:fill="FFFFFF"/>
        <w:suppressAutoHyphens/>
        <w:spacing w:after="0" w:line="240" w:lineRule="auto"/>
        <w:ind w:left="10773" w:right="1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ЛСКАП «</w:t>
      </w:r>
      <w:proofErr w:type="spellStart"/>
      <w:r w:rsidRPr="00481C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Луцькспецкомунтранс</w:t>
      </w:r>
      <w:proofErr w:type="spellEnd"/>
      <w:r w:rsidRPr="00481C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 на 2021 рік</w:t>
      </w:r>
    </w:p>
    <w:p w:rsidR="00D637E5" w:rsidRPr="00481C45" w:rsidRDefault="00D637E5" w:rsidP="00D637E5">
      <w:pPr>
        <w:shd w:val="clear" w:color="auto" w:fill="FFFFFF"/>
        <w:suppressAutoHyphens/>
        <w:spacing w:after="0" w:line="240" w:lineRule="auto"/>
        <w:ind w:right="15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D637E5" w:rsidRPr="00481C45" w:rsidRDefault="00D637E5" w:rsidP="00D637E5">
      <w:pPr>
        <w:shd w:val="clear" w:color="auto" w:fill="FFFFFF"/>
        <w:suppressAutoHyphens/>
        <w:spacing w:after="0" w:line="240" w:lineRule="auto"/>
        <w:ind w:right="15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D637E5" w:rsidRPr="00481C45" w:rsidRDefault="00D637E5" w:rsidP="00D637E5">
      <w:pPr>
        <w:shd w:val="clear" w:color="auto" w:fill="FFFFFF"/>
        <w:suppressAutoHyphens/>
        <w:spacing w:after="0" w:line="240" w:lineRule="auto"/>
        <w:ind w:right="15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D637E5" w:rsidRPr="00481C45" w:rsidRDefault="00D637E5" w:rsidP="00D637E5">
      <w:pPr>
        <w:shd w:val="clear" w:color="auto" w:fill="FFFFFF"/>
        <w:suppressAutoHyphens/>
        <w:spacing w:after="0" w:line="240" w:lineRule="auto"/>
        <w:ind w:right="15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D637E5" w:rsidRPr="00481C4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Програми підтримки</w:t>
      </w: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ЛСКАП «</w:t>
      </w:r>
      <w:proofErr w:type="spellStart"/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Луцькспецкомунтранс</w:t>
      </w:r>
      <w:proofErr w:type="spellEnd"/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»</w:t>
      </w:r>
    </w:p>
    <w:p w:rsidR="00D637E5" w:rsidRPr="00481C4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на 2021 рік</w:t>
      </w:r>
    </w:p>
    <w:p w:rsidR="00D637E5" w:rsidRPr="00481C45" w:rsidRDefault="00D637E5" w:rsidP="00D637E5">
      <w:pPr>
        <w:shd w:val="clear" w:color="auto" w:fill="FFFFFF"/>
        <w:suppressAutoHyphens/>
        <w:spacing w:after="0" w:line="240" w:lineRule="auto"/>
        <w:ind w:right="150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W w:w="14671" w:type="dxa"/>
        <w:tblInd w:w="463" w:type="dxa"/>
        <w:tblLayout w:type="fixed"/>
        <w:tblLook w:val="0000" w:firstRow="0" w:lastRow="0" w:firstColumn="0" w:lastColumn="0" w:noHBand="0" w:noVBand="0"/>
      </w:tblPr>
      <w:tblGrid>
        <w:gridCol w:w="666"/>
        <w:gridCol w:w="7201"/>
        <w:gridCol w:w="3260"/>
        <w:gridCol w:w="3544"/>
      </w:tblGrid>
      <w:tr w:rsidR="00D637E5" w:rsidRPr="00481C45" w:rsidTr="00B0096E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№</w:t>
            </w:r>
          </w:p>
          <w:p w:rsidR="00D637E5" w:rsidRPr="00481C45" w:rsidRDefault="00D637E5" w:rsidP="00B009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П</w:t>
            </w:r>
            <w:r w:rsidRPr="00481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еріод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Загальний обсяг фінансування, тис. грн</w:t>
            </w:r>
          </w:p>
        </w:tc>
      </w:tr>
      <w:tr w:rsidR="00D637E5" w:rsidRPr="00481C45" w:rsidTr="00B0096E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1.</w:t>
            </w:r>
          </w:p>
          <w:p w:rsidR="00D637E5" w:rsidRPr="00481C45" w:rsidRDefault="00D637E5" w:rsidP="00B009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Обсяг фінансових ресурсів, всього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2021 рік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7E5" w:rsidRPr="00481C45" w:rsidRDefault="00EC1422" w:rsidP="00B0096E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EC14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6 000,00</w:t>
            </w:r>
          </w:p>
        </w:tc>
      </w:tr>
      <w:tr w:rsidR="00D637E5" w:rsidRPr="00481C45" w:rsidTr="00B0096E">
        <w:trPr>
          <w:trHeight w:val="579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в тому числі, кошти бюджету </w:t>
            </w:r>
            <w:r w:rsidR="0075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Луцької </w:t>
            </w: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міської територіальної громади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7E5" w:rsidRPr="00481C45" w:rsidRDefault="00D637E5" w:rsidP="00B0096E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481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2021 рік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7E5" w:rsidRPr="00481C45" w:rsidRDefault="00EC1422" w:rsidP="00B0096E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EC14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6 000,00</w:t>
            </w:r>
          </w:p>
        </w:tc>
      </w:tr>
    </w:tbl>
    <w:p w:rsidR="00D637E5" w:rsidRPr="00481C45" w:rsidRDefault="00D637E5" w:rsidP="00D637E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8000"/>
          <w:sz w:val="24"/>
          <w:szCs w:val="24"/>
          <w:lang w:val="uk-UA" w:eastAsia="zh-CN"/>
        </w:rPr>
      </w:pPr>
    </w:p>
    <w:p w:rsidR="00D637E5" w:rsidRPr="00481C45" w:rsidRDefault="00D637E5" w:rsidP="00D637E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:rsidR="00D71316" w:rsidRPr="00D21DC8" w:rsidRDefault="00D71316" w:rsidP="00D713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Марценюк</w:t>
      </w:r>
      <w:proofErr w:type="spellEnd"/>
      <w:r w:rsidRPr="00D21DC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245 451</w:t>
      </w:r>
    </w:p>
    <w:p w:rsidR="00D637E5" w:rsidRPr="00481C45" w:rsidRDefault="00D637E5" w:rsidP="00D637E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D637E5" w:rsidRPr="00481C45" w:rsidRDefault="00D637E5" w:rsidP="00D637E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br w:type="page"/>
      </w:r>
    </w:p>
    <w:p w:rsidR="00D637E5" w:rsidRPr="00BD5C8B" w:rsidRDefault="00D637E5" w:rsidP="00D637E5">
      <w:pPr>
        <w:suppressAutoHyphens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BD5C8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lastRenderedPageBreak/>
        <w:t>Додаток 2</w:t>
      </w:r>
    </w:p>
    <w:p w:rsidR="00D637E5" w:rsidRPr="00481C45" w:rsidRDefault="00D637E5" w:rsidP="00D637E5">
      <w:pPr>
        <w:suppressAutoHyphens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до Програми підтримки</w:t>
      </w:r>
    </w:p>
    <w:p w:rsidR="00D637E5" w:rsidRPr="00481C45" w:rsidRDefault="00D637E5" w:rsidP="00D637E5">
      <w:pPr>
        <w:suppressAutoHyphens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ЛСКАП «</w:t>
      </w:r>
      <w:proofErr w:type="spellStart"/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Луцькспецкомунтранс</w:t>
      </w:r>
      <w:proofErr w:type="spellEnd"/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»</w:t>
      </w:r>
    </w:p>
    <w:p w:rsidR="00D637E5" w:rsidRPr="00481C45" w:rsidRDefault="00D637E5" w:rsidP="00D637E5">
      <w:pPr>
        <w:suppressAutoHyphens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 2021 рік</w:t>
      </w:r>
    </w:p>
    <w:p w:rsidR="00D637E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D637E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Напрями діяльності, завдання та заходи </w:t>
      </w:r>
    </w:p>
    <w:p w:rsidR="00D637E5" w:rsidRPr="00481C4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до Програми підтримки ЛСКАП «</w:t>
      </w:r>
      <w:proofErr w:type="spellStart"/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Луцькспецкомунтранс</w:t>
      </w:r>
      <w:proofErr w:type="spellEnd"/>
      <w:r w:rsidRPr="00481C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» на 2021 рік</w:t>
      </w:r>
    </w:p>
    <w:p w:rsidR="00D637E5" w:rsidRPr="00481C45" w:rsidRDefault="00D637E5" w:rsidP="00D63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</w:p>
    <w:tbl>
      <w:tblPr>
        <w:tblStyle w:val="a6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976"/>
        <w:gridCol w:w="1134"/>
        <w:gridCol w:w="2694"/>
        <w:gridCol w:w="1417"/>
        <w:gridCol w:w="1843"/>
        <w:gridCol w:w="2126"/>
      </w:tblGrid>
      <w:tr w:rsidR="00D637E5" w:rsidRPr="00B818FB" w:rsidTr="00B0096E">
        <w:tc>
          <w:tcPr>
            <w:tcW w:w="675" w:type="dxa"/>
            <w:vAlign w:val="center"/>
          </w:tcPr>
          <w:p w:rsidR="00D637E5" w:rsidRPr="00C47A0E" w:rsidRDefault="00D637E5" w:rsidP="00B009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2694" w:type="dxa"/>
            <w:vAlign w:val="center"/>
          </w:tcPr>
          <w:p w:rsidR="00D637E5" w:rsidRPr="00C47A0E" w:rsidRDefault="00D637E5" w:rsidP="00B009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Напрям діяльності (пріоритетні завдання)</w:t>
            </w:r>
          </w:p>
        </w:tc>
        <w:tc>
          <w:tcPr>
            <w:tcW w:w="2976" w:type="dxa"/>
            <w:vAlign w:val="center"/>
          </w:tcPr>
          <w:p w:rsidR="00D637E5" w:rsidRPr="00C47A0E" w:rsidRDefault="00D637E5" w:rsidP="00B0096E">
            <w:pPr>
              <w:suppressAutoHyphens/>
              <w:ind w:left="-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Перелік заходів Програми</w:t>
            </w:r>
          </w:p>
        </w:tc>
        <w:tc>
          <w:tcPr>
            <w:tcW w:w="1134" w:type="dxa"/>
            <w:vAlign w:val="center"/>
          </w:tcPr>
          <w:p w:rsidR="00D637E5" w:rsidRPr="00C47A0E" w:rsidRDefault="00D637E5" w:rsidP="00C47A0E">
            <w:pPr>
              <w:suppressAutoHyphens/>
              <w:ind w:hanging="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Термін вико</w:t>
            </w:r>
            <w:r w:rsidR="00C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-</w:t>
            </w:r>
            <w:proofErr w:type="spellStart"/>
            <w:r w:rsidRPr="00C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нання</w:t>
            </w:r>
            <w:proofErr w:type="spellEnd"/>
            <w:r w:rsidRPr="00C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заходу</w:t>
            </w:r>
          </w:p>
        </w:tc>
        <w:tc>
          <w:tcPr>
            <w:tcW w:w="2694" w:type="dxa"/>
            <w:vAlign w:val="center"/>
          </w:tcPr>
          <w:p w:rsidR="00D637E5" w:rsidRPr="00C47A0E" w:rsidRDefault="00D637E5" w:rsidP="00B009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Виконавці</w:t>
            </w:r>
          </w:p>
        </w:tc>
        <w:tc>
          <w:tcPr>
            <w:tcW w:w="1417" w:type="dxa"/>
            <w:vAlign w:val="center"/>
          </w:tcPr>
          <w:p w:rsidR="00D637E5" w:rsidRPr="00C47A0E" w:rsidRDefault="00C47A0E" w:rsidP="00B009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Джерела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фінансу-ва</w:t>
            </w:r>
            <w:r w:rsidR="00D637E5" w:rsidRPr="00C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ння</w:t>
            </w:r>
            <w:proofErr w:type="spellEnd"/>
          </w:p>
        </w:tc>
        <w:tc>
          <w:tcPr>
            <w:tcW w:w="1843" w:type="dxa"/>
            <w:vAlign w:val="center"/>
          </w:tcPr>
          <w:p w:rsidR="00D637E5" w:rsidRPr="00C47A0E" w:rsidRDefault="00D637E5" w:rsidP="00C47A0E">
            <w:pPr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Орієнтовні обсяги фінансування, тис. грн</w:t>
            </w:r>
          </w:p>
        </w:tc>
        <w:tc>
          <w:tcPr>
            <w:tcW w:w="2126" w:type="dxa"/>
            <w:vAlign w:val="center"/>
          </w:tcPr>
          <w:p w:rsidR="00D637E5" w:rsidRPr="00C47A0E" w:rsidRDefault="00D637E5" w:rsidP="00B009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Очікуваний результат, обґрунтування</w:t>
            </w:r>
          </w:p>
        </w:tc>
      </w:tr>
      <w:tr w:rsidR="000B6F0C" w:rsidRPr="00B818FB" w:rsidTr="000B6F0C">
        <w:trPr>
          <w:trHeight w:val="1398"/>
        </w:trPr>
        <w:tc>
          <w:tcPr>
            <w:tcW w:w="675" w:type="dxa"/>
            <w:vMerge w:val="restart"/>
            <w:vAlign w:val="center"/>
          </w:tcPr>
          <w:p w:rsidR="000B6F0C" w:rsidRPr="00C47A0E" w:rsidRDefault="000B6F0C" w:rsidP="00B0096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2694" w:type="dxa"/>
            <w:vMerge w:val="restart"/>
            <w:vAlign w:val="center"/>
          </w:tcPr>
          <w:p w:rsidR="000B6F0C" w:rsidRPr="00C47A0E" w:rsidRDefault="000B6F0C" w:rsidP="00B0096E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Покращення матеріально-технічної бази підприємства</w:t>
            </w:r>
          </w:p>
        </w:tc>
        <w:tc>
          <w:tcPr>
            <w:tcW w:w="2976" w:type="dxa"/>
            <w:vAlign w:val="center"/>
          </w:tcPr>
          <w:p w:rsidR="000B6F0C" w:rsidRPr="00C47A0E" w:rsidRDefault="000B6F0C" w:rsidP="00C47A0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 сміттєвоз</w:t>
            </w:r>
            <w:r w:rsidR="00C47A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и</w:t>
            </w:r>
          </w:p>
        </w:tc>
        <w:tc>
          <w:tcPr>
            <w:tcW w:w="1134" w:type="dxa"/>
            <w:vMerge w:val="restart"/>
            <w:vAlign w:val="center"/>
          </w:tcPr>
          <w:p w:rsidR="000B6F0C" w:rsidRPr="00C47A0E" w:rsidRDefault="000B6F0C" w:rsidP="00B0096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2021 рік</w:t>
            </w:r>
          </w:p>
        </w:tc>
        <w:tc>
          <w:tcPr>
            <w:tcW w:w="2694" w:type="dxa"/>
            <w:vMerge w:val="restart"/>
            <w:vAlign w:val="center"/>
          </w:tcPr>
          <w:p w:rsidR="000B6F0C" w:rsidRPr="00C47A0E" w:rsidRDefault="000B6F0C" w:rsidP="00B0096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ЛСКАП «</w:t>
            </w:r>
            <w:proofErr w:type="spellStart"/>
            <w:r w:rsidRPr="00C47A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Луцькспецкомун</w:t>
            </w:r>
            <w:proofErr w:type="spellEnd"/>
            <w:r w:rsidR="00C47A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-</w:t>
            </w:r>
            <w:r w:rsidRPr="00C47A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транс»</w:t>
            </w:r>
          </w:p>
        </w:tc>
        <w:tc>
          <w:tcPr>
            <w:tcW w:w="1417" w:type="dxa"/>
            <w:vMerge w:val="restart"/>
            <w:vAlign w:val="center"/>
          </w:tcPr>
          <w:p w:rsidR="000B6F0C" w:rsidRPr="00C47A0E" w:rsidRDefault="000B6F0C" w:rsidP="00B0096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 xml:space="preserve">Бюджет </w:t>
            </w:r>
            <w:r w:rsidR="00754DD6" w:rsidRPr="00C47A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 xml:space="preserve">Луцької </w:t>
            </w:r>
            <w:r w:rsidRPr="00C47A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міської територіальної громади</w:t>
            </w:r>
          </w:p>
        </w:tc>
        <w:tc>
          <w:tcPr>
            <w:tcW w:w="1843" w:type="dxa"/>
            <w:vAlign w:val="center"/>
          </w:tcPr>
          <w:p w:rsidR="000B6F0C" w:rsidRPr="00C47A0E" w:rsidRDefault="00AE1C12" w:rsidP="00B0096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4 000,00</w:t>
            </w:r>
          </w:p>
        </w:tc>
        <w:tc>
          <w:tcPr>
            <w:tcW w:w="2126" w:type="dxa"/>
            <w:vMerge w:val="restart"/>
            <w:vAlign w:val="center"/>
          </w:tcPr>
          <w:p w:rsidR="000B6F0C" w:rsidRPr="00C47A0E" w:rsidRDefault="000B6F0C" w:rsidP="00B0096E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Підвищення якості надання послуг, зменшення витрат на ремонт техніки, паливно-мастильні матеріали, зменшення викидів СО</w:t>
            </w:r>
            <w:r w:rsidRPr="00C47A0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val="uk-UA" w:eastAsia="zh-CN"/>
              </w:rPr>
              <w:t>2</w:t>
            </w:r>
          </w:p>
        </w:tc>
      </w:tr>
      <w:tr w:rsidR="000B6F0C" w:rsidRPr="00B818FB" w:rsidTr="000B6F0C">
        <w:trPr>
          <w:trHeight w:val="1398"/>
        </w:trPr>
        <w:tc>
          <w:tcPr>
            <w:tcW w:w="675" w:type="dxa"/>
            <w:vMerge/>
            <w:vAlign w:val="center"/>
          </w:tcPr>
          <w:p w:rsidR="000B6F0C" w:rsidRPr="00C47A0E" w:rsidRDefault="000B6F0C" w:rsidP="00B0096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694" w:type="dxa"/>
            <w:vMerge/>
            <w:vAlign w:val="center"/>
          </w:tcPr>
          <w:p w:rsidR="000B6F0C" w:rsidRPr="00C47A0E" w:rsidRDefault="000B6F0C" w:rsidP="00B0096E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976" w:type="dxa"/>
            <w:vAlign w:val="center"/>
          </w:tcPr>
          <w:p w:rsidR="000B6F0C" w:rsidRPr="00C47A0E" w:rsidRDefault="000B6F0C" w:rsidP="000B6F0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Багатофункціональний транспортний засіб із краном-маніпулятором</w:t>
            </w:r>
          </w:p>
        </w:tc>
        <w:tc>
          <w:tcPr>
            <w:tcW w:w="1134" w:type="dxa"/>
            <w:vMerge/>
            <w:vAlign w:val="center"/>
          </w:tcPr>
          <w:p w:rsidR="000B6F0C" w:rsidRPr="00C47A0E" w:rsidRDefault="000B6F0C" w:rsidP="00B0096E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694" w:type="dxa"/>
            <w:vMerge/>
            <w:vAlign w:val="center"/>
          </w:tcPr>
          <w:p w:rsidR="000B6F0C" w:rsidRPr="00C47A0E" w:rsidRDefault="000B6F0C" w:rsidP="00B0096E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0B6F0C" w:rsidRPr="00C47A0E" w:rsidRDefault="000B6F0C" w:rsidP="00B0096E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Align w:val="center"/>
          </w:tcPr>
          <w:p w:rsidR="000B6F0C" w:rsidRPr="00C47A0E" w:rsidRDefault="0050039A" w:rsidP="00B0096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2 000,00</w:t>
            </w:r>
          </w:p>
        </w:tc>
        <w:tc>
          <w:tcPr>
            <w:tcW w:w="2126" w:type="dxa"/>
            <w:vMerge/>
            <w:vAlign w:val="center"/>
          </w:tcPr>
          <w:p w:rsidR="000B6F0C" w:rsidRPr="00C47A0E" w:rsidRDefault="000B6F0C" w:rsidP="00B0096E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</w:tr>
      <w:tr w:rsidR="00D637E5" w:rsidRPr="00B818FB" w:rsidTr="00831457">
        <w:trPr>
          <w:trHeight w:val="578"/>
        </w:trPr>
        <w:tc>
          <w:tcPr>
            <w:tcW w:w="11590" w:type="dxa"/>
            <w:gridSpan w:val="6"/>
            <w:vAlign w:val="center"/>
          </w:tcPr>
          <w:p w:rsidR="00D637E5" w:rsidRPr="00C47A0E" w:rsidRDefault="00D637E5" w:rsidP="00B0096E">
            <w:pPr>
              <w:suppressAutoHyphens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РАЗОМ:</w:t>
            </w:r>
          </w:p>
        </w:tc>
        <w:tc>
          <w:tcPr>
            <w:tcW w:w="3969" w:type="dxa"/>
            <w:gridSpan w:val="2"/>
            <w:vAlign w:val="center"/>
          </w:tcPr>
          <w:p w:rsidR="00D637E5" w:rsidRPr="00C47A0E" w:rsidRDefault="00AE1C12" w:rsidP="00B0096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C47A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6 000,00</w:t>
            </w:r>
          </w:p>
        </w:tc>
      </w:tr>
    </w:tbl>
    <w:p w:rsidR="00D637E5" w:rsidRPr="00481C45" w:rsidRDefault="00D637E5" w:rsidP="00D637E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637E5" w:rsidRPr="00481C45" w:rsidRDefault="00D637E5" w:rsidP="00D637E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71316" w:rsidRPr="00D21DC8" w:rsidRDefault="00D71316" w:rsidP="00D713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Марценюк</w:t>
      </w:r>
      <w:proofErr w:type="spellEnd"/>
      <w:r w:rsidRPr="00D21DC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245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Pr="00D21DC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451</w:t>
      </w:r>
    </w:p>
    <w:p w:rsidR="00D637E5" w:rsidRPr="00481C45" w:rsidRDefault="00D637E5" w:rsidP="00D637E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637E5" w:rsidRPr="00481C45" w:rsidRDefault="00D637E5" w:rsidP="00D637E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AB745D" w:rsidRDefault="00AB745D"/>
    <w:sectPr w:rsidR="00AB745D" w:rsidSect="00C47A0E">
      <w:pgSz w:w="16838" w:h="11906" w:orient="landscape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617" w:rsidRDefault="007E4617">
      <w:pPr>
        <w:spacing w:after="0" w:line="240" w:lineRule="auto"/>
      </w:pPr>
      <w:r>
        <w:separator/>
      </w:r>
    </w:p>
  </w:endnote>
  <w:endnote w:type="continuationSeparator" w:id="0">
    <w:p w:rsidR="007E4617" w:rsidRDefault="007E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617" w:rsidRDefault="007E4617">
      <w:pPr>
        <w:spacing w:after="0" w:line="240" w:lineRule="auto"/>
      </w:pPr>
      <w:r>
        <w:separator/>
      </w:r>
    </w:p>
  </w:footnote>
  <w:footnote w:type="continuationSeparator" w:id="0">
    <w:p w:rsidR="007E4617" w:rsidRDefault="007E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992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752F" w:rsidRPr="004F2CC4" w:rsidRDefault="00D7131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2C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2C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2C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27C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F2C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752F" w:rsidRDefault="007E46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458893"/>
      <w:docPartObj>
        <w:docPartGallery w:val="Page Numbers (Top of Page)"/>
        <w:docPartUnique/>
      </w:docPartObj>
    </w:sdtPr>
    <w:sdtEndPr/>
    <w:sdtContent>
      <w:p w:rsidR="004F2CC4" w:rsidRDefault="004F2CC4">
        <w:pPr>
          <w:pStyle w:val="a4"/>
          <w:jc w:val="center"/>
        </w:pPr>
        <w:r w:rsidRPr="004F2C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2C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2C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27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F2C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F2CC4" w:rsidRDefault="004F2C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06D5"/>
    <w:multiLevelType w:val="hybridMultilevel"/>
    <w:tmpl w:val="9EEA0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F54A4"/>
    <w:multiLevelType w:val="hybridMultilevel"/>
    <w:tmpl w:val="AB30F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44B47"/>
    <w:multiLevelType w:val="hybridMultilevel"/>
    <w:tmpl w:val="69426B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E5"/>
    <w:rsid w:val="0000298F"/>
    <w:rsid w:val="000B6F0C"/>
    <w:rsid w:val="0010153D"/>
    <w:rsid w:val="002A27C1"/>
    <w:rsid w:val="002F3909"/>
    <w:rsid w:val="00376A32"/>
    <w:rsid w:val="004F2CC4"/>
    <w:rsid w:val="0050039A"/>
    <w:rsid w:val="005C0398"/>
    <w:rsid w:val="006755CF"/>
    <w:rsid w:val="0073767F"/>
    <w:rsid w:val="00754DD6"/>
    <w:rsid w:val="007E4617"/>
    <w:rsid w:val="008131BB"/>
    <w:rsid w:val="00831457"/>
    <w:rsid w:val="00A8740B"/>
    <w:rsid w:val="00AB745D"/>
    <w:rsid w:val="00AE1C12"/>
    <w:rsid w:val="00BB459D"/>
    <w:rsid w:val="00C47A0E"/>
    <w:rsid w:val="00C906BB"/>
    <w:rsid w:val="00D637E5"/>
    <w:rsid w:val="00D71316"/>
    <w:rsid w:val="00EC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E5"/>
  </w:style>
  <w:style w:type="paragraph" w:styleId="1">
    <w:name w:val="heading 1"/>
    <w:basedOn w:val="a"/>
    <w:next w:val="a"/>
    <w:link w:val="10"/>
    <w:uiPriority w:val="9"/>
    <w:qFormat/>
    <w:rsid w:val="005C03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3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7E5"/>
  </w:style>
  <w:style w:type="table" w:styleId="a6">
    <w:name w:val="Table Grid"/>
    <w:basedOn w:val="a1"/>
    <w:uiPriority w:val="59"/>
    <w:rsid w:val="00D63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0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4F2C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E5"/>
  </w:style>
  <w:style w:type="paragraph" w:styleId="1">
    <w:name w:val="heading 1"/>
    <w:basedOn w:val="a"/>
    <w:next w:val="a"/>
    <w:link w:val="10"/>
    <w:uiPriority w:val="9"/>
    <w:qFormat/>
    <w:rsid w:val="005C03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3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7E5"/>
  </w:style>
  <w:style w:type="table" w:styleId="a6">
    <w:name w:val="Table Grid"/>
    <w:basedOn w:val="a1"/>
    <w:uiPriority w:val="59"/>
    <w:rsid w:val="00D63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0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4F2C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48CE-9855-4F3D-9FFA-DD123E27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3437</Words>
  <Characters>1960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6</cp:revision>
  <dcterms:created xsi:type="dcterms:W3CDTF">2021-01-28T11:34:00Z</dcterms:created>
  <dcterms:modified xsi:type="dcterms:W3CDTF">2021-01-28T16:34:00Z</dcterms:modified>
</cp:coreProperties>
</file>