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media/image9.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Fonts w:cs="Times New Roman" w:ascii="Times New Roman" w:hAnsi="Times New Roman"/>
          <w:b/>
          <w:bCs/>
          <w:caps/>
          <w:color w:val="000000"/>
          <w:spacing w:val="1"/>
          <w:sz w:val="27"/>
          <w:szCs w:val="27"/>
        </w:rPr>
        <w:t>ІНФОРМАЦІЯ ПРО ВИКОНАННЯ ПРОГРАМИ</w:t>
      </w:r>
    </w:p>
    <w:p>
      <w:pPr>
        <w:pStyle w:val="Normal"/>
        <w:jc w:val="center"/>
        <w:rPr/>
      </w:pPr>
      <w:r>
        <w:rPr>
          <w:rFonts w:cs="Times New Roman" w:ascii="Times New Roman" w:hAnsi="Times New Roman"/>
          <w:b/>
          <w:bCs/>
          <w:caps/>
          <w:color w:val="000000"/>
          <w:spacing w:val="1"/>
          <w:sz w:val="27"/>
          <w:szCs w:val="27"/>
        </w:rPr>
        <w:t xml:space="preserve">ЕКОНОМІЧНОГО І СОЦІАЛЬНОГО РОЗВИТКУ Луцької міської територіальної громади </w:t>
      </w:r>
      <w:r>
        <w:rPr>
          <w:rFonts w:cs="Times New Roman" w:ascii="Times New Roman" w:hAnsi="Times New Roman"/>
          <w:b/>
          <w:bCs/>
          <w:caps/>
          <w:color w:val="000000"/>
          <w:spacing w:val="1"/>
          <w:sz w:val="27"/>
          <w:szCs w:val="27"/>
        </w:rPr>
        <w:t>за</w:t>
      </w:r>
      <w:r>
        <w:rPr>
          <w:rFonts w:cs="Times New Roman" w:ascii="Times New Roman" w:hAnsi="Times New Roman"/>
          <w:b/>
          <w:bCs/>
          <w:caps/>
          <w:color w:val="000000"/>
          <w:spacing w:val="1"/>
          <w:sz w:val="27"/>
          <w:szCs w:val="27"/>
        </w:rPr>
        <w:t xml:space="preserve"> 2020 рік </w:t>
      </w:r>
    </w:p>
    <w:p>
      <w:pPr>
        <w:pStyle w:val="Normal"/>
        <w:jc w:val="center"/>
        <w:rPr>
          <w:rFonts w:ascii="Times New Roman" w:hAnsi="Times New Roman" w:cs="Times New Roman"/>
          <w:b/>
          <w:b/>
          <w:bCs/>
          <w:caps/>
          <w:color w:val="000000"/>
          <w:spacing w:val="1"/>
          <w:sz w:val="27"/>
          <w:szCs w:val="27"/>
        </w:rPr>
      </w:pPr>
      <w:r>
        <w:rPr>
          <w:rFonts w:cs="Times New Roman" w:ascii="Times New Roman" w:hAnsi="Times New Roman"/>
          <w:b/>
          <w:bCs/>
          <w:caps/>
          <w:color w:val="000000"/>
          <w:spacing w:val="1"/>
          <w:sz w:val="27"/>
          <w:szCs w:val="27"/>
        </w:rPr>
      </w:r>
    </w:p>
    <w:p>
      <w:pPr>
        <w:pStyle w:val="Normal"/>
        <w:jc w:val="center"/>
        <w:rPr/>
      </w:pPr>
      <w:r>
        <w:rPr>
          <w:rStyle w:val="23"/>
          <w:rFonts w:cs="Times New Roman" w:ascii="Times New Roman" w:hAnsi="Times New Roman"/>
          <w:b/>
          <w:bCs/>
          <w:color w:val="000000"/>
          <w:spacing w:val="1"/>
          <w:sz w:val="27"/>
          <w:szCs w:val="27"/>
        </w:rPr>
        <w:t>І. </w:t>
      </w:r>
      <w:r>
        <w:rPr>
          <w:rStyle w:val="23"/>
          <w:rFonts w:cs="Times New Roman" w:ascii="Times New Roman" w:hAnsi="Times New Roman"/>
          <w:b/>
          <w:bCs/>
          <w:caps/>
          <w:color w:val="000000"/>
          <w:spacing w:val="1"/>
          <w:sz w:val="27"/>
          <w:szCs w:val="27"/>
        </w:rPr>
        <w:t xml:space="preserve">Короткі підсумки економічного І соціального розвитку </w:t>
      </w:r>
    </w:p>
    <w:p>
      <w:pPr>
        <w:pStyle w:val="Normal"/>
        <w:jc w:val="center"/>
        <w:rPr>
          <w:rStyle w:val="23"/>
          <w:rFonts w:ascii="Times New Roman" w:hAnsi="Times New Roman" w:cs="Times New Roman"/>
          <w:b/>
          <w:b/>
          <w:bCs/>
          <w:caps/>
          <w:color w:val="000000"/>
          <w:spacing w:val="1"/>
          <w:sz w:val="27"/>
          <w:szCs w:val="27"/>
        </w:rPr>
      </w:pPr>
      <w:r>
        <w:rPr>
          <w:rFonts w:cs="Times New Roman" w:ascii="Times New Roman" w:hAnsi="Times New Roman"/>
          <w:b/>
          <w:bCs/>
          <w:caps/>
          <w:color w:val="000000"/>
          <w:spacing w:val="1"/>
          <w:sz w:val="27"/>
          <w:szCs w:val="27"/>
        </w:rPr>
      </w:r>
    </w:p>
    <w:p>
      <w:pPr>
        <w:pStyle w:val="Normal"/>
        <w:ind w:firstLine="567"/>
        <w:jc w:val="both"/>
        <w:rPr/>
      </w:pPr>
      <w:bookmarkStart w:id="0" w:name="__DdeLink__251_2456509991"/>
      <w:r>
        <w:rPr>
          <w:rFonts w:cs="Times New Roman" w:ascii="Times New Roman" w:hAnsi="Times New Roman"/>
          <w:color w:val="000000"/>
          <w:sz w:val="27"/>
          <w:szCs w:val="27"/>
        </w:rPr>
        <w:t xml:space="preserve">За даними головного управління статистики у Волинській області  </w:t>
      </w:r>
      <w:r>
        <w:rPr>
          <w:rFonts w:cs="Times New Roman" w:ascii="Times New Roman" w:hAnsi="Times New Roman"/>
          <w:b/>
          <w:bCs/>
          <w:color w:val="000000"/>
          <w:sz w:val="27"/>
          <w:szCs w:val="27"/>
        </w:rPr>
        <w:t>чисельність наявного населення</w:t>
      </w:r>
      <w:r>
        <w:rPr>
          <w:rFonts w:cs="Times New Roman" w:ascii="Times New Roman" w:hAnsi="Times New Roman"/>
          <w:bCs/>
          <w:color w:val="000000"/>
          <w:sz w:val="27"/>
          <w:szCs w:val="27"/>
        </w:rPr>
        <w:t xml:space="preserve"> міста Луцька на 1 грудня 2020  року становила 217,3 тис. осіб</w:t>
      </w:r>
      <w:r>
        <w:rPr>
          <w:rFonts w:cs="Times New Roman" w:ascii="Times New Roman" w:hAnsi="Times New Roman"/>
          <w:bCs/>
          <w:i/>
          <w:iCs/>
          <w:color w:val="000000"/>
          <w:sz w:val="27"/>
          <w:szCs w:val="27"/>
        </w:rPr>
        <w:t>.</w:t>
      </w:r>
      <w:bookmarkEnd w:id="0"/>
      <w:r>
        <w:rPr>
          <w:rFonts w:cs="Times New Roman" w:ascii="Times New Roman" w:hAnsi="Times New Roman"/>
          <w:bCs/>
          <w:color w:val="000000"/>
          <w:sz w:val="27"/>
          <w:szCs w:val="27"/>
        </w:rPr>
        <w:t xml:space="preserve"> </w:t>
      </w:r>
      <w:r>
        <w:rPr>
          <w:rStyle w:val="23"/>
          <w:rFonts w:cs="Times New Roman" w:ascii="Times New Roman" w:hAnsi="Times New Roman"/>
          <w:bCs/>
          <w:color w:val="000000"/>
          <w:sz w:val="27"/>
          <w:szCs w:val="27"/>
        </w:rPr>
        <w:t xml:space="preserve">Природний рух населення характеризувався перевищенням кількості померлих над живонародженими: на 100 померлих – 91 живонароджений. У місті народилося 1 459 дітей, померло 1 611 осіб. Внаслідок міграційних переміщень кількість прибулих до обласного центру перевищила кількість вибулих на 316 осіб (прибулих – 2 026 осіб, вибулих – 1 710). </w:t>
      </w:r>
    </w:p>
    <w:p>
      <w:pPr>
        <w:pStyle w:val="Normal"/>
        <w:ind w:firstLine="567"/>
        <w:jc w:val="both"/>
        <w:rPr>
          <w:sz w:val="27"/>
          <w:szCs w:val="27"/>
        </w:rPr>
      </w:pPr>
      <w:r>
        <w:rPr>
          <w:sz w:val="27"/>
          <w:szCs w:val="27"/>
        </w:rPr>
      </w:r>
    </w:p>
    <w:p>
      <w:pPr>
        <w:pStyle w:val="Normal"/>
        <w:ind w:firstLine="567"/>
        <w:jc w:val="both"/>
        <w:rPr/>
      </w:pPr>
      <w:r>
        <w:rPr>
          <w:rFonts w:cs="Times New Roman" w:ascii="Times New Roman" w:hAnsi="Times New Roman"/>
          <w:b/>
          <w:bCs/>
          <w:sz w:val="27"/>
          <w:szCs w:val="27"/>
        </w:rPr>
        <w:t xml:space="preserve">Розмір середньомісячної номінальної заробітної плати </w:t>
      </w:r>
      <w:r>
        <w:rPr>
          <w:rFonts w:cs="Times New Roman" w:ascii="Times New Roman" w:hAnsi="Times New Roman"/>
          <w:sz w:val="27"/>
          <w:szCs w:val="27"/>
        </w:rPr>
        <w:t>штатного працівника склав 9 670 грн, що в 1,9 рази вище рівня законодавчо встановленої мінімальної заробітної плати (5 000 грн). За рівнем заробітної плати Луцьк займає четверте місце в області після Луцького району (11 927 грн), м. Нововолинська (10 46</w:t>
      </w:r>
      <w:r>
        <w:rPr>
          <w:rFonts w:cs="Times New Roman" w:ascii="Times New Roman" w:hAnsi="Times New Roman"/>
          <w:sz w:val="27"/>
          <w:szCs w:val="27"/>
          <w:lang w:val="ru-RU"/>
        </w:rPr>
        <w:t xml:space="preserve">0 </w:t>
      </w:r>
      <w:r>
        <w:rPr>
          <w:rFonts w:cs="Times New Roman" w:ascii="Times New Roman" w:hAnsi="Times New Roman"/>
          <w:sz w:val="27"/>
          <w:szCs w:val="27"/>
        </w:rPr>
        <w:t xml:space="preserve">грн) та Ківерцівського району (9 806 грн). </w:t>
      </w:r>
    </w:p>
    <w:p>
      <w:pPr>
        <w:pStyle w:val="Normal"/>
        <w:ind w:firstLine="567"/>
        <w:jc w:val="both"/>
        <w:rPr/>
      </w:pPr>
      <w:r>
        <w:rPr>
          <w:rFonts w:cs="Times New Roman" w:ascii="Times New Roman" w:hAnsi="Times New Roman"/>
          <w:sz w:val="27"/>
          <w:szCs w:val="27"/>
        </w:rPr>
        <w:t xml:space="preserve">Заборгованість із виплати заробітної плати станом на 1 грудня 2020 року склала 21,9 млн грн (за видами діяльності 82,4 % заборгованості – на підприємствах промисловості, 10,9 % – у сфері адміністративного та допоміжного </w:t>
      </w:r>
      <w:r>
        <w:rPr>
          <w:rFonts w:cs="Times New Roman" w:ascii="Times New Roman" w:hAnsi="Times New Roman"/>
          <w:sz w:val="27"/>
          <w:szCs w:val="27"/>
          <w:highlight w:val="white"/>
        </w:rPr>
        <w:t xml:space="preserve">обслуговування). </w:t>
      </w:r>
    </w:p>
    <w:p>
      <w:pPr>
        <w:pStyle w:val="Normal"/>
        <w:ind w:firstLine="567"/>
        <w:jc w:val="both"/>
        <w:rPr/>
      </w:pPr>
      <w:r>
        <w:rPr>
          <w:rFonts w:cs="Times New Roman" w:ascii="Times New Roman" w:hAnsi="Times New Roman"/>
          <w:b/>
          <w:bCs/>
          <w:sz w:val="27"/>
          <w:szCs w:val="27"/>
        </w:rPr>
        <w:t xml:space="preserve">Середньооблікова кількість штатних працівників </w:t>
      </w:r>
      <w:r>
        <w:rPr>
          <w:rFonts w:cs="Times New Roman" w:ascii="Times New Roman" w:hAnsi="Times New Roman"/>
          <w:sz w:val="27"/>
          <w:szCs w:val="27"/>
        </w:rPr>
        <w:t>підприємств, установ та організацій міста за дев'ять місяців 2020 року склала 68,7 тис. осіб (44 % працівників області), що на 4,2 % більше, ніж у відповідному періоді 2019 року.</w:t>
      </w:r>
    </w:p>
    <w:p>
      <w:pPr>
        <w:pStyle w:val="Normal"/>
        <w:ind w:firstLine="567"/>
        <w:jc w:val="both"/>
        <w:rPr/>
      </w:pPr>
      <w:r>
        <w:rPr>
          <w:rFonts w:cs="Times New Roman" w:ascii="Times New Roman" w:hAnsi="Times New Roman"/>
          <w:sz w:val="27"/>
          <w:szCs w:val="27"/>
        </w:rPr>
        <w:t xml:space="preserve">Протягом 2020 року послугами Луцького міського центру зайнятості скористалося 16 546 осіб. Тимчасове зупинення роботи (закриття) суб’єктів малого і середнього бізнесу вплинуло на </w:t>
      </w:r>
      <w:r>
        <w:rPr>
          <w:rFonts w:cs="Times New Roman" w:ascii="Times New Roman" w:hAnsi="Times New Roman"/>
          <w:b/>
          <w:bCs/>
          <w:sz w:val="27"/>
          <w:szCs w:val="27"/>
        </w:rPr>
        <w:t>збільшення кількості безробітних</w:t>
      </w:r>
      <w:r>
        <w:rPr>
          <w:rFonts w:cs="Times New Roman" w:ascii="Times New Roman" w:hAnsi="Times New Roman"/>
          <w:sz w:val="27"/>
          <w:szCs w:val="27"/>
        </w:rPr>
        <w:t xml:space="preserve"> громадян на 62,0 %: з 3950 осіб у 2019 році до 6392 осіб за 2020 рік.</w:t>
      </w:r>
    </w:p>
    <w:p>
      <w:pPr>
        <w:pStyle w:val="Normal"/>
        <w:ind w:firstLine="567"/>
        <w:jc w:val="both"/>
        <w:rPr/>
      </w:pPr>
      <w:r>
        <w:rPr>
          <w:rFonts w:cs="Times New Roman" w:ascii="Times New Roman" w:hAnsi="Times New Roman"/>
          <w:sz w:val="27"/>
          <w:szCs w:val="27"/>
        </w:rPr>
        <w:t>Кількість вакансій на ринку праці зменшилась: із 13401 у 2019 року до 6704 у 2020 році. Відповідно зменшилась кількість працевлаштованих безробітних громадян: із 1530 до 1147 осіб.</w:t>
      </w:r>
    </w:p>
    <w:p>
      <w:pPr>
        <w:pStyle w:val="Normal"/>
        <w:ind w:firstLine="567"/>
        <w:jc w:val="both"/>
        <w:rPr/>
      </w:pPr>
      <w:r>
        <w:rPr>
          <w:rStyle w:val="23"/>
          <w:rFonts w:cs="Times New Roman" w:ascii="Times New Roman" w:hAnsi="Times New Roman"/>
          <w:color w:val="000000"/>
          <w:sz w:val="27"/>
          <w:szCs w:val="27"/>
        </w:rPr>
        <w:t xml:space="preserve">Підприємства міста за дев'ять місяців 2020 року </w:t>
      </w:r>
      <w:r>
        <w:rPr>
          <w:rStyle w:val="23"/>
          <w:rFonts w:cs="Times New Roman" w:ascii="Times New Roman" w:hAnsi="Times New Roman"/>
          <w:b/>
          <w:bCs/>
          <w:color w:val="000000"/>
          <w:sz w:val="27"/>
          <w:szCs w:val="27"/>
        </w:rPr>
        <w:t>реалізували промислової продукції</w:t>
      </w:r>
      <w:r>
        <w:rPr>
          <w:rStyle w:val="23"/>
          <w:rFonts w:cs="Times New Roman" w:ascii="Times New Roman" w:hAnsi="Times New Roman"/>
          <w:color w:val="000000"/>
          <w:sz w:val="27"/>
          <w:szCs w:val="27"/>
        </w:rPr>
        <w:t xml:space="preserve"> (товарів, послуг) на 8 745,5 млн грн (прогноз за </w:t>
      </w:r>
      <w:r>
        <w:rPr>
          <w:rStyle w:val="23"/>
          <w:rFonts w:cs="Times New Roman" w:ascii="Times New Roman" w:hAnsi="Times New Roman"/>
          <w:color w:val="000000"/>
          <w:sz w:val="27"/>
          <w:szCs w:val="27"/>
          <w:lang w:val="en-US"/>
        </w:rPr>
        <w:t>IV</w:t>
      </w:r>
      <w:r>
        <w:rPr>
          <w:rStyle w:val="23"/>
          <w:rFonts w:cs="Times New Roman" w:ascii="Times New Roman" w:hAnsi="Times New Roman"/>
          <w:color w:val="000000"/>
          <w:sz w:val="27"/>
          <w:szCs w:val="27"/>
        </w:rPr>
        <w:t xml:space="preserve"> кв. 2 915,2 млн грн). Обсяг реалізованої промислової продукції на одну особу склав 40 283 грн. </w:t>
      </w:r>
    </w:p>
    <w:p>
      <w:pPr>
        <w:pStyle w:val="Normal"/>
        <w:ind w:firstLine="567"/>
        <w:jc w:val="both"/>
        <w:rPr/>
      </w:pPr>
      <w:r>
        <w:rPr>
          <w:rFonts w:cs="Times New Roman" w:ascii="Times New Roman" w:hAnsi="Times New Roman"/>
          <w:sz w:val="27"/>
          <w:szCs w:val="27"/>
        </w:rPr>
        <w:t xml:space="preserve">Обсяг виробленої </w:t>
      </w:r>
      <w:r>
        <w:rPr>
          <w:rFonts w:cs="Times New Roman" w:ascii="Times New Roman" w:hAnsi="Times New Roman"/>
          <w:b/>
          <w:bCs/>
          <w:sz w:val="27"/>
          <w:szCs w:val="27"/>
        </w:rPr>
        <w:t xml:space="preserve">будівельної продукції </w:t>
      </w:r>
      <w:r>
        <w:rPr>
          <w:rFonts w:cs="Times New Roman" w:ascii="Times New Roman" w:hAnsi="Times New Roman"/>
          <w:sz w:val="27"/>
          <w:szCs w:val="27"/>
        </w:rPr>
        <w:t>(виконаних будівельних робіт) підприємствами міста становив 1 013,5 млн грн. На спорудженні інженерних споруд виконано 51,4 % усіх робіт, решта – на будівництві будівель</w:t>
      </w:r>
      <w:r>
        <w:rPr>
          <w:rFonts w:cs="Times New Roman" w:ascii="Times New Roman" w:hAnsi="Times New Roman"/>
          <w:sz w:val="27"/>
          <w:szCs w:val="27"/>
          <w:lang w:val="ru-RU"/>
        </w:rPr>
        <w:t xml:space="preserve"> (</w:t>
      </w:r>
      <w:r>
        <w:rPr>
          <w:rFonts w:cs="Times New Roman" w:ascii="Times New Roman" w:hAnsi="Times New Roman"/>
          <w:color w:val="000000"/>
          <w:sz w:val="27"/>
          <w:szCs w:val="27"/>
          <w:lang w:val="ru-RU"/>
        </w:rPr>
        <w:t>житлового та комерційного призначення)</w:t>
      </w:r>
      <w:r>
        <w:rPr>
          <w:rFonts w:cs="Times New Roman" w:ascii="Times New Roman" w:hAnsi="Times New Roman"/>
          <w:color w:val="000000"/>
          <w:sz w:val="27"/>
          <w:szCs w:val="27"/>
        </w:rPr>
        <w:t xml:space="preserve">. </w:t>
      </w:r>
    </w:p>
    <w:p>
      <w:pPr>
        <w:pStyle w:val="Normal"/>
        <w:ind w:firstLine="567"/>
        <w:jc w:val="both"/>
        <w:rPr/>
      </w:pPr>
      <w:r>
        <w:rPr>
          <w:rFonts w:cs="Times New Roman" w:ascii="Times New Roman" w:hAnsi="Times New Roman"/>
          <w:sz w:val="27"/>
          <w:szCs w:val="27"/>
        </w:rPr>
        <w:t>Майже 60 % загальноміських обсягів виробленої будівельної продукції належало приватному акціонерному підприємству «Луцьксантехмонтаж № 536», ТзОВ «Електросервіс», «Житлобуд-2». Всього за  дев'ять місяців</w:t>
      </w:r>
      <w:r>
        <w:rPr>
          <w:rStyle w:val="23"/>
          <w:rFonts w:cs="Times New Roman" w:ascii="Times New Roman" w:hAnsi="Times New Roman"/>
          <w:color w:val="000000"/>
          <w:sz w:val="27"/>
          <w:szCs w:val="27"/>
        </w:rPr>
        <w:t xml:space="preserve"> 2020 року прийнято в експлуатацію 57 460 м кв. </w:t>
      </w:r>
      <w:r>
        <w:rPr>
          <w:rStyle w:val="23"/>
          <w:rFonts w:cs="Times New Roman" w:ascii="Times New Roman" w:hAnsi="Times New Roman"/>
          <w:b/>
          <w:bCs/>
          <w:color w:val="000000"/>
          <w:sz w:val="27"/>
          <w:szCs w:val="27"/>
        </w:rPr>
        <w:t>загальної площі житлових будівель</w:t>
      </w:r>
      <w:r>
        <w:rPr>
          <w:rStyle w:val="23"/>
          <w:rFonts w:cs="Times New Roman" w:ascii="Times New Roman" w:hAnsi="Times New Roman"/>
          <w:color w:val="000000"/>
          <w:sz w:val="27"/>
          <w:szCs w:val="27"/>
        </w:rPr>
        <w:t>. Будівельники міста забезпечили 71,4 % всього обсягу виробленої будівельної продукції. Прийнято в експлуатацію 57,5 тис. кв. м загальної площі житла.</w:t>
      </w:r>
    </w:p>
    <w:p>
      <w:pPr>
        <w:pStyle w:val="Normal"/>
        <w:ind w:firstLine="567"/>
        <w:jc w:val="both"/>
        <w:rPr/>
      </w:pPr>
      <w:r>
        <w:rPr>
          <w:rFonts w:cs="Times New Roman" w:ascii="Times New Roman" w:hAnsi="Times New Roman"/>
          <w:sz w:val="27"/>
          <w:szCs w:val="27"/>
        </w:rPr>
        <w:t xml:space="preserve">Обсяг </w:t>
      </w:r>
      <w:r>
        <w:rPr>
          <w:rFonts w:cs="Times New Roman" w:ascii="Times New Roman" w:hAnsi="Times New Roman"/>
          <w:b/>
          <w:bCs/>
          <w:sz w:val="27"/>
          <w:szCs w:val="27"/>
        </w:rPr>
        <w:t xml:space="preserve">експорту товарів </w:t>
      </w:r>
      <w:r>
        <w:rPr>
          <w:rFonts w:cs="Times New Roman" w:ascii="Times New Roman" w:hAnsi="Times New Roman"/>
          <w:sz w:val="27"/>
          <w:szCs w:val="27"/>
        </w:rPr>
        <w:t xml:space="preserve">за дев'ять місяців </w:t>
      </w:r>
      <w:r>
        <w:rPr>
          <w:rFonts w:cs="Times New Roman" w:ascii="Times New Roman" w:hAnsi="Times New Roman"/>
          <w:bCs/>
          <w:sz w:val="27"/>
          <w:szCs w:val="27"/>
        </w:rPr>
        <w:t>склав 98,5 </w:t>
      </w:r>
      <w:r>
        <w:rPr>
          <w:rFonts w:cs="Times New Roman" w:ascii="Times New Roman" w:hAnsi="Times New Roman"/>
          <w:sz w:val="27"/>
          <w:szCs w:val="27"/>
        </w:rPr>
        <w:t xml:space="preserve">млн </w:t>
      </w:r>
      <w:r>
        <w:rPr>
          <w:rFonts w:cs="Times New Roman" w:ascii="Times New Roman" w:hAnsi="Times New Roman"/>
          <w:bCs/>
          <w:sz w:val="27"/>
          <w:szCs w:val="27"/>
        </w:rPr>
        <w:t>дол. США (на 21,1 % менше</w:t>
      </w:r>
      <w:r>
        <w:rPr>
          <w:rFonts w:cs="Times New Roman" w:ascii="Times New Roman" w:hAnsi="Times New Roman"/>
          <w:sz w:val="27"/>
          <w:szCs w:val="27"/>
        </w:rPr>
        <w:t xml:space="preserve">, ніж за аналогічний період минулого року), </w:t>
      </w:r>
      <w:r>
        <w:rPr>
          <w:rFonts w:cs="Times New Roman" w:ascii="Times New Roman" w:hAnsi="Times New Roman"/>
          <w:b/>
          <w:bCs/>
          <w:sz w:val="27"/>
          <w:szCs w:val="27"/>
        </w:rPr>
        <w:t>імпорту –</w:t>
      </w:r>
      <w:r>
        <w:rPr>
          <w:rFonts w:cs="Times New Roman" w:ascii="Times New Roman" w:hAnsi="Times New Roman"/>
          <w:sz w:val="27"/>
          <w:szCs w:val="27"/>
        </w:rPr>
        <w:t> 603,4 млн дол. (на</w:t>
      </w:r>
      <w:r>
        <w:rPr>
          <w:rFonts w:cs="Times New Roman" w:ascii="Times New Roman" w:hAnsi="Times New Roman"/>
          <w:bCs/>
          <w:sz w:val="27"/>
          <w:szCs w:val="27"/>
        </w:rPr>
        <w:t xml:space="preserve"> 1,9 % менше)</w:t>
      </w:r>
      <w:r>
        <w:rPr>
          <w:rFonts w:cs="Times New Roman" w:ascii="Times New Roman" w:hAnsi="Times New Roman"/>
          <w:sz w:val="27"/>
          <w:szCs w:val="27"/>
        </w:rPr>
        <w:t>. Від’ємне сальдо дорівнювало 504,9 млн дол.</w:t>
      </w:r>
    </w:p>
    <w:p>
      <w:pPr>
        <w:pStyle w:val="Normal"/>
        <w:ind w:firstLine="567"/>
        <w:jc w:val="both"/>
        <w:rPr/>
      </w:pPr>
      <w:r>
        <w:rPr>
          <w:rFonts w:eastAsia="Calibri" w:cs="Times New Roman" w:ascii="Times New Roman" w:hAnsi="Times New Roman"/>
          <w:color w:val="000000"/>
          <w:sz w:val="27"/>
          <w:szCs w:val="27"/>
        </w:rPr>
        <w:t xml:space="preserve">Зовнішньоторговельні операції здійснювалися із партнерами з 93 країн світу. До країн Європейського Союзу </w:t>
      </w:r>
      <w:r>
        <w:rPr>
          <w:rFonts w:eastAsia="Calibri" w:cs="Times New Roman" w:ascii="Times New Roman" w:hAnsi="Times New Roman"/>
          <w:b/>
          <w:bCs/>
          <w:color w:val="000000"/>
          <w:sz w:val="27"/>
          <w:szCs w:val="27"/>
        </w:rPr>
        <w:t xml:space="preserve">експортовано товарів </w:t>
      </w:r>
      <w:r>
        <w:rPr>
          <w:rFonts w:eastAsia="Calibri" w:cs="Times New Roman" w:ascii="Times New Roman" w:hAnsi="Times New Roman"/>
          <w:color w:val="000000"/>
          <w:sz w:val="27"/>
          <w:szCs w:val="27"/>
        </w:rPr>
        <w:t>на 63,2 млн дол., що на 29,6 % менше, ніж у відповідному періоді 2019 року. Вагомі експортні поставки товарів серед країн-членів ЄС здійснювалися до Німеччини (31,5 млн дол.), Польщі (10,4 млн дол.), Словаччини (3,7 млн дол.). Серед інших країн світу найбільше експортували товарів до Білорусії (9,4 млн дол.), Казахстану (5,6 млн дол.), Туреччини (3,7 млн грн).</w:t>
      </w:r>
    </w:p>
    <w:p>
      <w:pPr>
        <w:pStyle w:val="Normal"/>
        <w:ind w:firstLine="567"/>
        <w:jc w:val="both"/>
        <w:rPr/>
      </w:pPr>
      <w:r>
        <w:rPr>
          <w:rFonts w:eastAsia="Calibri" w:cs="Times New Roman" w:ascii="Times New Roman" w:hAnsi="Times New Roman"/>
          <w:color w:val="000000"/>
          <w:sz w:val="27"/>
          <w:szCs w:val="27"/>
        </w:rPr>
        <w:t>З країн Євросоюзу</w:t>
      </w:r>
      <w:r>
        <w:rPr>
          <w:rFonts w:eastAsia="Calibri" w:cs="Times New Roman" w:ascii="Times New Roman" w:hAnsi="Times New Roman"/>
          <w:b/>
          <w:bCs/>
          <w:color w:val="000000"/>
          <w:sz w:val="27"/>
          <w:szCs w:val="27"/>
        </w:rPr>
        <w:t xml:space="preserve"> надійшло товарів </w:t>
      </w:r>
      <w:r>
        <w:rPr>
          <w:rFonts w:eastAsia="Calibri" w:cs="Times New Roman" w:ascii="Times New Roman" w:hAnsi="Times New Roman"/>
          <w:color w:val="000000"/>
          <w:sz w:val="27"/>
          <w:szCs w:val="27"/>
        </w:rPr>
        <w:t xml:space="preserve">на 382,9 млн дол., що на 34,5 % більше, ніж у </w:t>
      </w:r>
      <w:r>
        <w:rPr>
          <w:rFonts w:eastAsia="Calibri" w:cs="Times New Roman" w:ascii="Times New Roman" w:hAnsi="Times New Roman"/>
          <w:color w:val="000000"/>
          <w:sz w:val="27"/>
          <w:szCs w:val="27"/>
          <w:lang w:val="ru-RU"/>
        </w:rPr>
        <w:t>відповідному періоді</w:t>
      </w:r>
      <w:r>
        <w:rPr>
          <w:rFonts w:eastAsia="Calibri" w:cs="Times New Roman" w:ascii="Times New Roman" w:hAnsi="Times New Roman"/>
          <w:color w:val="000000"/>
          <w:sz w:val="27"/>
          <w:szCs w:val="27"/>
        </w:rPr>
        <w:t xml:space="preserve"> 2019 року і склало 63,5 % загального обсягу. З Білорусії отримано товарів на суму 130,9 млн дол., Польщі – на 92,6 млн дол., Литви–на 75,4</w:t>
      </w:r>
      <w:r>
        <w:rPr>
          <w:rFonts w:eastAsia="Calibri" w:cs="Times New Roman" w:ascii="Times New Roman" w:hAnsi="Times New Roman"/>
          <w:color w:val="000000"/>
          <w:sz w:val="27"/>
          <w:szCs w:val="27"/>
          <w:lang w:val="en-US"/>
        </w:rPr>
        <w:t> </w:t>
      </w:r>
      <w:r>
        <w:rPr>
          <w:rFonts w:eastAsia="Calibri" w:cs="Times New Roman" w:ascii="Times New Roman" w:hAnsi="Times New Roman"/>
          <w:color w:val="000000"/>
          <w:sz w:val="27"/>
          <w:szCs w:val="27"/>
        </w:rPr>
        <w:t>млн</w:t>
      </w:r>
      <w:r>
        <w:rPr>
          <w:rFonts w:eastAsia="Calibri" w:cs="Times New Roman" w:ascii="Times New Roman" w:hAnsi="Times New Roman"/>
          <w:color w:val="000000"/>
          <w:sz w:val="27"/>
          <w:szCs w:val="27"/>
          <w:lang w:val="en-US"/>
        </w:rPr>
        <w:t> </w:t>
      </w:r>
      <w:r>
        <w:rPr>
          <w:rFonts w:eastAsia="Calibri" w:cs="Times New Roman" w:ascii="Times New Roman" w:hAnsi="Times New Roman"/>
          <w:color w:val="000000"/>
          <w:sz w:val="27"/>
          <w:szCs w:val="27"/>
        </w:rPr>
        <w:t>дол., Німеччини</w:t>
      </w:r>
      <w:r>
        <w:rPr>
          <w:rFonts w:eastAsia="Calibri" w:cs="Times New Roman" w:ascii="Times New Roman" w:hAnsi="Times New Roman"/>
          <w:color w:val="000000"/>
          <w:sz w:val="27"/>
          <w:szCs w:val="27"/>
          <w:lang w:val="en-US"/>
        </w:rPr>
        <w:t> </w:t>
      </w:r>
      <w:r>
        <w:rPr>
          <w:rFonts w:eastAsia="Calibri" w:cs="Times New Roman" w:ascii="Times New Roman" w:hAnsi="Times New Roman"/>
          <w:color w:val="000000"/>
          <w:sz w:val="27"/>
          <w:szCs w:val="27"/>
        </w:rPr>
        <w:t>–</w:t>
      </w:r>
      <w:r>
        <w:rPr>
          <w:rFonts w:eastAsia="Calibri" w:cs="Times New Roman" w:ascii="Times New Roman" w:hAnsi="Times New Roman"/>
          <w:color w:val="000000"/>
          <w:sz w:val="27"/>
          <w:szCs w:val="27"/>
          <w:lang w:val="en-US"/>
        </w:rPr>
        <w:t> </w:t>
      </w:r>
      <w:r>
        <w:rPr>
          <w:rFonts w:eastAsia="Calibri" w:cs="Times New Roman" w:ascii="Times New Roman" w:hAnsi="Times New Roman"/>
          <w:color w:val="000000"/>
          <w:sz w:val="27"/>
          <w:szCs w:val="27"/>
        </w:rPr>
        <w:t>на 68,9</w:t>
      </w:r>
      <w:r>
        <w:rPr>
          <w:rFonts w:eastAsia="Calibri" w:cs="Times New Roman" w:ascii="Times New Roman" w:hAnsi="Times New Roman"/>
          <w:color w:val="000000"/>
          <w:sz w:val="27"/>
          <w:szCs w:val="27"/>
          <w:lang w:val="en-US"/>
        </w:rPr>
        <w:t> </w:t>
      </w:r>
      <w:r>
        <w:rPr>
          <w:rFonts w:eastAsia="Calibri" w:cs="Times New Roman" w:ascii="Times New Roman" w:hAnsi="Times New Roman"/>
          <w:color w:val="000000"/>
          <w:sz w:val="27"/>
          <w:szCs w:val="27"/>
        </w:rPr>
        <w:t>млн</w:t>
      </w:r>
      <w:r>
        <w:rPr>
          <w:rFonts w:eastAsia="Calibri" w:cs="Times New Roman" w:ascii="Times New Roman" w:hAnsi="Times New Roman"/>
          <w:color w:val="000000"/>
          <w:sz w:val="27"/>
          <w:szCs w:val="27"/>
          <w:lang w:val="en-US"/>
        </w:rPr>
        <w:t> </w:t>
      </w:r>
      <w:r>
        <w:rPr>
          <w:rFonts w:eastAsia="Calibri" w:cs="Times New Roman" w:ascii="Times New Roman" w:hAnsi="Times New Roman"/>
          <w:color w:val="000000"/>
          <w:sz w:val="27"/>
          <w:szCs w:val="27"/>
        </w:rPr>
        <w:t>дол, Китаю –</w:t>
      </w:r>
      <w:r>
        <w:rPr>
          <w:rFonts w:eastAsia="Calibri" w:cs="Times New Roman" w:ascii="Times New Roman" w:hAnsi="Times New Roman"/>
          <w:color w:val="000000"/>
          <w:sz w:val="27"/>
          <w:szCs w:val="27"/>
          <w:lang w:val="en-US"/>
        </w:rPr>
        <w:t> </w:t>
      </w:r>
      <w:r>
        <w:rPr>
          <w:rFonts w:eastAsia="Calibri" w:cs="Times New Roman" w:ascii="Times New Roman" w:hAnsi="Times New Roman"/>
          <w:color w:val="000000"/>
          <w:sz w:val="27"/>
          <w:szCs w:val="27"/>
        </w:rPr>
        <w:t>на17,8 млн дол.</w:t>
      </w:r>
    </w:p>
    <w:p>
      <w:pPr>
        <w:pStyle w:val="Normal"/>
        <w:ind w:firstLine="567"/>
        <w:jc w:val="both"/>
        <w:rPr/>
      </w:pPr>
      <w:r>
        <w:rPr>
          <w:rFonts w:eastAsia="Calibri" w:cs="Times New Roman" w:ascii="Times New Roman" w:hAnsi="Times New Roman"/>
          <w:color w:val="000000"/>
          <w:sz w:val="27"/>
          <w:szCs w:val="27"/>
        </w:rPr>
        <w:t xml:space="preserve">Обсяг </w:t>
      </w:r>
      <w:r>
        <w:rPr>
          <w:rFonts w:eastAsia="Calibri" w:cs="Times New Roman" w:ascii="Times New Roman" w:hAnsi="Times New Roman"/>
          <w:b/>
          <w:bCs/>
          <w:color w:val="000000"/>
          <w:sz w:val="27"/>
          <w:szCs w:val="27"/>
        </w:rPr>
        <w:t>експорту послу</w:t>
      </w:r>
      <w:r>
        <w:rPr>
          <w:rFonts w:eastAsia="Calibri" w:cs="Times New Roman" w:ascii="Times New Roman" w:hAnsi="Times New Roman"/>
          <w:color w:val="000000"/>
          <w:sz w:val="27"/>
          <w:szCs w:val="27"/>
        </w:rPr>
        <w:t xml:space="preserve">г у порівнянні із </w:t>
      </w:r>
      <w:r>
        <w:rPr>
          <w:rFonts w:eastAsia="Calibri" w:cs="Times New Roman" w:ascii="Times New Roman" w:hAnsi="Times New Roman"/>
          <w:color w:val="000000"/>
          <w:sz w:val="27"/>
          <w:szCs w:val="27"/>
          <w:lang w:val="ru-RU"/>
        </w:rPr>
        <w:t>відповідним періодом</w:t>
      </w:r>
      <w:r>
        <w:rPr>
          <w:rFonts w:eastAsia="Calibri" w:cs="Times New Roman" w:ascii="Times New Roman" w:hAnsi="Times New Roman"/>
          <w:color w:val="000000"/>
          <w:sz w:val="27"/>
          <w:szCs w:val="27"/>
        </w:rPr>
        <w:t xml:space="preserve"> 2019 р</w:t>
      </w:r>
      <w:r>
        <w:rPr>
          <w:rFonts w:eastAsia="Calibri" w:cs="Times New Roman" w:ascii="Times New Roman" w:hAnsi="Times New Roman"/>
          <w:color w:val="000000"/>
          <w:sz w:val="27"/>
          <w:szCs w:val="27"/>
          <w:lang w:val="ru-RU"/>
        </w:rPr>
        <w:t>оку</w:t>
      </w:r>
      <w:r>
        <w:rPr>
          <w:rFonts w:eastAsia="Calibri" w:cs="Times New Roman" w:ascii="Times New Roman" w:hAnsi="Times New Roman"/>
          <w:color w:val="000000"/>
          <w:sz w:val="27"/>
          <w:szCs w:val="27"/>
        </w:rPr>
        <w:t xml:space="preserve"> збільшився на 2,7</w:t>
      </w:r>
      <w:r>
        <w:rPr>
          <w:rFonts w:eastAsia="Calibri" w:cs="Times New Roman" w:ascii="Times New Roman" w:hAnsi="Times New Roman"/>
          <w:color w:val="000000"/>
          <w:sz w:val="27"/>
          <w:szCs w:val="27"/>
          <w:lang w:val="ru-RU"/>
        </w:rPr>
        <w:t> </w:t>
      </w:r>
      <w:r>
        <w:rPr>
          <w:rFonts w:eastAsia="Calibri" w:cs="Times New Roman" w:ascii="Times New Roman" w:hAnsi="Times New Roman"/>
          <w:color w:val="000000"/>
          <w:sz w:val="27"/>
          <w:szCs w:val="27"/>
        </w:rPr>
        <w:t xml:space="preserve">% і склав 7,6 млн дол. США, </w:t>
      </w:r>
      <w:r>
        <w:rPr>
          <w:rFonts w:eastAsia="Calibri" w:cs="Times New Roman" w:ascii="Times New Roman" w:hAnsi="Times New Roman"/>
          <w:b/>
          <w:bCs/>
          <w:color w:val="000000"/>
          <w:sz w:val="27"/>
          <w:szCs w:val="27"/>
        </w:rPr>
        <w:t>імпорту</w:t>
      </w:r>
      <w:r>
        <w:rPr>
          <w:rFonts w:eastAsia="Calibri" w:cs="Times New Roman" w:ascii="Times New Roman" w:hAnsi="Times New Roman"/>
          <w:color w:val="000000"/>
          <w:sz w:val="27"/>
          <w:szCs w:val="27"/>
        </w:rPr>
        <w:t> – скоротився на 1,9</w:t>
      </w:r>
      <w:r>
        <w:rPr>
          <w:rFonts w:eastAsia="Calibri" w:cs="Times New Roman" w:ascii="Times New Roman" w:hAnsi="Times New Roman"/>
          <w:color w:val="000000"/>
          <w:sz w:val="27"/>
          <w:szCs w:val="27"/>
          <w:lang w:val="ru-RU"/>
        </w:rPr>
        <w:t> </w:t>
      </w:r>
      <w:r>
        <w:rPr>
          <w:rFonts w:eastAsia="Calibri" w:cs="Times New Roman" w:ascii="Times New Roman" w:hAnsi="Times New Roman"/>
          <w:color w:val="000000"/>
          <w:sz w:val="27"/>
          <w:szCs w:val="27"/>
        </w:rPr>
        <w:t xml:space="preserve">% і становив 7,2 млн дол. Позитивне сальдо дорівнювало 405,1 тис. дол. </w:t>
      </w:r>
    </w:p>
    <w:p>
      <w:pPr>
        <w:pStyle w:val="Normal"/>
        <w:ind w:firstLine="567"/>
        <w:jc w:val="both"/>
        <w:rPr>
          <w:rFonts w:ascii="Times New Roman" w:hAnsi="Times New Roman" w:cs="Times New Roman"/>
          <w:sz w:val="27"/>
          <w:szCs w:val="27"/>
        </w:rPr>
      </w:pPr>
      <w:r>
        <w:rPr>
          <w:rFonts w:cs="Times New Roman" w:ascii="Times New Roman" w:hAnsi="Times New Roman"/>
          <w:sz w:val="27"/>
          <w:szCs w:val="27"/>
        </w:rPr>
      </w:r>
    </w:p>
    <w:p>
      <w:pPr>
        <w:pStyle w:val="Normal"/>
        <w:ind w:firstLine="567"/>
        <w:jc w:val="both"/>
        <w:rPr/>
      </w:pPr>
      <w:r>
        <w:rPr>
          <w:rFonts w:cs="Times New Roman" w:ascii="Times New Roman" w:hAnsi="Times New Roman"/>
          <w:b/>
          <w:bCs/>
          <w:sz w:val="27"/>
          <w:szCs w:val="27"/>
        </w:rPr>
        <w:t>Автотранспортними підприємствами</w:t>
      </w:r>
      <w:r>
        <w:rPr>
          <w:rFonts w:cs="Times New Roman" w:ascii="Times New Roman" w:hAnsi="Times New Roman"/>
          <w:sz w:val="27"/>
          <w:szCs w:val="27"/>
        </w:rPr>
        <w:t xml:space="preserve"> міста перевезено 1,4</w:t>
      </w:r>
      <w:r>
        <w:rPr>
          <w:rFonts w:cs="Times New Roman" w:ascii="Times New Roman" w:hAnsi="Times New Roman"/>
          <w:sz w:val="27"/>
          <w:szCs w:val="27"/>
          <w:lang w:val="ru-RU"/>
        </w:rPr>
        <w:t> </w:t>
      </w:r>
      <w:r>
        <w:rPr>
          <w:rFonts w:cs="Times New Roman" w:ascii="Times New Roman" w:hAnsi="Times New Roman"/>
          <w:sz w:val="27"/>
          <w:szCs w:val="27"/>
        </w:rPr>
        <w:t>млн т. вантажів. Міський електричний транспорт та автотранспортні підприємства перевезли 13,6</w:t>
      </w:r>
      <w:r>
        <w:rPr>
          <w:rFonts w:cs="Times New Roman" w:ascii="Times New Roman" w:hAnsi="Times New Roman"/>
          <w:sz w:val="27"/>
          <w:szCs w:val="27"/>
          <w:lang w:val="ru-RU"/>
        </w:rPr>
        <w:t> </w:t>
      </w:r>
      <w:r>
        <w:rPr>
          <w:rFonts w:cs="Times New Roman" w:ascii="Times New Roman" w:hAnsi="Times New Roman"/>
          <w:sz w:val="27"/>
          <w:szCs w:val="27"/>
        </w:rPr>
        <w:t>млн пасажирів і виконали пасажирообіг в обсязі 151,7</w:t>
      </w:r>
      <w:r>
        <w:rPr>
          <w:rFonts w:cs="Times New Roman" w:ascii="Times New Roman" w:hAnsi="Times New Roman"/>
          <w:sz w:val="27"/>
          <w:szCs w:val="27"/>
          <w:lang w:val="ru-RU"/>
        </w:rPr>
        <w:t> </w:t>
      </w:r>
      <w:r>
        <w:rPr>
          <w:rFonts w:cs="Times New Roman" w:ascii="Times New Roman" w:hAnsi="Times New Roman"/>
          <w:sz w:val="27"/>
          <w:szCs w:val="27"/>
        </w:rPr>
        <w:t>млн пас. км Автотранспортними підприємствами міста перевезено 6,3 млн осіб, що становило 84,9</w:t>
      </w:r>
      <w:r>
        <w:rPr>
          <w:rFonts w:cs="Times New Roman" w:ascii="Times New Roman" w:hAnsi="Times New Roman"/>
          <w:sz w:val="27"/>
          <w:szCs w:val="27"/>
          <w:lang w:val="ru-RU"/>
        </w:rPr>
        <w:t> </w:t>
      </w:r>
      <w:r>
        <w:rPr>
          <w:rFonts w:cs="Times New Roman" w:ascii="Times New Roman" w:hAnsi="Times New Roman"/>
          <w:sz w:val="27"/>
          <w:szCs w:val="27"/>
        </w:rPr>
        <w:t>% пасажирських перевезень області. Міським електричним транспортом скористалось 7,3 млн осіб та виконано 32,8</w:t>
      </w:r>
      <w:r>
        <w:rPr>
          <w:rFonts w:cs="Times New Roman" w:ascii="Times New Roman" w:hAnsi="Times New Roman"/>
          <w:sz w:val="27"/>
          <w:szCs w:val="27"/>
          <w:lang w:val="ru-RU"/>
        </w:rPr>
        <w:t> </w:t>
      </w:r>
      <w:r>
        <w:rPr>
          <w:rFonts w:cs="Times New Roman" w:ascii="Times New Roman" w:hAnsi="Times New Roman"/>
          <w:sz w:val="27"/>
          <w:szCs w:val="27"/>
        </w:rPr>
        <w:t>млн</w:t>
      </w:r>
      <w:r>
        <w:rPr>
          <w:rFonts w:cs="Times New Roman" w:ascii="Times New Roman" w:hAnsi="Times New Roman"/>
          <w:sz w:val="27"/>
          <w:szCs w:val="27"/>
          <w:lang w:val="ru-RU"/>
        </w:rPr>
        <w:t> </w:t>
      </w:r>
      <w:r>
        <w:rPr>
          <w:rFonts w:cs="Times New Roman" w:ascii="Times New Roman" w:hAnsi="Times New Roman"/>
          <w:sz w:val="27"/>
          <w:szCs w:val="27"/>
        </w:rPr>
        <w:t>пас.</w:t>
      </w:r>
      <w:r>
        <w:rPr>
          <w:rFonts w:cs="Times New Roman" w:ascii="Times New Roman" w:hAnsi="Times New Roman"/>
          <w:sz w:val="27"/>
          <w:szCs w:val="27"/>
          <w:lang w:val="ru-RU"/>
        </w:rPr>
        <w:t> </w:t>
      </w:r>
      <w:r>
        <w:rPr>
          <w:rFonts w:cs="Times New Roman" w:ascii="Times New Roman" w:hAnsi="Times New Roman"/>
          <w:sz w:val="27"/>
          <w:szCs w:val="27"/>
        </w:rPr>
        <w:t>км, що становило 33,6</w:t>
      </w:r>
      <w:r>
        <w:rPr>
          <w:rFonts w:cs="Times New Roman" w:ascii="Times New Roman" w:hAnsi="Times New Roman"/>
          <w:sz w:val="27"/>
          <w:szCs w:val="27"/>
          <w:lang w:val="ru-RU"/>
        </w:rPr>
        <w:t> </w:t>
      </w:r>
      <w:r>
        <w:rPr>
          <w:rFonts w:cs="Times New Roman" w:ascii="Times New Roman" w:hAnsi="Times New Roman"/>
          <w:sz w:val="27"/>
          <w:szCs w:val="27"/>
        </w:rPr>
        <w:t>% обсягів січня</w:t>
      </w:r>
      <w:r>
        <w:rPr>
          <w:rFonts w:cs="Times New Roman" w:ascii="Times New Roman" w:hAnsi="Times New Roman"/>
          <w:sz w:val="27"/>
          <w:szCs w:val="27"/>
          <w:lang w:val="ru-RU"/>
        </w:rPr>
        <w:t>-</w:t>
      </w:r>
      <w:r>
        <w:rPr>
          <w:rFonts w:cs="Times New Roman" w:ascii="Times New Roman" w:hAnsi="Times New Roman"/>
          <w:sz w:val="27"/>
          <w:szCs w:val="27"/>
        </w:rPr>
        <w:t>вересня 2019 року</w:t>
      </w:r>
      <w:r>
        <w:rPr>
          <w:rStyle w:val="23"/>
          <w:rFonts w:cs="Times New Roman" w:ascii="Times New Roman" w:hAnsi="Times New Roman"/>
          <w:color w:val="000000"/>
          <w:sz w:val="27"/>
          <w:szCs w:val="27"/>
        </w:rPr>
        <w:t xml:space="preserve">. </w:t>
      </w:r>
    </w:p>
    <w:p>
      <w:pPr>
        <w:pStyle w:val="Normal"/>
        <w:ind w:firstLine="567"/>
        <w:jc w:val="both"/>
        <w:rPr/>
      </w:pPr>
      <w:r>
        <w:rPr>
          <w:rStyle w:val="23"/>
          <w:rFonts w:cs="Times New Roman" w:ascii="Times New Roman" w:hAnsi="Times New Roman"/>
          <w:color w:val="000000"/>
          <w:sz w:val="27"/>
          <w:szCs w:val="27"/>
        </w:rPr>
        <w:t xml:space="preserve">Обладнання автоматизованої системи обліку оплати проїзду функціонує у </w:t>
      </w:r>
      <w:r>
        <w:rPr>
          <w:rStyle w:val="23"/>
          <w:rFonts w:cs="Times New Roman" w:ascii="Times New Roman" w:hAnsi="Times New Roman"/>
          <w:color w:val="000000"/>
          <w:sz w:val="27"/>
          <w:szCs w:val="27"/>
          <w:lang w:val="ru-RU"/>
        </w:rPr>
        <w:t>42</w:t>
      </w:r>
      <w:r>
        <w:rPr>
          <w:rStyle w:val="23"/>
          <w:rFonts w:cs="Times New Roman" w:ascii="Times New Roman" w:hAnsi="Times New Roman"/>
          <w:color w:val="000000"/>
          <w:sz w:val="27"/>
          <w:szCs w:val="27"/>
        </w:rPr>
        <w:t xml:space="preserve"> тролейбусах та 167 автобусах, які здійснюють перевезення пасажирів на міських маршрутах. Оператором електронних систем ТОВ «СІТІ КАРД СИСТЕМ» забезпечено функціонування 40 терміналів з продажу та поповнення електронних квитків. </w:t>
      </w:r>
    </w:p>
    <w:p>
      <w:pPr>
        <w:pStyle w:val="Normal"/>
        <w:spacing w:before="0" w:after="120"/>
        <w:ind w:firstLine="567"/>
        <w:jc w:val="both"/>
        <w:rPr>
          <w:rFonts w:ascii="Times New Roman" w:hAnsi="Times New Roman" w:cs="Times New Roman"/>
          <w:sz w:val="27"/>
          <w:szCs w:val="27"/>
        </w:rPr>
      </w:pPr>
      <w:r>
        <w:rPr>
          <w:rFonts w:cs="Times New Roman" w:ascii="Times New Roman" w:hAnsi="Times New Roman"/>
          <w:sz w:val="27"/>
          <w:szCs w:val="27"/>
        </w:rPr>
      </w:r>
    </w:p>
    <w:p>
      <w:pPr>
        <w:pStyle w:val="Normal"/>
        <w:ind w:firstLine="567"/>
        <w:jc w:val="both"/>
        <w:rPr/>
      </w:pPr>
      <w:r>
        <w:rPr>
          <w:rFonts w:cs="Times New Roman" w:ascii="Times New Roman" w:hAnsi="Times New Roman"/>
          <w:color w:val="000000"/>
          <w:sz w:val="27"/>
          <w:szCs w:val="27"/>
        </w:rPr>
        <w:t xml:space="preserve">На економічний розвиток Луцької міської територіальної громади у 2020 році вкрай негативний вплив мали карантинні заходи, які були спрямовані на запобігання поширенню коронавірусної інфекції COVID-19. Як і в країні в цілому, так і у нашій територіальній громаді зокрема, від пандемії найбільше постраждали виробнича сфера, торгівля та сфера послуг. </w:t>
      </w:r>
    </w:p>
    <w:p>
      <w:pPr>
        <w:pStyle w:val="Normal"/>
        <w:ind w:firstLine="567"/>
        <w:jc w:val="both"/>
        <w:rPr/>
      </w:pPr>
      <w:r>
        <w:rPr>
          <w:rFonts w:cs="Times New Roman" w:ascii="Times New Roman" w:hAnsi="Times New Roman"/>
          <w:color w:val="000000"/>
          <w:sz w:val="27"/>
          <w:szCs w:val="27"/>
        </w:rPr>
        <w:t>П</w:t>
      </w:r>
      <w:r>
        <w:rPr>
          <w:rFonts w:cs="Times New Roman" w:ascii="Times New Roman" w:hAnsi="Times New Roman"/>
          <w:sz w:val="27"/>
          <w:szCs w:val="27"/>
        </w:rPr>
        <w:t xml:space="preserve">ротягом 2020 року Урядом України реалізовано два проєкти щодо надання фінансової підтримки бізнесу на період карантинних обмежень. Програмою надання допомоги щодо часткового безробіття для суб’єктів малого або середнього бізнесу та ФОПів, які є застрахованими особами скористались </w:t>
      </w:r>
      <w:r>
        <w:rPr>
          <w:rFonts w:cs="Times New Roman" w:ascii="Times New Roman" w:hAnsi="Times New Roman"/>
          <w:sz w:val="27"/>
          <w:szCs w:val="27"/>
          <w:highlight w:val="white"/>
        </w:rPr>
        <w:t xml:space="preserve">2608 суб'єктів підприємницької діяльності </w:t>
      </w:r>
      <w:r>
        <w:rPr>
          <w:rFonts w:cs="Times New Roman" w:ascii="Times New Roman" w:hAnsi="Times New Roman"/>
          <w:sz w:val="27"/>
          <w:szCs w:val="27"/>
        </w:rPr>
        <w:t>(профінансовано 50,0 млн грн).</w:t>
      </w:r>
    </w:p>
    <w:p>
      <w:pPr>
        <w:pStyle w:val="Normal"/>
        <w:ind w:firstLine="567"/>
        <w:jc w:val="both"/>
        <w:rPr/>
      </w:pPr>
      <w:r>
        <w:rPr>
          <w:rFonts w:cs="Times New Roman" w:ascii="Times New Roman" w:hAnsi="Times New Roman"/>
          <w:color w:val="000000"/>
          <w:sz w:val="27"/>
          <w:szCs w:val="27"/>
          <w:lang w:val="ru-RU"/>
        </w:rPr>
        <w:t>Відповідно до</w:t>
      </w:r>
      <w:r>
        <w:rPr>
          <w:rFonts w:cs="Times New Roman" w:ascii="Times New Roman" w:hAnsi="Times New Roman"/>
          <w:color w:val="000000"/>
          <w:sz w:val="27"/>
          <w:szCs w:val="27"/>
        </w:rPr>
        <w:t xml:space="preserve"> Програми надання одноразової матеріальної допомоги суб’єктам господарювання для здійснення виплати найманим працівникам на період обмежувальних протиепідемічних заходів, допомогу отримали                          55 суб’єктів господарювання – юридичних осіб для виплати 762 найманим працівникам (загальна сума отриманих коштів 3,3 млн грн).</w:t>
      </w:r>
    </w:p>
    <w:p>
      <w:pPr>
        <w:pStyle w:val="Normal"/>
        <w:ind w:firstLine="567"/>
        <w:jc w:val="both"/>
        <w:rPr/>
      </w:pPr>
      <w:r>
        <w:rPr>
          <w:rFonts w:cs="Times New Roman" w:ascii="Times New Roman" w:hAnsi="Times New Roman"/>
          <w:color w:val="000000"/>
          <w:sz w:val="27"/>
          <w:szCs w:val="27"/>
        </w:rPr>
        <w:t>В умовах карантинних обмежень із дотриманням усіх протиепідемічних заходів, протягом 2020 року у нашій громаді тривали роботи із термомодернізації бюджетних установ та закладів, встановлення камер зовнішнього відеоспостереження у різних мікрорайонах міста, ремонту об'єктів вулично - дорожньої мережі та прибудинкових територій, впроваджувались заходи інвестиційних міжнародних проєктів із модернізації системи централізованого теплопостачання,  оновлення громадського електротранспорту та ін.</w:t>
      </w:r>
    </w:p>
    <w:p>
      <w:pPr>
        <w:pStyle w:val="Normal"/>
        <w:spacing w:before="0" w:after="120"/>
        <w:ind w:firstLine="567"/>
        <w:jc w:val="both"/>
        <w:rPr/>
      </w:pPr>
      <w:r>
        <w:rPr>
          <w:rFonts w:cs="Times New Roman" w:ascii="Times New Roman" w:hAnsi="Times New Roman"/>
          <w:color w:val="000000"/>
          <w:sz w:val="27"/>
          <w:szCs w:val="27"/>
        </w:rPr>
        <w:t xml:space="preserve">Всього, на виконання заходів визначених міськими цільовими програмами з бюджету територіальної громади у 2020 році використано 523,5 млн грн, що складає 86,1 % від планових обсягів </w:t>
      </w:r>
      <w:bookmarkStart w:id="1" w:name="_GoBack1"/>
      <w:r>
        <w:rPr>
          <w:rFonts w:cs="Times New Roman" w:ascii="Times New Roman" w:hAnsi="Times New Roman"/>
          <w:color w:val="000000"/>
          <w:sz w:val="27"/>
          <w:szCs w:val="27"/>
        </w:rPr>
        <w:t>та 39,1 % від потреби</w:t>
      </w:r>
      <w:bookmarkEnd w:id="1"/>
      <w:r>
        <w:rPr>
          <w:rFonts w:cs="Times New Roman" w:ascii="Times New Roman" w:hAnsi="Times New Roman"/>
          <w:color w:val="000000"/>
          <w:sz w:val="27"/>
          <w:szCs w:val="27"/>
        </w:rPr>
        <w:t>. На заходи щодо запобігання поширенню коронавірусної хвороби СОVID</w:t>
      </w:r>
      <w:r>
        <w:rPr>
          <w:rStyle w:val="23"/>
          <w:rFonts w:cs="Times New Roman" w:ascii="Times New Roman" w:hAnsi="Times New Roman"/>
          <w:bCs/>
          <w:color w:val="000000"/>
          <w:sz w:val="27"/>
          <w:szCs w:val="27"/>
        </w:rPr>
        <w:t> – </w:t>
      </w:r>
      <w:r>
        <w:rPr>
          <w:rFonts w:cs="Times New Roman" w:ascii="Times New Roman" w:hAnsi="Times New Roman"/>
          <w:color w:val="000000"/>
          <w:sz w:val="27"/>
          <w:szCs w:val="27"/>
        </w:rPr>
        <w:t>19 із бюджету громади було витрачено 49,9 млн грн.</w:t>
      </w:r>
    </w:p>
    <w:p>
      <w:pPr>
        <w:pStyle w:val="Normal"/>
        <w:spacing w:before="0" w:after="120"/>
        <w:ind w:firstLine="567"/>
        <w:jc w:val="both"/>
        <w:rPr/>
      </w:pPr>
      <w:r>
        <w:rPr>
          <w:rFonts w:cs="Times New Roman" w:ascii="Times New Roman" w:hAnsi="Times New Roman"/>
          <w:color w:val="000000"/>
          <w:sz w:val="27"/>
          <w:szCs w:val="27"/>
          <w:lang w:eastAsia="ru-RU"/>
        </w:rPr>
        <w:t xml:space="preserve">Відповідно до Закону України “Про добровільне об’єднання територіальних громад” та розпорядження Кабінету Міністрів України від 13.05 2020 N 590-р “Про затвердження перспективного плану формування територій громад Волинської області”, до Луцької міської територіальної громади у 2020 році було приєднано: Жидичинську, Княгининівську, </w:t>
      </w:r>
      <w:bookmarkStart w:id="2" w:name="__DdeLink__1533_171116800"/>
      <w:r>
        <w:rPr>
          <w:rFonts w:cs="Times New Roman" w:ascii="Times New Roman" w:hAnsi="Times New Roman"/>
          <w:color w:val="000000"/>
          <w:sz w:val="27"/>
          <w:szCs w:val="27"/>
          <w:lang w:eastAsia="ru-RU"/>
        </w:rPr>
        <w:t>Заборольську та Іванчицівську територіальні громади.</w:t>
      </w:r>
      <w:bookmarkEnd w:id="2"/>
      <w:r>
        <w:rPr>
          <w:rFonts w:cs="Times New Roman" w:ascii="Times New Roman" w:hAnsi="Times New Roman"/>
          <w:color w:val="000000"/>
          <w:sz w:val="27"/>
          <w:szCs w:val="27"/>
          <w:lang w:eastAsia="ru-RU"/>
        </w:rPr>
        <w:t xml:space="preserve"> </w:t>
      </w:r>
    </w:p>
    <w:p>
      <w:pPr>
        <w:pStyle w:val="Normal"/>
        <w:shd w:val="clear" w:color="auto" w:fill="FFFFFF"/>
        <w:spacing w:before="0" w:after="0"/>
        <w:ind w:firstLine="567"/>
        <w:contextualSpacing/>
        <w:jc w:val="both"/>
        <w:rPr/>
      </w:pPr>
      <w:r>
        <w:rPr>
          <w:rFonts w:cs="Times New Roman" w:ascii="Times New Roman" w:hAnsi="Times New Roman"/>
          <w:color w:val="000000"/>
          <w:sz w:val="27"/>
          <w:szCs w:val="27"/>
          <w:lang w:eastAsia="ru-RU"/>
        </w:rPr>
        <w:t>Програма економічного і соціального розвитку Луцької міської територіальної громади на 2021 рік (рішення Луцької міської ради від 23.12.2020 № 2/51 “</w:t>
      </w:r>
      <w:r>
        <w:rPr>
          <w:rFonts w:cs="Times New Roman" w:ascii="Times New Roman" w:hAnsi="Times New Roman"/>
          <w:color w:val="000000"/>
          <w:sz w:val="27"/>
          <w:szCs w:val="27"/>
        </w:rPr>
        <w:t xml:space="preserve">Про Програму економічного та соціального розвитку Луцької міської територіальної громади на 2021 рік”) </w:t>
      </w:r>
      <w:r>
        <w:rPr>
          <w:rFonts w:cs="Times New Roman" w:ascii="Times New Roman" w:hAnsi="Times New Roman"/>
          <w:color w:val="000000"/>
          <w:sz w:val="27"/>
          <w:szCs w:val="27"/>
          <w:lang w:eastAsia="ru-RU"/>
        </w:rPr>
        <w:t>сформована як комплекс заходів, спрямованих на реалізацію визначених пріоритетів, що створять основу для підвищення конкурентоспроможності громади та покращення добробуту кожного її жителя, із дотриманням максимального екологічного балансу у навколишньому середовищі.</w:t>
      </w:r>
    </w:p>
    <w:p>
      <w:pPr>
        <w:pStyle w:val="Normal"/>
        <w:shd w:val="clear" w:color="auto" w:fill="FFFFFF"/>
        <w:suppressAutoHyphens w:val="true"/>
        <w:spacing w:before="0" w:after="0"/>
        <w:ind w:firstLine="567"/>
        <w:contextualSpacing/>
        <w:jc w:val="both"/>
        <w:rPr>
          <w:rFonts w:ascii="Times New Roman" w:hAnsi="Times New Roman" w:cs="Times New Roman"/>
          <w:b/>
          <w:b/>
          <w:bCs/>
          <w:color w:val="000000"/>
          <w:sz w:val="27"/>
          <w:szCs w:val="27"/>
        </w:rPr>
      </w:pPr>
      <w:r>
        <w:rPr>
          <w:rFonts w:cs="Times New Roman" w:ascii="Times New Roman" w:hAnsi="Times New Roman"/>
          <w:b/>
          <w:bCs/>
          <w:color w:val="000000"/>
          <w:sz w:val="27"/>
          <w:szCs w:val="27"/>
        </w:rPr>
      </w:r>
    </w:p>
    <w:p>
      <w:pPr>
        <w:pStyle w:val="NormalWeb"/>
        <w:spacing w:before="0" w:after="0"/>
        <w:jc w:val="center"/>
        <w:rPr>
          <w:rFonts w:ascii="Times New Roman" w:hAnsi="Times New Roman" w:cs="Times New Roman"/>
          <w:b/>
          <w:b/>
          <w:bCs/>
          <w:color w:val="000000"/>
          <w:sz w:val="27"/>
          <w:szCs w:val="27"/>
          <w:lang w:val="uk-UA"/>
        </w:rPr>
      </w:pPr>
      <w:r>
        <w:rPr>
          <w:rFonts w:cs="Times New Roman" w:ascii="Times New Roman" w:hAnsi="Times New Roman"/>
          <w:b/>
          <w:bCs/>
          <w:color w:val="000000"/>
          <w:sz w:val="27"/>
          <w:szCs w:val="27"/>
          <w:lang w:val="uk-UA"/>
        </w:rPr>
      </w:r>
    </w:p>
    <w:p>
      <w:pPr>
        <w:pStyle w:val="NormalWeb"/>
        <w:spacing w:before="0" w:after="0"/>
        <w:jc w:val="center"/>
        <w:rPr>
          <w:lang w:val="uk-UA"/>
        </w:rPr>
      </w:pPr>
      <w:r>
        <w:rPr>
          <w:rFonts w:cs="Times New Roman" w:ascii="Times New Roman" w:hAnsi="Times New Roman"/>
          <w:b/>
          <w:bCs/>
          <w:color w:val="000000"/>
          <w:sz w:val="27"/>
          <w:szCs w:val="27"/>
          <w:lang w:val="uk-UA"/>
        </w:rPr>
        <w:t xml:space="preserve">ІІ. </w:t>
      </w:r>
      <w:r>
        <w:rPr>
          <w:rFonts w:cs="Times New Roman" w:ascii="Times New Roman" w:hAnsi="Times New Roman"/>
          <w:b/>
          <w:bCs/>
          <w:color w:val="000000"/>
          <w:sz w:val="27"/>
          <w:szCs w:val="27"/>
        </w:rPr>
        <w:t> </w:t>
      </w:r>
      <w:r>
        <w:rPr>
          <w:rFonts w:cs="Times New Roman" w:ascii="Times New Roman" w:hAnsi="Times New Roman"/>
          <w:b/>
          <w:bCs/>
          <w:color w:val="000000"/>
          <w:sz w:val="27"/>
          <w:szCs w:val="27"/>
          <w:highlight w:val="white"/>
          <w:lang w:val="uk-UA"/>
        </w:rPr>
        <w:t xml:space="preserve">СТАН ВИКОНАННЯ ПРІОРИТЕТНИХ НАПРЯМКІВ ЕКОНОМІЧНОГО І СОЦІАЛЬНОГО РОЗВИТКУ ЛУЦЬКОЇ МІСЬКОЇ </w:t>
      </w:r>
    </w:p>
    <w:p>
      <w:pPr>
        <w:pStyle w:val="NormalWeb"/>
        <w:spacing w:before="0" w:after="0"/>
        <w:jc w:val="center"/>
        <w:rPr>
          <w:lang w:val="uk-UA"/>
        </w:rPr>
      </w:pPr>
      <w:r>
        <w:rPr>
          <w:rFonts w:cs="Times New Roman" w:ascii="Times New Roman" w:hAnsi="Times New Roman"/>
          <w:b/>
          <w:bCs/>
          <w:color w:val="000000"/>
          <w:sz w:val="27"/>
          <w:szCs w:val="27"/>
          <w:highlight w:val="white"/>
          <w:lang w:val="uk-UA"/>
        </w:rPr>
        <w:t xml:space="preserve">ТЕРИТОРІАЛЬНОЇ ГРОМАДИ </w:t>
      </w:r>
    </w:p>
    <w:p>
      <w:pPr>
        <w:pStyle w:val="Normal"/>
        <w:ind w:firstLine="709"/>
        <w:jc w:val="center"/>
        <w:rPr>
          <w:rFonts w:ascii="Times New Roman" w:hAnsi="Times New Roman" w:cs="Times New Roman"/>
          <w:color w:val="000000"/>
          <w:sz w:val="27"/>
          <w:szCs w:val="27"/>
          <w:highlight w:val="white"/>
        </w:rPr>
      </w:pPr>
      <w:r>
        <w:rPr>
          <w:rFonts w:cs="Times New Roman" w:ascii="Times New Roman" w:hAnsi="Times New Roman"/>
          <w:color w:val="000000"/>
          <w:sz w:val="27"/>
          <w:szCs w:val="27"/>
          <w:highlight w:val="white"/>
        </w:rPr>
      </w:r>
    </w:p>
    <w:p>
      <w:pPr>
        <w:pStyle w:val="Normal"/>
        <w:ind w:firstLine="709"/>
        <w:jc w:val="both"/>
        <w:rPr/>
      </w:pPr>
      <w:r>
        <w:rPr>
          <w:rFonts w:cs="Times New Roman" w:ascii="Times New Roman" w:hAnsi="Times New Roman"/>
          <w:color w:val="000000"/>
          <w:sz w:val="27"/>
          <w:szCs w:val="27"/>
        </w:rPr>
        <w:t xml:space="preserve">1. Продовження реалізації заходів проєктів міжнародної технічної допомоги </w:t>
      </w:r>
    </w:p>
    <w:p>
      <w:pPr>
        <w:pStyle w:val="Normal"/>
        <w:ind w:firstLine="709"/>
        <w:jc w:val="both"/>
        <w:rPr/>
      </w:pP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Покращення безпеки транскордонної дорожньої інфраструктури Хелма та Луцька</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(Програма транскордонного співробітництва Польща-Білорусь-Україна 2014-2020 Європейського інструменту сусідства та партнерства).</w:t>
      </w:r>
    </w:p>
    <w:p>
      <w:pPr>
        <w:pStyle w:val="Normal"/>
        <w:ind w:firstLine="709"/>
        <w:jc w:val="both"/>
        <w:rPr/>
      </w:pPr>
      <w:r>
        <w:rPr>
          <w:rStyle w:val="23"/>
          <w:rFonts w:eastAsia="Times New Roman" w:cs="Times New Roman" w:ascii="Times New Roman" w:hAnsi="Times New Roman"/>
          <w:color w:val="000000"/>
          <w:kern w:val="0"/>
          <w:sz w:val="27"/>
          <w:szCs w:val="27"/>
          <w:highlight w:val="white"/>
          <w:lang w:eastAsia="uk-UA" w:bidi="ar-SA"/>
        </w:rPr>
        <w:t>Б</w:t>
      </w:r>
      <w:r>
        <w:rPr>
          <w:rStyle w:val="23"/>
          <w:rFonts w:eastAsia="Times New Roman" w:cs="Times New Roman" w:ascii="Times New Roman" w:hAnsi="Times New Roman"/>
          <w:bCs/>
          <w:color w:val="000000"/>
          <w:kern w:val="0"/>
          <w:sz w:val="27"/>
          <w:szCs w:val="27"/>
          <w:highlight w:val="white"/>
          <w:lang w:eastAsia="uk-UA" w:bidi="ar-SA"/>
        </w:rPr>
        <w:t xml:space="preserve">юджет для Луцької </w:t>
      </w:r>
      <w:r>
        <w:rPr>
          <w:rStyle w:val="23"/>
          <w:rFonts w:cs="Times New Roman" w:ascii="Times New Roman" w:hAnsi="Times New Roman"/>
          <w:color w:val="000000"/>
          <w:sz w:val="27"/>
          <w:szCs w:val="27"/>
          <w:highlight w:val="white"/>
        </w:rPr>
        <w:t>міської територіальної громади </w:t>
      </w:r>
      <w:r>
        <w:rPr>
          <w:rStyle w:val="23"/>
          <w:rFonts w:eastAsia="Times New Roman" w:cs="Times New Roman" w:ascii="Times New Roman" w:hAnsi="Times New Roman"/>
          <w:color w:val="000000"/>
          <w:kern w:val="0"/>
          <w:sz w:val="27"/>
          <w:szCs w:val="27"/>
          <w:highlight w:val="white"/>
          <w:lang w:eastAsia="uk-UA" w:bidi="ar-SA"/>
        </w:rPr>
        <w:t>– 772 445,53 євро, г</w:t>
      </w:r>
      <w:r>
        <w:rPr>
          <w:rStyle w:val="23"/>
          <w:rFonts w:eastAsia="Times New Roman" w:cs="Times New Roman" w:ascii="Times New Roman" w:hAnsi="Times New Roman"/>
          <w:bCs/>
          <w:color w:val="000000"/>
          <w:kern w:val="0"/>
          <w:sz w:val="27"/>
          <w:szCs w:val="27"/>
          <w:highlight w:val="white"/>
          <w:lang w:eastAsia="uk-UA" w:bidi="ar-SA"/>
        </w:rPr>
        <w:t xml:space="preserve">рантові кошти </w:t>
      </w:r>
      <w:r>
        <w:rPr>
          <w:rStyle w:val="23"/>
          <w:rFonts w:eastAsia="Times New Roman" w:cs="Times New Roman" w:ascii="Times New Roman" w:hAnsi="Times New Roman"/>
          <w:color w:val="000000"/>
          <w:kern w:val="0"/>
          <w:sz w:val="27"/>
          <w:szCs w:val="27"/>
          <w:highlight w:val="white"/>
          <w:lang w:eastAsia="uk-UA" w:bidi="ar-SA"/>
        </w:rPr>
        <w:t xml:space="preserve">(90 %) – 695 200,98 євро, </w:t>
      </w:r>
      <w:r>
        <w:rPr>
          <w:rStyle w:val="23"/>
          <w:rFonts w:eastAsia="Times New Roman" w:cs="Times New Roman" w:ascii="Times New Roman" w:hAnsi="Times New Roman"/>
          <w:bCs/>
          <w:color w:val="000000"/>
          <w:kern w:val="0"/>
          <w:sz w:val="27"/>
          <w:szCs w:val="27"/>
          <w:highlight w:val="white"/>
          <w:lang w:eastAsia="uk-UA" w:bidi="ar-SA"/>
        </w:rPr>
        <w:t>співфінансування з  бюджету  – </w:t>
      </w:r>
      <w:r>
        <w:rPr>
          <w:rStyle w:val="23"/>
          <w:rFonts w:eastAsia="Times New Roman" w:cs="Times New Roman" w:ascii="Times New Roman" w:hAnsi="Times New Roman"/>
          <w:color w:val="000000"/>
          <w:kern w:val="0"/>
          <w:sz w:val="27"/>
          <w:szCs w:val="27"/>
          <w:highlight w:val="white"/>
          <w:lang w:eastAsia="uk-UA" w:bidi="ar-SA"/>
        </w:rPr>
        <w:t>77 244,55 євро.</w:t>
      </w:r>
    </w:p>
    <w:p>
      <w:pPr>
        <w:pStyle w:val="Normal"/>
        <w:shd w:val="clear" w:color="auto" w:fill="FFFFFF"/>
        <w:ind w:firstLine="567"/>
        <w:jc w:val="both"/>
        <w:rPr>
          <w:rFonts w:ascii="Times New Roman" w:hAnsi="Times New Roman" w:cs="Times New Roman"/>
          <w:color w:val="000000"/>
          <w:sz w:val="27"/>
          <w:szCs w:val="27"/>
        </w:rPr>
      </w:pPr>
      <w:r>
        <w:rPr>
          <w:rFonts w:cs="Times New Roman" w:ascii="Times New Roman" w:hAnsi="Times New Roman"/>
          <w:color w:val="000000"/>
          <w:sz w:val="27"/>
          <w:szCs w:val="27"/>
        </w:rPr>
        <w:t>У рамках проєкту передбачається проведення ремонту ділянки дороги та облаштування пішохідних і велосипедних доріжок на вул. Рівненська, встановлення 629 вуличних ліхтарів на вул. Конякіна та Рівненська, впровадження автоматизованої системи управління рухом, розробка комплексної системи організації руху в місті.</w:t>
      </w:r>
    </w:p>
    <w:p>
      <w:pPr>
        <w:pStyle w:val="Normal"/>
        <w:ind w:firstLine="567"/>
        <w:jc w:val="both"/>
        <w:rPr/>
      </w:pPr>
      <w:r>
        <w:rPr>
          <w:rStyle w:val="23"/>
          <w:rFonts w:cs="Times New Roman" w:ascii="Times New Roman" w:hAnsi="Times New Roman"/>
          <w:color w:val="000000"/>
          <w:sz w:val="27"/>
          <w:szCs w:val="27"/>
          <w:highlight w:val="white"/>
        </w:rPr>
        <w:t xml:space="preserve">У звітному періоді було здійснено наступні заходи: </w:t>
      </w:r>
    </w:p>
    <w:p>
      <w:pPr>
        <w:pStyle w:val="Normal"/>
        <w:ind w:firstLine="567"/>
        <w:jc w:val="both"/>
        <w:rPr/>
      </w:pPr>
      <w:r>
        <w:rPr>
          <w:rFonts w:cs="Times New Roman" w:ascii="Times New Roman" w:hAnsi="Times New Roman"/>
          <w:color w:val="000000"/>
          <w:sz w:val="27"/>
          <w:szCs w:val="27"/>
          <w:lang w:bidi="ar-SA"/>
        </w:rPr>
        <w:noBreakHyphen/>
        <w:t> </w:t>
      </w:r>
      <w:r>
        <w:rPr>
          <w:rFonts w:cs="Times New Roman" w:ascii="Times New Roman" w:hAnsi="Times New Roman"/>
          <w:color w:val="000000"/>
          <w:sz w:val="27"/>
          <w:szCs w:val="27"/>
          <w:lang w:bidi="ar-SA"/>
        </w:rPr>
        <w:t>проведено</w:t>
      </w:r>
      <w:r>
        <w:rPr>
          <w:rStyle w:val="26"/>
          <w:rFonts w:cs="Times New Roman" w:ascii="Times New Roman" w:hAnsi="Times New Roman"/>
          <w:color w:val="000000"/>
          <w:sz w:val="27"/>
          <w:szCs w:val="27"/>
          <w:lang w:bidi="ar-SA"/>
        </w:rPr>
        <w:t xml:space="preserve"> заміну 213 з 246 передбачених проєктом світильників на нові LED — світильники на вул. Конякіна в м. Луцьку. Загальна вартість виконаних робіт у 2020 році </w:t>
      </w:r>
      <w:bookmarkStart w:id="3" w:name="__DdeLink__551_2641408459"/>
      <w:r>
        <w:rPr>
          <w:rStyle w:val="26"/>
          <w:rFonts w:eastAsia="Times New Roman" w:cs="Times New Roman" w:ascii="Times New Roman" w:hAnsi="Times New Roman"/>
          <w:color w:val="000000"/>
          <w:sz w:val="27"/>
          <w:szCs w:val="27"/>
          <w:lang w:bidi="ar-SA"/>
        </w:rPr>
        <w:t>‒</w:t>
      </w:r>
      <w:r>
        <w:rPr>
          <w:rStyle w:val="26"/>
          <w:rFonts w:cs="Times New Roman" w:ascii="Times New Roman" w:hAnsi="Times New Roman"/>
          <w:color w:val="000000"/>
          <w:sz w:val="27"/>
          <w:szCs w:val="27"/>
          <w:lang w:bidi="ar-SA"/>
        </w:rPr>
        <w:t> </w:t>
      </w:r>
      <w:bookmarkEnd w:id="3"/>
      <w:r>
        <w:rPr>
          <w:rStyle w:val="26"/>
          <w:rFonts w:cs="Times New Roman" w:ascii="Times New Roman" w:hAnsi="Times New Roman"/>
          <w:color w:val="000000"/>
          <w:sz w:val="27"/>
          <w:szCs w:val="27"/>
          <w:lang w:bidi="ar-SA"/>
        </w:rPr>
        <w:t>1 287, 1 тис. грн;</w:t>
      </w:r>
    </w:p>
    <w:p>
      <w:pPr>
        <w:pStyle w:val="Normal"/>
        <w:widowControl w:val="false"/>
        <w:ind w:firstLine="567"/>
        <w:jc w:val="both"/>
        <w:rPr/>
      </w:pPr>
      <w:r>
        <w:rPr>
          <w:rStyle w:val="23"/>
          <w:rFonts w:cs="Times New Roman" w:ascii="Times New Roman" w:hAnsi="Times New Roman"/>
          <w:color w:val="000000"/>
          <w:sz w:val="27"/>
          <w:szCs w:val="27"/>
          <w:lang w:bidi="ar-SA"/>
        </w:rPr>
        <w:noBreakHyphen/>
        <w:t> </w:t>
      </w:r>
      <w:r>
        <w:rPr>
          <w:rStyle w:val="23"/>
          <w:rFonts w:cs="Times New Roman" w:ascii="Times New Roman" w:hAnsi="Times New Roman"/>
          <w:color w:val="000000"/>
          <w:sz w:val="27"/>
          <w:szCs w:val="27"/>
          <w:lang w:bidi="ar-SA"/>
        </w:rPr>
        <w:t>завершено роботи із викладення бруківки на тротуарі та велодоріжки, влаштовано верхній шар асфальтобетонної суміші на проїжджій частині, нанесено розмітку на вул. Рівненська (від вул. Задворецька до вул. Купріна</w:t>
      </w:r>
      <w:r>
        <w:rPr>
          <w:rStyle w:val="23"/>
          <w:rFonts w:cs="Times New Roman" w:ascii="Times New Roman" w:hAnsi="Times New Roman"/>
          <w:color w:val="000000"/>
          <w:sz w:val="27"/>
          <w:szCs w:val="27"/>
          <w:highlight w:val="white"/>
          <w:lang w:bidi="ar-SA"/>
        </w:rPr>
        <w:t xml:space="preserve">). Сума виконаних робіт у звітному періоді склала 4,4 млн грн, </w:t>
      </w:r>
    </w:p>
    <w:p>
      <w:pPr>
        <w:pStyle w:val="Normal"/>
        <w:widowControl w:val="false"/>
        <w:ind w:firstLine="567"/>
        <w:jc w:val="both"/>
        <w:rPr/>
      </w:pPr>
      <w:r>
        <w:rPr>
          <w:rStyle w:val="23"/>
          <w:rFonts w:cs="Times New Roman" w:ascii="Times New Roman" w:hAnsi="Times New Roman"/>
          <w:color w:val="000000"/>
          <w:sz w:val="27"/>
          <w:szCs w:val="27"/>
          <w:lang w:bidi="ar-SA"/>
        </w:rPr>
        <w:noBreakHyphen/>
        <w:t> </w:t>
      </w:r>
      <w:r>
        <w:rPr>
          <w:rStyle w:val="23"/>
          <w:rFonts w:cs="Times New Roman" w:ascii="Times New Roman" w:hAnsi="Times New Roman"/>
          <w:color w:val="000000"/>
          <w:sz w:val="27"/>
          <w:szCs w:val="27"/>
          <w:lang w:bidi="ar-SA"/>
        </w:rPr>
        <w:t>завершено капітальні ремонти 40 світлофорних об’єктів (від вул. Задворецька до вул. Купріна) у м. Луцьку. Загальна вартість виконаних робіт </w:t>
      </w:r>
      <w:r>
        <w:rPr>
          <w:rStyle w:val="23"/>
          <w:rFonts w:eastAsia="Times New Roman" w:cs="Times New Roman" w:ascii="Times New Roman" w:hAnsi="Times New Roman"/>
          <w:color w:val="000000"/>
          <w:sz w:val="27"/>
          <w:szCs w:val="27"/>
          <w:lang w:bidi="ar-SA"/>
        </w:rPr>
        <w:t>‒ 9 118,2</w:t>
      </w:r>
      <w:r>
        <w:rPr>
          <w:rStyle w:val="23"/>
          <w:rFonts w:cs="Times New Roman" w:ascii="Times New Roman" w:hAnsi="Times New Roman"/>
          <w:color w:val="000000"/>
          <w:sz w:val="27"/>
          <w:szCs w:val="27"/>
          <w:lang w:bidi="ar-SA"/>
        </w:rPr>
        <w:t> тис. грн, вартість робіт з технічного нагляду </w:t>
      </w:r>
      <w:r>
        <w:rPr>
          <w:rStyle w:val="26"/>
          <w:rFonts w:eastAsia="Times New Roman" w:cs="Times New Roman" w:ascii="Times New Roman" w:hAnsi="Times New Roman"/>
          <w:color w:val="000000"/>
          <w:sz w:val="27"/>
          <w:szCs w:val="27"/>
          <w:lang w:bidi="ar-SA"/>
        </w:rPr>
        <w:t>‒</w:t>
      </w:r>
      <w:r>
        <w:rPr>
          <w:rStyle w:val="26"/>
          <w:rFonts w:cs="Times New Roman" w:ascii="Times New Roman" w:hAnsi="Times New Roman"/>
          <w:color w:val="000000"/>
          <w:sz w:val="27"/>
          <w:szCs w:val="27"/>
          <w:lang w:bidi="ar-SA"/>
        </w:rPr>
        <w:t> </w:t>
      </w:r>
      <w:r>
        <w:rPr>
          <w:rStyle w:val="23"/>
          <w:rFonts w:cs="Times New Roman" w:ascii="Times New Roman" w:hAnsi="Times New Roman"/>
          <w:color w:val="000000"/>
          <w:sz w:val="27"/>
          <w:szCs w:val="27"/>
          <w:lang w:bidi="ar-SA"/>
        </w:rPr>
        <w:t>151,5 тис.грн.</w:t>
      </w:r>
    </w:p>
    <w:p>
      <w:pPr>
        <w:pStyle w:val="Normal"/>
        <w:widowControl w:val="false"/>
        <w:ind w:firstLine="567"/>
        <w:jc w:val="both"/>
        <w:rPr>
          <w:rStyle w:val="23"/>
          <w:rFonts w:ascii="Times New Roman" w:hAnsi="Times New Roman" w:cs="Times New Roman"/>
          <w:color w:val="000000"/>
          <w:sz w:val="27"/>
          <w:szCs w:val="27"/>
          <w:lang w:bidi="ar-SA"/>
        </w:rPr>
      </w:pPr>
      <w:r>
        <w:rPr>
          <w:rFonts w:cs="Times New Roman" w:ascii="Times New Roman" w:hAnsi="Times New Roman"/>
          <w:color w:val="000000"/>
          <w:sz w:val="27"/>
          <w:szCs w:val="27"/>
          <w:lang w:bidi="ar-SA"/>
        </w:rPr>
      </w:r>
    </w:p>
    <w:p>
      <w:pPr>
        <w:pStyle w:val="Normal"/>
        <w:widowControl w:val="false"/>
        <w:ind w:firstLine="567"/>
        <w:jc w:val="both"/>
        <w:rPr/>
      </w:pPr>
      <w:r>
        <w:rPr>
          <w:rStyle w:val="26"/>
          <w:rFonts w:cs="Times New Roman" w:ascii="Times New Roman" w:hAnsi="Times New Roman"/>
          <w:b/>
          <w:bCs/>
          <w:color w:val="000000"/>
          <w:sz w:val="27"/>
          <w:szCs w:val="27"/>
        </w:rPr>
        <w:t>«</w:t>
      </w:r>
      <w:r>
        <w:rPr>
          <w:rFonts w:cs="Times New Roman" w:ascii="Times New Roman" w:hAnsi="Times New Roman"/>
          <w:b/>
          <w:bCs/>
          <w:color w:val="000000"/>
          <w:sz w:val="27"/>
          <w:szCs w:val="27"/>
        </w:rPr>
        <w:t>Нове життя старого міста: ревіталізація пам’яток історико-культурної спадщини Луцька та Любліна</w:t>
      </w:r>
      <w:bookmarkStart w:id="4" w:name="__DdeLink__1226_1350335055"/>
      <w:r>
        <w:rPr>
          <w:rStyle w:val="26"/>
          <w:rFonts w:cs="Times New Roman" w:ascii="Times New Roman" w:hAnsi="Times New Roman"/>
          <w:color w:val="000000"/>
          <w:sz w:val="27"/>
          <w:szCs w:val="27"/>
        </w:rPr>
        <w:t>»</w:t>
      </w:r>
      <w:bookmarkEnd w:id="4"/>
      <w:r>
        <w:rPr>
          <w:rStyle w:val="23"/>
          <w:rFonts w:cs="Times New Roman" w:ascii="Times New Roman" w:hAnsi="Times New Roman"/>
          <w:b/>
          <w:bCs/>
          <w:color w:val="000000"/>
          <w:sz w:val="27"/>
          <w:szCs w:val="27"/>
        </w:rPr>
        <w:t xml:space="preserve"> </w:t>
      </w:r>
      <w:r>
        <w:rPr>
          <w:rFonts w:cs="Times New Roman" w:ascii="Times New Roman" w:hAnsi="Times New Roman"/>
          <w:b/>
          <w:bCs/>
          <w:color w:val="000000"/>
          <w:sz w:val="27"/>
          <w:szCs w:val="27"/>
        </w:rPr>
        <w:t xml:space="preserve"> (Програма транскордонного співробітництва Польща-Білорусь-Україна 2014-2020 Європейського інструменту сусідства та партнерства).</w:t>
      </w:r>
    </w:p>
    <w:p>
      <w:pPr>
        <w:pStyle w:val="NormalWeb"/>
        <w:shd w:val="clear" w:color="auto" w:fill="FFFFFF"/>
        <w:spacing w:before="0" w:after="0"/>
        <w:ind w:firstLine="567"/>
        <w:jc w:val="both"/>
        <w:rPr>
          <w:lang w:val="uk-UA"/>
        </w:rPr>
      </w:pPr>
      <w:r>
        <w:rPr>
          <w:rStyle w:val="23"/>
          <w:rFonts w:cs="Times New Roman" w:ascii="Times New Roman" w:hAnsi="Times New Roman"/>
          <w:color w:val="000000"/>
          <w:kern w:val="0"/>
          <w:sz w:val="27"/>
          <w:szCs w:val="27"/>
          <w:highlight w:val="white"/>
          <w:lang w:val="uk-UA" w:eastAsia="uk-UA" w:bidi="ar-SA"/>
        </w:rPr>
        <w:t xml:space="preserve">Для </w:t>
      </w:r>
      <w:r>
        <w:rPr>
          <w:rStyle w:val="23"/>
          <w:rFonts w:cs="Times New Roman" w:ascii="Times New Roman" w:hAnsi="Times New Roman"/>
          <w:color w:val="000000"/>
          <w:sz w:val="27"/>
          <w:szCs w:val="27"/>
          <w:highlight w:val="white"/>
          <w:lang w:val="uk-UA"/>
        </w:rPr>
        <w:t>бюджету Луцької міської територіальної громади</w:t>
      </w:r>
      <w:r>
        <w:rPr>
          <w:rStyle w:val="23"/>
          <w:rFonts w:cs="Times New Roman" w:ascii="Times New Roman" w:hAnsi="Times New Roman"/>
          <w:color w:val="000000"/>
          <w:kern w:val="0"/>
          <w:sz w:val="27"/>
          <w:szCs w:val="27"/>
          <w:highlight w:val="white"/>
          <w:lang w:val="uk-UA" w:eastAsia="uk-UA" w:bidi="ar-SA"/>
        </w:rPr>
        <w:t xml:space="preserve"> – 1 149 209,0 євро, грантові кошти (90 %) – 1 034 288,10 євро, співфінансування з бюджету –  114 926,07 євро. </w:t>
      </w:r>
    </w:p>
    <w:p>
      <w:pPr>
        <w:pStyle w:val="Normal"/>
        <w:shd w:val="clear" w:color="auto" w:fill="FFFFFF"/>
        <w:ind w:firstLine="567"/>
        <w:jc w:val="both"/>
        <w:rPr>
          <w:rFonts w:ascii="Times New Roman" w:hAnsi="Times New Roman" w:cs="Times New Roman"/>
          <w:color w:val="000000"/>
          <w:kern w:val="0"/>
          <w:sz w:val="27"/>
          <w:szCs w:val="27"/>
          <w:lang w:eastAsia="uk-UA" w:bidi="ar-SA"/>
        </w:rPr>
      </w:pPr>
      <w:r>
        <w:rPr>
          <w:rFonts w:cs="Times New Roman" w:ascii="Times New Roman" w:hAnsi="Times New Roman"/>
          <w:color w:val="000000"/>
          <w:kern w:val="0"/>
          <w:sz w:val="27"/>
          <w:szCs w:val="27"/>
          <w:lang w:eastAsia="uk-UA" w:bidi="ar-SA"/>
        </w:rPr>
        <w:t>Основні заходи проєкту: реставраційні та відновлювальні роботи (Башта Чорторийських з муром, Монастир єзуїтів та підземелля), облаштування Музею-майстерні лицарства та середньовічних часів у відреставрованій вежі та створення експозиції в підземеллях єзуїтського монастиря, проведення польсько-української конференції «Досвід ревіталізації та промоції історико-культурної спадщини», інформаційна кампанія.</w:t>
      </w:r>
    </w:p>
    <w:p>
      <w:pPr>
        <w:pStyle w:val="Normal"/>
        <w:widowControl w:val="false"/>
        <w:shd w:val="clear" w:color="auto" w:fill="FFFFFF"/>
        <w:ind w:firstLine="567"/>
        <w:jc w:val="both"/>
        <w:rPr/>
      </w:pPr>
      <w:r>
        <w:rPr>
          <w:rStyle w:val="23"/>
          <w:rFonts w:eastAsia="Times New Roman" w:cs="Times New Roman" w:ascii="Times New Roman" w:hAnsi="Times New Roman"/>
          <w:color w:val="000000"/>
          <w:sz w:val="27"/>
          <w:szCs w:val="27"/>
          <w:lang w:eastAsia="uk-UA" w:bidi="ar-SA"/>
        </w:rPr>
        <w:t>Ремонтно-реставраційні роботи на пам'ятках архітектури: монастир єзуїтів (охоронний № 77/3) та оборонна башта (башти князів Чорторийських) з муром (охоронний № 1010).</w:t>
      </w:r>
    </w:p>
    <w:p>
      <w:pPr>
        <w:pStyle w:val="Normal"/>
        <w:widowControl w:val="false"/>
        <w:shd w:val="clear" w:color="auto" w:fill="FFFFFF"/>
        <w:ind w:firstLine="567"/>
        <w:jc w:val="both"/>
        <w:rPr/>
      </w:pPr>
      <w:r>
        <w:rPr>
          <w:rStyle w:val="23"/>
          <w:rFonts w:eastAsia="Times New Roman" w:cs="Times New Roman" w:ascii="Times New Roman" w:hAnsi="Times New Roman"/>
          <w:color w:val="000000"/>
          <w:sz w:val="27"/>
          <w:szCs w:val="27"/>
          <w:lang w:eastAsia="uk-UA" w:bidi="ar-SA"/>
        </w:rPr>
        <w:t>У 2020 продовжувались ремонтно-реставраційні роботи на пам’ятках та благоустрій прилеглої території. Станом на грудень 2020 року роботи виконано на загальну суму 22 490,3 тис</w:t>
      </w:r>
      <w:r>
        <w:rPr>
          <w:rStyle w:val="23"/>
          <w:rFonts w:eastAsia="Times New Roman" w:cs="Times New Roman" w:ascii="Times New Roman" w:hAnsi="Times New Roman"/>
          <w:color w:val="000000"/>
          <w:sz w:val="27"/>
          <w:szCs w:val="27"/>
          <w:highlight w:val="white"/>
          <w:lang w:eastAsia="uk-UA" w:bidi="ar-SA"/>
        </w:rPr>
        <w:t xml:space="preserve">. </w:t>
      </w:r>
      <w:r>
        <w:rPr>
          <w:rStyle w:val="23"/>
          <w:rFonts w:eastAsia="Times New Roman" w:cs="Times New Roman" w:ascii="Times New Roman" w:hAnsi="Times New Roman"/>
          <w:color w:val="000000"/>
          <w:sz w:val="27"/>
          <w:szCs w:val="27"/>
          <w:lang w:eastAsia="uk-UA" w:bidi="ar-SA"/>
        </w:rPr>
        <w:t>грн (742,0</w:t>
      </w:r>
      <w:r>
        <w:rPr>
          <w:rStyle w:val="23"/>
          <w:rFonts w:eastAsia="Times New Roman" w:cs="Times New Roman" w:ascii="Times New Roman" w:hAnsi="Times New Roman"/>
          <w:color w:val="000000"/>
          <w:sz w:val="27"/>
          <w:szCs w:val="27"/>
          <w:highlight w:val="white"/>
          <w:lang w:eastAsia="uk-UA" w:bidi="ar-SA"/>
        </w:rPr>
        <w:t xml:space="preserve"> тис. євро).</w:t>
      </w:r>
      <w:r>
        <w:rPr>
          <w:rStyle w:val="23"/>
          <w:rFonts w:eastAsia="Times New Roman" w:cs="Times New Roman" w:ascii="Times New Roman" w:hAnsi="Times New Roman"/>
          <w:color w:val="000000"/>
          <w:sz w:val="27"/>
          <w:szCs w:val="27"/>
          <w:lang w:eastAsia="uk-UA" w:bidi="ar-SA"/>
        </w:rPr>
        <w:t xml:space="preserve"> </w:t>
      </w:r>
    </w:p>
    <w:p>
      <w:pPr>
        <w:pStyle w:val="Normal"/>
        <w:widowControl w:val="false"/>
        <w:shd w:val="clear" w:color="auto" w:fill="FFFFFF"/>
        <w:ind w:firstLine="567"/>
        <w:jc w:val="both"/>
        <w:rPr/>
      </w:pPr>
      <w:r>
        <w:rPr>
          <w:rStyle w:val="23"/>
          <w:rFonts w:eastAsia="Times New Roman" w:cs="Times New Roman" w:ascii="Times New Roman" w:hAnsi="Times New Roman"/>
          <w:color w:val="000000"/>
          <w:sz w:val="27"/>
          <w:szCs w:val="27"/>
          <w:lang w:eastAsia="uk-UA" w:bidi="ar-SA"/>
        </w:rPr>
        <w:t xml:space="preserve">Реалізовано такі заходи проєкту: </w:t>
      </w:r>
    </w:p>
    <w:p>
      <w:pPr>
        <w:pStyle w:val="Normal"/>
        <w:widowControl w:val="false"/>
        <w:shd w:val="clear" w:color="auto" w:fill="FFFFFF"/>
        <w:ind w:firstLine="567"/>
        <w:jc w:val="both"/>
        <w:rPr/>
      </w:pPr>
      <w:r>
        <w:rPr>
          <w:rStyle w:val="23"/>
          <w:rFonts w:eastAsia="Times New Roman" w:cs="Times New Roman" w:ascii="Times New Roman" w:hAnsi="Times New Roman"/>
          <w:color w:val="000000"/>
          <w:sz w:val="27"/>
          <w:szCs w:val="27"/>
          <w:lang w:eastAsia="uk-UA" w:bidi="ar-SA"/>
        </w:rPr>
        <w:t>- проведено наукові археологічні дослідження на ділянці завалу оборонного муру Окольного замку, при облаштуванні гідроізоляції цоколя південно-західного фасаду пам’ятки архітектури національного значення «Келії монастиря єзуїтів»</w:t>
      </w:r>
    </w:p>
    <w:p>
      <w:pPr>
        <w:pStyle w:val="Normal"/>
        <w:widowControl w:val="false"/>
        <w:shd w:val="clear" w:color="auto" w:fill="FFFFFF"/>
        <w:ind w:firstLine="567"/>
        <w:jc w:val="both"/>
        <w:rPr/>
      </w:pPr>
      <w:r>
        <w:rPr>
          <w:rStyle w:val="23"/>
          <w:rFonts w:eastAsia="Times New Roman" w:cs="Times New Roman" w:ascii="Times New Roman" w:hAnsi="Times New Roman"/>
          <w:color w:val="000000"/>
          <w:sz w:val="27"/>
          <w:szCs w:val="27"/>
          <w:lang w:eastAsia="uk-UA" w:bidi="ar-SA"/>
        </w:rPr>
        <w:t>- автором проєктно-кошторисної документації ПП «Прайд» розроблено додаткові проєктні рішення для здійснення реставраційного ремонту та забезпечення доступу до новознайдених під час реставраційних робіт підвалів башти Чорторийських та частини південно-західного крила монастиря єзуїтів та інше.</w:t>
      </w:r>
    </w:p>
    <w:p>
      <w:pPr>
        <w:pStyle w:val="Normal"/>
        <w:widowControl w:val="false"/>
        <w:shd w:val="clear" w:color="auto" w:fill="FFFFFF"/>
        <w:ind w:firstLine="567"/>
        <w:jc w:val="both"/>
        <w:rPr>
          <w:rStyle w:val="23"/>
          <w:rFonts w:ascii="Times New Roman" w:hAnsi="Times New Roman" w:eastAsia="Times New Roman" w:cs="Times New Roman"/>
          <w:color w:val="000000"/>
          <w:sz w:val="27"/>
          <w:szCs w:val="27"/>
          <w:lang w:eastAsia="uk-UA" w:bidi="ar-SA"/>
        </w:rPr>
      </w:pPr>
      <w:r>
        <w:rPr>
          <w:rFonts w:eastAsia="Times New Roman" w:cs="Times New Roman" w:ascii="Times New Roman" w:hAnsi="Times New Roman"/>
          <w:color w:val="000000"/>
          <w:sz w:val="27"/>
          <w:szCs w:val="27"/>
          <w:lang w:eastAsia="uk-UA" w:bidi="ar-SA"/>
        </w:rPr>
      </w:r>
    </w:p>
    <w:p>
      <w:pPr>
        <w:pStyle w:val="Normal"/>
        <w:widowControl w:val="false"/>
        <w:shd w:val="clear" w:color="auto" w:fill="FFFFFF"/>
        <w:ind w:firstLine="567"/>
        <w:jc w:val="both"/>
        <w:rPr/>
      </w:pPr>
      <w:r>
        <w:rPr>
          <w:rFonts w:cs="Times New Roman" w:ascii="Times New Roman" w:hAnsi="Times New Roman"/>
          <w:b/>
          <w:bCs/>
          <w:color w:val="000000"/>
          <w:sz w:val="27"/>
          <w:szCs w:val="27"/>
        </w:rPr>
        <w:t>«Використання екологічних і розумних технологій у системі громадського транспорту міста Луцька</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w:t>
      </w:r>
      <w:r>
        <w:rPr>
          <w:rFonts w:cs="Times New Roman" w:ascii="Times New Roman" w:hAnsi="Times New Roman"/>
          <w:b/>
          <w:bCs/>
          <w:color w:val="000000"/>
          <w:sz w:val="27"/>
          <w:szCs w:val="27"/>
        </w:rPr>
        <w:t xml:space="preserve"> (Програма NAKOPA-2018 за підтримки Міністерства економічної співпраці і розвитку ФРН)</w:t>
      </w:r>
    </w:p>
    <w:p>
      <w:pPr>
        <w:pStyle w:val="Normal"/>
        <w:jc w:val="both"/>
        <w:rPr/>
      </w:pPr>
      <w:r>
        <w:rPr>
          <w:rStyle w:val="23"/>
          <w:rFonts w:cs="Times New Roman" w:ascii="Times New Roman" w:hAnsi="Times New Roman"/>
          <w:color w:val="000000"/>
          <w:sz w:val="27"/>
          <w:szCs w:val="27"/>
        </w:rPr>
        <w:t xml:space="preserve"> </w:t>
      </w:r>
      <w:r>
        <w:rPr>
          <w:rStyle w:val="Style9"/>
          <w:rFonts w:cs="Times New Roman" w:ascii="Times New Roman" w:hAnsi="Times New Roman"/>
          <w:b w:val="false"/>
          <w:color w:val="000000"/>
          <w:sz w:val="27"/>
          <w:szCs w:val="27"/>
        </w:rPr>
        <w:t>Бюджет проєкту </w:t>
      </w:r>
      <w:r>
        <w:rPr>
          <w:rStyle w:val="Style9"/>
          <w:rFonts w:eastAsia="Times New Roman" w:cs="Times New Roman" w:ascii="Times New Roman" w:hAnsi="Times New Roman"/>
          <w:b w:val="false"/>
          <w:color w:val="000000"/>
          <w:sz w:val="27"/>
          <w:szCs w:val="27"/>
        </w:rPr>
        <w:t>‒ </w:t>
      </w:r>
      <w:r>
        <w:rPr>
          <w:rStyle w:val="23"/>
          <w:rFonts w:cs="Times New Roman" w:ascii="Times New Roman" w:hAnsi="Times New Roman"/>
          <w:color w:val="000000"/>
          <w:sz w:val="27"/>
          <w:szCs w:val="27"/>
        </w:rPr>
        <w:t xml:space="preserve">249 700,0 євро, </w:t>
      </w:r>
      <w:r>
        <w:rPr>
          <w:rStyle w:val="Style9"/>
          <w:rFonts w:cs="Times New Roman" w:ascii="Times New Roman" w:hAnsi="Times New Roman"/>
          <w:b w:val="false"/>
          <w:color w:val="000000"/>
          <w:sz w:val="27"/>
          <w:szCs w:val="27"/>
        </w:rPr>
        <w:t>грантові кошти </w:t>
      </w:r>
      <w:r>
        <w:rPr>
          <w:rStyle w:val="Style9"/>
          <w:rFonts w:eastAsia="Times New Roman" w:cs="Times New Roman" w:ascii="Times New Roman" w:hAnsi="Times New Roman"/>
          <w:b w:val="false"/>
          <w:color w:val="000000"/>
          <w:sz w:val="27"/>
          <w:szCs w:val="27"/>
        </w:rPr>
        <w:t>‒ </w:t>
      </w:r>
      <w:r>
        <w:rPr>
          <w:rStyle w:val="23"/>
          <w:rFonts w:cs="Times New Roman" w:ascii="Times New Roman" w:hAnsi="Times New Roman"/>
          <w:color w:val="000000"/>
          <w:sz w:val="27"/>
          <w:szCs w:val="27"/>
        </w:rPr>
        <w:t xml:space="preserve">224 730,0 євро, </w:t>
      </w:r>
      <w:r>
        <w:rPr>
          <w:rStyle w:val="Style9"/>
          <w:rFonts w:cs="Times New Roman" w:ascii="Times New Roman" w:hAnsi="Times New Roman"/>
          <w:b w:val="false"/>
          <w:color w:val="000000"/>
          <w:sz w:val="27"/>
          <w:szCs w:val="27"/>
        </w:rPr>
        <w:t xml:space="preserve">співфінансування з бюджету </w:t>
      </w:r>
      <w:r>
        <w:rPr>
          <w:rStyle w:val="23"/>
          <w:rFonts w:cs="Times New Roman" w:ascii="Times New Roman" w:hAnsi="Times New Roman"/>
          <w:color w:val="000000"/>
          <w:sz w:val="27"/>
          <w:szCs w:val="27"/>
        </w:rPr>
        <w:t>міської територіальної громади</w:t>
      </w:r>
      <w:r>
        <w:rPr>
          <w:rStyle w:val="Style9"/>
          <w:rFonts w:cs="Times New Roman" w:ascii="Times New Roman" w:hAnsi="Times New Roman"/>
          <w:b w:val="false"/>
          <w:color w:val="000000"/>
          <w:sz w:val="27"/>
          <w:szCs w:val="27"/>
        </w:rPr>
        <w:t> </w:t>
      </w:r>
      <w:r>
        <w:rPr>
          <w:rStyle w:val="Style9"/>
          <w:rFonts w:eastAsia="Times New Roman" w:cs="Times New Roman" w:ascii="Times New Roman" w:hAnsi="Times New Roman"/>
          <w:b w:val="false"/>
          <w:color w:val="000000"/>
          <w:sz w:val="27"/>
          <w:szCs w:val="27"/>
        </w:rPr>
        <w:t>‒ </w:t>
      </w:r>
      <w:r>
        <w:rPr>
          <w:rStyle w:val="23"/>
          <w:rFonts w:cs="Times New Roman" w:ascii="Times New Roman" w:hAnsi="Times New Roman"/>
          <w:color w:val="000000"/>
          <w:sz w:val="27"/>
          <w:szCs w:val="27"/>
        </w:rPr>
        <w:t>24 970,0 євро.</w:t>
      </w:r>
    </w:p>
    <w:p>
      <w:pPr>
        <w:pStyle w:val="NormalWeb"/>
        <w:spacing w:before="0" w:after="0"/>
        <w:ind w:firstLine="567"/>
        <w:jc w:val="both"/>
        <w:rPr/>
      </w:pPr>
      <w:r>
        <w:rPr>
          <w:rFonts w:cs="Times New Roman" w:ascii="Times New Roman" w:hAnsi="Times New Roman"/>
          <w:color w:val="000000"/>
          <w:sz w:val="27"/>
          <w:szCs w:val="27"/>
          <w:lang w:val="uk-UA"/>
        </w:rPr>
        <w:t xml:space="preserve">В рамках проєкту передбачено встановлення розумних зупинок громадського транспорту, які міститимуть: розумний екран, на якому висвітлюватиметься інформація про прибуття громадського транспорту, сонячна батарея, точка для зарядки телефону, зовнішнє освітлення, смітники для роздільного збору сміття, камера відео спостереження. </w:t>
      </w:r>
    </w:p>
    <w:p>
      <w:pPr>
        <w:pStyle w:val="NormalWeb"/>
        <w:spacing w:before="0" w:after="0"/>
        <w:ind w:firstLine="567"/>
        <w:jc w:val="both"/>
        <w:rPr/>
      </w:pPr>
      <w:r>
        <w:rPr>
          <w:rFonts w:cs="Times New Roman" w:ascii="Times New Roman" w:hAnsi="Times New Roman"/>
          <w:color w:val="000000"/>
          <w:sz w:val="27"/>
          <w:szCs w:val="27"/>
          <w:lang w:val="uk-UA"/>
        </w:rPr>
        <w:t xml:space="preserve">Здійснено наступні заходи: </w:t>
      </w:r>
      <w:r>
        <w:rPr>
          <w:rStyle w:val="26"/>
          <w:rFonts w:cs="Times New Roman" w:ascii="Times New Roman" w:hAnsi="Times New Roman"/>
          <w:color w:val="000000"/>
          <w:sz w:val="27"/>
          <w:szCs w:val="27"/>
          <w:lang w:val="uk-UA"/>
        </w:rPr>
        <w:t xml:space="preserve">підписано договір з Луцьким національним технічним університетом на розробку Стратегії розвитку громадського транспорту та транспортної інфраструктури Луцької міської територіальної громади до 2025 року. Організовано робочий візит делегації Луцької міської ради до краю Ліппе, метою якого було ознайомлення з особливостями функціонування транспортної системи в Ліппе та обміну досвідом. Проведено відкриті торги на 9 «розумних зупинок» та 22 «розумних табло». Отримано грантові кошти – 217 600 євро               (6 541 000 грн).У четвертому кварталі розпочато встановлення зупинок. </w:t>
      </w:r>
    </w:p>
    <w:p>
      <w:pPr>
        <w:pStyle w:val="NormalWeb"/>
        <w:spacing w:before="0" w:after="0"/>
        <w:ind w:firstLine="567"/>
        <w:jc w:val="both"/>
        <w:rPr>
          <w:rStyle w:val="26"/>
          <w:rFonts w:ascii="Times New Roman" w:hAnsi="Times New Roman" w:cs="Times New Roman"/>
          <w:color w:val="168253"/>
          <w:sz w:val="27"/>
          <w:szCs w:val="27"/>
          <w:lang w:val="uk-UA"/>
        </w:rPr>
      </w:pPr>
      <w:r>
        <w:rPr>
          <w:rFonts w:cs="Times New Roman" w:ascii="Times New Roman" w:hAnsi="Times New Roman"/>
          <w:color w:val="168253"/>
          <w:sz w:val="27"/>
          <w:szCs w:val="27"/>
          <w:lang w:val="uk-UA"/>
        </w:rPr>
      </w:r>
    </w:p>
    <w:p>
      <w:pPr>
        <w:pStyle w:val="NormalWeb"/>
        <w:spacing w:before="0" w:after="0"/>
        <w:ind w:firstLine="567"/>
        <w:jc w:val="both"/>
        <w:rPr>
          <w:lang w:val="uk-UA"/>
        </w:rPr>
      </w:pPr>
      <w:r>
        <w:rPr>
          <w:rFonts w:cs="Times New Roman" w:ascii="Times New Roman" w:hAnsi="Times New Roman"/>
          <w:b/>
          <w:bCs/>
          <w:color w:val="000000"/>
          <w:sz w:val="27"/>
          <w:szCs w:val="27"/>
          <w:lang w:val="uk-UA"/>
        </w:rPr>
        <w:t>2. Продовження реалізації інфраструктурних проєктів, що фінансуються міжнародними фінансовими організаціями:</w:t>
      </w:r>
    </w:p>
    <w:p>
      <w:pPr>
        <w:pStyle w:val="Normal"/>
        <w:tabs>
          <w:tab w:val="clear" w:pos="709"/>
          <w:tab w:val="left" w:pos="1305" w:leader="none"/>
        </w:tabs>
        <w:ind w:firstLine="709"/>
        <w:jc w:val="both"/>
        <w:rPr/>
      </w:pPr>
      <w:r>
        <w:rPr>
          <w:rStyle w:val="23"/>
          <w:rFonts w:cs="Times New Roman" w:ascii="Times New Roman" w:hAnsi="Times New Roman"/>
          <w:color w:val="000000"/>
          <w:sz w:val="27"/>
          <w:szCs w:val="27"/>
        </w:rPr>
        <w:t>- </w:t>
      </w:r>
      <w:r>
        <w:rPr>
          <w:rStyle w:val="23"/>
          <w:rFonts w:cs="Times New Roman" w:ascii="Times New Roman" w:hAnsi="Times New Roman"/>
          <w:b/>
          <w:bCs/>
          <w:color w:val="000000"/>
          <w:sz w:val="27"/>
          <w:szCs w:val="27"/>
        </w:rPr>
        <w:t>«Проєкт реконструкції системи централізованого теплопостачання у м. Луцьк</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у співпраці з Європейським банком реконструкції та розвитку.</w:t>
      </w:r>
    </w:p>
    <w:p>
      <w:pPr>
        <w:pStyle w:val="Normal"/>
        <w:shd w:val="clear" w:color="auto" w:fill="FFFFFF"/>
        <w:snapToGrid w:val="false"/>
        <w:ind w:firstLine="510"/>
        <w:jc w:val="both"/>
        <w:rPr/>
      </w:pPr>
      <w:r>
        <w:rPr>
          <w:rStyle w:val="23"/>
          <w:rFonts w:cs="Times New Roman" w:ascii="Times New Roman" w:hAnsi="Times New Roman"/>
          <w:color w:val="000000"/>
          <w:sz w:val="27"/>
          <w:szCs w:val="27"/>
        </w:rPr>
        <w:t xml:space="preserve">Проєкт реконструкції системи централізованого теплопостачання у м. Луцьк» перебуває на завершальному етапі. </w:t>
      </w:r>
      <w:r>
        <w:rPr>
          <w:rStyle w:val="23"/>
          <w:rFonts w:eastAsia="Times New Roman" w:cs="Times New Roman" w:ascii="Times New Roman" w:hAnsi="Times New Roman"/>
          <w:color w:val="000000"/>
          <w:sz w:val="27"/>
          <w:szCs w:val="27"/>
        </w:rPr>
        <w:t>Починаючи з 2018 року залучено 4,62 млн євро кредиту та 1,3 млн євро гранту.</w:t>
      </w:r>
    </w:p>
    <w:p>
      <w:pPr>
        <w:pStyle w:val="Normal"/>
        <w:shd w:val="clear" w:color="auto" w:fill="FFFFFF"/>
        <w:snapToGrid w:val="false"/>
        <w:ind w:firstLine="510"/>
        <w:jc w:val="both"/>
        <w:rPr/>
      </w:pPr>
      <w:r>
        <w:rPr>
          <w:rStyle w:val="23"/>
          <w:rFonts w:cs="Times New Roman" w:ascii="Times New Roman" w:hAnsi="Times New Roman"/>
          <w:color w:val="000000"/>
          <w:sz w:val="27"/>
          <w:szCs w:val="27"/>
        </w:rPr>
        <w:t xml:space="preserve">За контрактом № 1 </w:t>
      </w:r>
      <w:r>
        <w:rPr>
          <w:rStyle w:val="Fontstyle01"/>
          <w:rFonts w:cs="Times New Roman" w:ascii="Times New Roman" w:hAnsi="Times New Roman"/>
          <w:b w:val="false"/>
        </w:rPr>
        <w:t>«</w:t>
      </w:r>
      <w:r>
        <w:rPr>
          <w:rStyle w:val="Fontstyle01"/>
          <w:rFonts w:cs="Times New Roman" w:ascii="Times New Roman" w:hAnsi="Times New Roman"/>
          <w:b w:val="false"/>
          <w:bCs w:val="false"/>
          <w:sz w:val="27"/>
          <w:szCs w:val="27"/>
        </w:rPr>
        <w:t>Нові теплові пункти у</w:t>
      </w:r>
      <w:r>
        <w:rPr>
          <w:rStyle w:val="Fontstyle01"/>
          <w:rFonts w:cs="Times New Roman" w:ascii="Times New Roman" w:hAnsi="Times New Roman"/>
          <w:b w:val="false"/>
          <w:bCs w:val="false"/>
          <w:sz w:val="27"/>
          <w:szCs w:val="27"/>
          <w:lang w:val="ru-RU"/>
        </w:rPr>
        <w:t xml:space="preserve"> </w:t>
      </w:r>
      <w:r>
        <w:rPr>
          <w:rStyle w:val="Fontstyle01"/>
          <w:rFonts w:cs="Times New Roman" w:ascii="Times New Roman" w:hAnsi="Times New Roman"/>
          <w:b w:val="false"/>
          <w:bCs w:val="false"/>
          <w:sz w:val="27"/>
          <w:szCs w:val="27"/>
        </w:rPr>
        <w:t>житлових будинках</w:t>
      </w:r>
      <w:r>
        <w:rPr>
          <w:rStyle w:val="23"/>
          <w:rFonts w:cs="Times New Roman" w:ascii="Times New Roman" w:hAnsi="Times New Roman"/>
          <w:color w:val="000000"/>
          <w:sz w:val="27"/>
          <w:szCs w:val="27"/>
        </w:rPr>
        <w:t>»</w:t>
      </w:r>
      <w:r>
        <w:rPr>
          <w:rStyle w:val="Fontstyle01"/>
          <w:rFonts w:cs="Times New Roman" w:ascii="Times New Roman" w:hAnsi="Times New Roman"/>
          <w:b w:val="false"/>
          <w:bCs w:val="false"/>
          <w:sz w:val="27"/>
          <w:szCs w:val="27"/>
          <w:lang w:val="ru-RU"/>
        </w:rPr>
        <w:t xml:space="preserve"> (</w:t>
      </w:r>
      <w:r>
        <w:rPr>
          <w:rStyle w:val="Fontstyle01"/>
          <w:rFonts w:cs="Times New Roman" w:ascii="Times New Roman" w:hAnsi="Times New Roman"/>
          <w:b w:val="false"/>
          <w:bCs w:val="false"/>
          <w:sz w:val="27"/>
          <w:szCs w:val="27"/>
        </w:rPr>
        <w:t>станом на кінець звітного періоду одержано</w:t>
      </w:r>
      <w:r>
        <w:rPr>
          <w:rStyle w:val="23"/>
          <w:rFonts w:cs="Times New Roman" w:ascii="Times New Roman" w:hAnsi="Times New Roman"/>
          <w:color w:val="000000"/>
          <w:sz w:val="27"/>
          <w:szCs w:val="27"/>
        </w:rPr>
        <w:t xml:space="preserve"> 160 ІТП з 254 ( 53% від усієї кількості), змонтовано 82 підстанції, передано в монтаж 88 ІТП.</w:t>
      </w:r>
    </w:p>
    <w:p>
      <w:pPr>
        <w:pStyle w:val="Normal"/>
        <w:shd w:val="clear" w:color="auto" w:fill="FFFFFF"/>
        <w:snapToGrid w:val="false"/>
        <w:ind w:firstLine="510"/>
        <w:jc w:val="both"/>
        <w:rPr/>
      </w:pPr>
      <w:r>
        <w:rPr>
          <w:rStyle w:val="23"/>
          <w:rFonts w:cs="Times New Roman" w:ascii="Times New Roman" w:hAnsi="Times New Roman"/>
          <w:color w:val="000000"/>
          <w:sz w:val="27"/>
          <w:szCs w:val="27"/>
        </w:rPr>
        <w:t xml:space="preserve">28 квітня отримано четверту вибірку коштів та здійснено розрахунки з Підрядником за Контрактом </w:t>
      </w:r>
      <w:r>
        <w:rPr>
          <w:rStyle w:val="Fontstyle01"/>
          <w:rFonts w:cs="Times New Roman" w:ascii="Times New Roman" w:hAnsi="Times New Roman"/>
          <w:b w:val="false"/>
          <w:sz w:val="27"/>
          <w:szCs w:val="27"/>
        </w:rPr>
        <w:t xml:space="preserve">№ 2b </w:t>
      </w:r>
      <w:r>
        <w:rPr>
          <w:rStyle w:val="26"/>
          <w:rFonts w:cs="Times New Roman" w:ascii="Times New Roman" w:hAnsi="Times New Roman"/>
          <w:b/>
          <w:bCs/>
          <w:color w:val="000000"/>
          <w:sz w:val="27"/>
          <w:szCs w:val="27"/>
        </w:rPr>
        <w:t>«</w:t>
      </w:r>
      <w:r>
        <w:rPr>
          <w:rStyle w:val="Fontstyle01"/>
          <w:rFonts w:cs="Times New Roman" w:ascii="Times New Roman" w:hAnsi="Times New Roman"/>
          <w:b w:val="false"/>
          <w:sz w:val="27"/>
          <w:szCs w:val="27"/>
        </w:rPr>
        <w:t>Заміна котлів (реконструкція котелень)</w:t>
      </w:r>
      <w:r>
        <w:rPr>
          <w:rStyle w:val="26"/>
          <w:rFonts w:cs="Times New Roman" w:ascii="Times New Roman" w:hAnsi="Times New Roman"/>
          <w:color w:val="000000"/>
          <w:sz w:val="27"/>
          <w:szCs w:val="27"/>
        </w:rPr>
        <w:t>»</w:t>
      </w:r>
      <w:r>
        <w:rPr>
          <w:rStyle w:val="23"/>
          <w:rFonts w:cs="Times New Roman" w:ascii="Times New Roman" w:hAnsi="Times New Roman"/>
          <w:color w:val="000000"/>
          <w:sz w:val="27"/>
          <w:szCs w:val="27"/>
        </w:rPr>
        <w:t xml:space="preserve"> </w:t>
      </w:r>
      <w:r>
        <w:rPr>
          <w:rStyle w:val="Fontstyle01"/>
          <w:rFonts w:cs="Times New Roman" w:ascii="Times New Roman" w:hAnsi="Times New Roman"/>
          <w:b w:val="false"/>
          <w:bCs w:val="false"/>
          <w:sz w:val="27"/>
          <w:szCs w:val="27"/>
        </w:rPr>
        <w:t>.</w:t>
      </w:r>
    </w:p>
    <w:p>
      <w:pPr>
        <w:pStyle w:val="Normal"/>
        <w:shd w:val="clear" w:color="auto" w:fill="FFFFFF"/>
        <w:snapToGrid w:val="false"/>
        <w:ind w:firstLine="510"/>
        <w:jc w:val="both"/>
        <w:rPr/>
      </w:pPr>
      <w:r>
        <w:rPr>
          <w:rStyle w:val="23"/>
          <w:rFonts w:cs="Times New Roman" w:ascii="Times New Roman" w:hAnsi="Times New Roman"/>
          <w:color w:val="000000"/>
          <w:sz w:val="27"/>
          <w:szCs w:val="27"/>
        </w:rPr>
        <w:t xml:space="preserve">Лот </w:t>
      </w:r>
      <w:r>
        <w:rPr>
          <w:rStyle w:val="Fontstyle01"/>
          <w:rFonts w:cs="Times New Roman" w:ascii="Times New Roman" w:hAnsi="Times New Roman"/>
          <w:b w:val="false"/>
          <w:sz w:val="27"/>
          <w:szCs w:val="27"/>
        </w:rPr>
        <w:t xml:space="preserve">№ 3а </w:t>
      </w:r>
      <w:r>
        <w:rPr>
          <w:rStyle w:val="26"/>
          <w:rFonts w:cs="Times New Roman" w:ascii="Times New Roman" w:hAnsi="Times New Roman"/>
          <w:b/>
          <w:bCs/>
          <w:color w:val="000000"/>
          <w:sz w:val="27"/>
          <w:szCs w:val="27"/>
        </w:rPr>
        <w:t>«</w:t>
      </w:r>
      <w:r>
        <w:rPr>
          <w:rStyle w:val="Fontstyle01"/>
          <w:rFonts w:cs="Times New Roman" w:ascii="Times New Roman" w:hAnsi="Times New Roman"/>
          <w:b w:val="false"/>
          <w:sz w:val="27"/>
          <w:szCs w:val="27"/>
        </w:rPr>
        <w:t>Модернізація котелень – заміна пальників у 18 водогрійних котлах</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w:t>
      </w:r>
      <w:r>
        <w:rPr>
          <w:rStyle w:val="Fontstyle01"/>
          <w:rFonts w:cs="Times New Roman" w:ascii="Times New Roman" w:hAnsi="Times New Roman"/>
          <w:b w:val="false"/>
          <w:sz w:val="27"/>
          <w:szCs w:val="27"/>
        </w:rPr>
        <w:t xml:space="preserve"> </w:t>
      </w:r>
      <w:r>
        <w:rPr>
          <w:rStyle w:val="23"/>
          <w:rFonts w:cs="Times New Roman" w:ascii="Times New Roman" w:hAnsi="Times New Roman"/>
          <w:color w:val="000000"/>
          <w:sz w:val="27"/>
          <w:szCs w:val="27"/>
        </w:rPr>
        <w:t xml:space="preserve">відкрито пропозиції тендерних закупівель. </w:t>
      </w:r>
    </w:p>
    <w:p>
      <w:pPr>
        <w:pStyle w:val="Normal"/>
        <w:shd w:val="clear" w:color="auto" w:fill="FFFFFF"/>
        <w:snapToGrid w:val="false"/>
        <w:ind w:firstLine="510"/>
        <w:jc w:val="both"/>
        <w:rPr/>
      </w:pPr>
      <w:r>
        <w:rPr>
          <w:rStyle w:val="23"/>
          <w:rFonts w:cs="Times New Roman" w:ascii="Times New Roman" w:hAnsi="Times New Roman"/>
          <w:color w:val="000000"/>
          <w:sz w:val="27"/>
          <w:szCs w:val="27"/>
        </w:rPr>
        <w:t xml:space="preserve">Лот </w:t>
      </w:r>
      <w:r>
        <w:rPr>
          <w:rStyle w:val="Fontstyle01"/>
          <w:rFonts w:cs="Times New Roman" w:ascii="Times New Roman" w:hAnsi="Times New Roman"/>
          <w:b w:val="false"/>
          <w:sz w:val="27"/>
          <w:szCs w:val="27"/>
        </w:rPr>
        <w:t xml:space="preserve">№ 3b </w:t>
      </w:r>
      <w:r>
        <w:rPr>
          <w:rStyle w:val="26"/>
          <w:rFonts w:cs="Times New Roman" w:ascii="Times New Roman" w:hAnsi="Times New Roman"/>
          <w:b/>
          <w:bCs/>
          <w:color w:val="000000"/>
          <w:sz w:val="27"/>
          <w:szCs w:val="27"/>
        </w:rPr>
        <w:t>«</w:t>
      </w:r>
      <w:r>
        <w:rPr>
          <w:rStyle w:val="Fontstyle01"/>
          <w:rFonts w:cs="Times New Roman" w:ascii="Times New Roman" w:hAnsi="Times New Roman"/>
          <w:b w:val="false"/>
          <w:sz w:val="27"/>
          <w:szCs w:val="27"/>
        </w:rPr>
        <w:t>Модернізація котелень – заміна великих насосів</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w:t>
      </w:r>
      <w:r>
        <w:rPr>
          <w:rStyle w:val="23"/>
          <w:rFonts w:cs="Times New Roman" w:ascii="Times New Roman" w:hAnsi="Times New Roman"/>
          <w:color w:val="000000"/>
          <w:sz w:val="27"/>
          <w:szCs w:val="27"/>
        </w:rPr>
        <w:t>1</w:t>
      </w:r>
      <w:r>
        <w:rPr>
          <w:rStyle w:val="Fontstyle01"/>
          <w:rFonts w:cs="Times New Roman" w:ascii="Times New Roman" w:hAnsi="Times New Roman"/>
          <w:b w:val="false"/>
          <w:bCs w:val="false"/>
          <w:sz w:val="27"/>
          <w:szCs w:val="27"/>
        </w:rPr>
        <w:t xml:space="preserve">5 грудня  відбувся другий етап відкриття тендерних пропозицій, який було проведено в електронній формі за допомогою </w:t>
      </w:r>
      <w:r>
        <w:rPr>
          <w:rStyle w:val="Fontstyle01"/>
          <w:rFonts w:cs="Times New Roman" w:ascii="Times New Roman" w:hAnsi="Times New Roman"/>
          <w:b w:val="false"/>
          <w:bCs w:val="false"/>
          <w:sz w:val="27"/>
          <w:highlight w:val="white"/>
        </w:rPr>
        <w:t xml:space="preserve">Huddle (захищений портал для хмарної співпраці, що використовується ЄБРР). </w:t>
      </w:r>
    </w:p>
    <w:p>
      <w:pPr>
        <w:pStyle w:val="Normal"/>
        <w:shd w:val="clear" w:color="auto" w:fill="FFFFFF"/>
        <w:snapToGrid w:val="false"/>
        <w:ind w:firstLine="510"/>
        <w:jc w:val="both"/>
        <w:rPr/>
      </w:pPr>
      <w:r>
        <w:rPr>
          <w:rStyle w:val="23"/>
          <w:rFonts w:cs="Times New Roman" w:ascii="Times New Roman" w:hAnsi="Times New Roman"/>
          <w:color w:val="000000"/>
          <w:sz w:val="27"/>
          <w:szCs w:val="27"/>
        </w:rPr>
        <w:t>Лот</w:t>
      </w:r>
      <w:r>
        <w:rPr>
          <w:rStyle w:val="Fontstyle01"/>
          <w:rFonts w:cs="Times New Roman" w:ascii="Times New Roman" w:hAnsi="Times New Roman"/>
          <w:b w:val="false"/>
          <w:bCs w:val="false"/>
          <w:sz w:val="27"/>
          <w:szCs w:val="27"/>
        </w:rPr>
        <w:t xml:space="preserve"> № 3c «Модернізація центральних теплових пунктів»: підготовлено </w:t>
      </w:r>
      <w:r>
        <w:rPr>
          <w:rStyle w:val="23"/>
          <w:rFonts w:cs="Times New Roman" w:ascii="Times New Roman" w:hAnsi="Times New Roman"/>
          <w:color w:val="000000"/>
          <w:sz w:val="27"/>
          <w:szCs w:val="27"/>
        </w:rPr>
        <w:t>тендерну документацію</w:t>
      </w:r>
      <w:r>
        <w:rPr>
          <w:rStyle w:val="Fontstyle01"/>
          <w:rFonts w:cs="Times New Roman" w:ascii="Times New Roman" w:hAnsi="Times New Roman"/>
          <w:b w:val="false"/>
          <w:bCs w:val="false"/>
          <w:sz w:val="27"/>
          <w:highlight w:val="white"/>
        </w:rPr>
        <w:t xml:space="preserve"> та відправлено на погодження Банком через </w:t>
      </w:r>
      <w:r>
        <w:rPr>
          <w:rStyle w:val="Fontstyle01"/>
          <w:rFonts w:cs="Times New Roman" w:ascii="Times New Roman" w:hAnsi="Times New Roman"/>
          <w:b w:val="false"/>
          <w:bCs w:val="false"/>
          <w:sz w:val="27"/>
          <w:highlight w:val="white"/>
          <w:lang w:val="en-US"/>
        </w:rPr>
        <w:t>ECEPP</w:t>
      </w:r>
      <w:r>
        <w:rPr>
          <w:rStyle w:val="Fontstyle01"/>
          <w:rFonts w:cs="Times New Roman" w:ascii="Times New Roman" w:hAnsi="Times New Roman"/>
          <w:b w:val="false"/>
          <w:bCs w:val="false"/>
          <w:sz w:val="27"/>
          <w:highlight w:val="white"/>
        </w:rPr>
        <w:t xml:space="preserve"> (Портал електронних закупівель клієнтів ЄБРР).</w:t>
      </w:r>
    </w:p>
    <w:p>
      <w:pPr>
        <w:pStyle w:val="Normal"/>
        <w:shd w:val="clear" w:color="auto" w:fill="FFFFFF"/>
        <w:snapToGrid w:val="false"/>
        <w:ind w:firstLine="510"/>
        <w:jc w:val="both"/>
        <w:rPr/>
      </w:pPr>
      <w:r>
        <w:rPr>
          <w:rStyle w:val="Fontstyle01"/>
          <w:rFonts w:cs="Times New Roman" w:ascii="Times New Roman" w:hAnsi="Times New Roman"/>
          <w:b w:val="false"/>
          <w:sz w:val="27"/>
          <w:szCs w:val="27"/>
        </w:rPr>
        <w:t xml:space="preserve">Лот № 7 </w:t>
      </w:r>
      <w:r>
        <w:rPr>
          <w:rStyle w:val="26"/>
          <w:rFonts w:cs="Times New Roman" w:ascii="Times New Roman" w:hAnsi="Times New Roman"/>
          <w:color w:val="000000"/>
          <w:sz w:val="27"/>
          <w:szCs w:val="27"/>
        </w:rPr>
        <w:t>«</w:t>
      </w:r>
      <w:r>
        <w:rPr>
          <w:rStyle w:val="Fontstyle01"/>
          <w:rFonts w:cs="Times New Roman" w:ascii="Times New Roman" w:hAnsi="Times New Roman"/>
          <w:b w:val="false"/>
          <w:sz w:val="27"/>
          <w:szCs w:val="27"/>
        </w:rPr>
        <w:t>Система моніторингу та диспетчиризації (SCADA)</w:t>
      </w:r>
      <w:r>
        <w:rPr>
          <w:rStyle w:val="26"/>
          <w:rFonts w:cs="Times New Roman" w:ascii="Times New Roman" w:hAnsi="Times New Roman"/>
          <w:color w:val="000000"/>
          <w:sz w:val="27"/>
          <w:szCs w:val="27"/>
        </w:rPr>
        <w:t>»</w:t>
      </w:r>
      <w:r>
        <w:rPr>
          <w:rStyle w:val="23"/>
          <w:rFonts w:cs="Times New Roman" w:ascii="Times New Roman" w:hAnsi="Times New Roman"/>
          <w:color w:val="000000"/>
          <w:sz w:val="27"/>
          <w:szCs w:val="27"/>
        </w:rPr>
        <w:t xml:space="preserve"> </w:t>
      </w:r>
      <w:r>
        <w:rPr>
          <w:rStyle w:val="Fontstyle01"/>
          <w:rFonts w:cs="Times New Roman" w:ascii="Times New Roman" w:hAnsi="Times New Roman"/>
          <w:b w:val="false"/>
          <w:sz w:val="27"/>
          <w:szCs w:val="27"/>
        </w:rPr>
        <w:t>з</w:t>
      </w:r>
      <w:r>
        <w:rPr>
          <w:rStyle w:val="23"/>
          <w:rFonts w:cs="Times New Roman" w:ascii="Times New Roman" w:hAnsi="Times New Roman"/>
          <w:color w:val="000000"/>
          <w:sz w:val="27"/>
          <w:szCs w:val="27"/>
        </w:rPr>
        <w:t xml:space="preserve">авершено збір вихідних даних та розпочато підготовку тендерної документації. </w:t>
      </w:r>
    </w:p>
    <w:p>
      <w:pPr>
        <w:pStyle w:val="Normal"/>
        <w:shd w:val="clear" w:color="auto" w:fill="FFFFFF"/>
        <w:snapToGrid w:val="false"/>
        <w:ind w:firstLine="510"/>
        <w:jc w:val="both"/>
        <w:rPr/>
      </w:pPr>
      <w:r>
        <w:rPr>
          <w:rStyle w:val="Fontstyle01"/>
          <w:rFonts w:cs="Times New Roman" w:ascii="Times New Roman" w:hAnsi="Times New Roman"/>
          <w:b w:val="false"/>
          <w:sz w:val="27"/>
          <w:szCs w:val="27"/>
        </w:rPr>
        <w:t>Всього в 2020 році в рамках проєкту отримано 548,3 ти</w:t>
      </w:r>
      <w:r>
        <w:rPr>
          <w:rStyle w:val="Fontstyle01"/>
          <w:rFonts w:cs="Times New Roman" w:ascii="Times New Roman" w:hAnsi="Times New Roman"/>
          <w:b w:val="false"/>
          <w:sz w:val="27"/>
          <w:szCs w:val="27"/>
          <w:highlight w:val="white"/>
        </w:rPr>
        <w:t xml:space="preserve">с. </w:t>
      </w:r>
      <w:r>
        <w:rPr>
          <w:rStyle w:val="Fontstyle01"/>
          <w:rFonts w:cs="Times New Roman" w:ascii="Times New Roman" w:hAnsi="Times New Roman"/>
          <w:b w:val="false"/>
          <w:sz w:val="27"/>
          <w:szCs w:val="27"/>
        </w:rPr>
        <w:t>євро грантових та 2738,4 тис</w:t>
      </w:r>
      <w:r>
        <w:rPr>
          <w:rStyle w:val="Fontstyle01"/>
          <w:rFonts w:cs="Times New Roman" w:ascii="Times New Roman" w:hAnsi="Times New Roman"/>
          <w:b w:val="false"/>
          <w:sz w:val="27"/>
          <w:szCs w:val="27"/>
          <w:highlight w:val="white"/>
        </w:rPr>
        <w:t>. є</w:t>
      </w:r>
      <w:r>
        <w:rPr>
          <w:rStyle w:val="Fontstyle01"/>
          <w:rFonts w:cs="Times New Roman" w:ascii="Times New Roman" w:hAnsi="Times New Roman"/>
          <w:b w:val="false"/>
          <w:sz w:val="27"/>
          <w:szCs w:val="27"/>
        </w:rPr>
        <w:t>вро кредитних коштів.</w:t>
      </w:r>
    </w:p>
    <w:p>
      <w:pPr>
        <w:pStyle w:val="Normal"/>
        <w:shd w:val="clear" w:color="auto" w:fill="FFFFFF"/>
        <w:snapToGrid w:val="false"/>
        <w:ind w:firstLine="510"/>
        <w:jc w:val="both"/>
        <w:rPr>
          <w:rStyle w:val="Fontstyle01"/>
          <w:rFonts w:ascii="Times New Roman" w:hAnsi="Times New Roman" w:cs="Times New Roman"/>
          <w:b w:val="false"/>
          <w:b w:val="false"/>
          <w:sz w:val="27"/>
          <w:szCs w:val="27"/>
        </w:rPr>
      </w:pPr>
      <w:r>
        <w:rPr>
          <w:rFonts w:cs="Times New Roman" w:ascii="Times New Roman" w:hAnsi="Times New Roman"/>
          <w:b w:val="false"/>
          <w:sz w:val="27"/>
          <w:szCs w:val="27"/>
        </w:rPr>
      </w:r>
    </w:p>
    <w:p>
      <w:pPr>
        <w:pStyle w:val="Normal"/>
        <w:shd w:val="clear" w:color="auto" w:fill="FFFFFF"/>
        <w:snapToGrid w:val="false"/>
        <w:ind w:firstLine="510"/>
        <w:jc w:val="both"/>
        <w:rPr/>
      </w:pPr>
      <w:r>
        <w:rPr>
          <w:rFonts w:cs="Times New Roman" w:ascii="Times New Roman" w:hAnsi="Times New Roman"/>
          <w:b/>
          <w:bCs/>
          <w:color w:val="000000"/>
          <w:sz w:val="27"/>
          <w:szCs w:val="27"/>
        </w:rPr>
        <w:t>- «Оновлення інфраструктури електротранспорту міста Луцька</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w:t>
      </w:r>
      <w:r>
        <w:rPr>
          <w:rFonts w:cs="Times New Roman" w:ascii="Times New Roman" w:hAnsi="Times New Roman"/>
          <w:b/>
          <w:bCs/>
          <w:color w:val="000000"/>
          <w:sz w:val="27"/>
          <w:szCs w:val="27"/>
        </w:rPr>
        <w:t xml:space="preserve"> в рамках спільного з Європейським інвестиційним банком проєкту «Міський громадський транспорт України».</w:t>
      </w:r>
    </w:p>
    <w:p>
      <w:pPr>
        <w:pStyle w:val="Normal"/>
        <w:shd w:val="clear" w:color="auto" w:fill="FFFFFF"/>
        <w:snapToGrid w:val="false"/>
        <w:ind w:firstLine="510"/>
        <w:jc w:val="both"/>
        <w:rPr/>
      </w:pPr>
      <w:r>
        <w:rPr>
          <w:rStyle w:val="23"/>
          <w:rFonts w:eastAsia="Times New Roman" w:cs="Times New Roman" w:ascii="Times New Roman" w:hAnsi="Times New Roman"/>
          <w:color w:val="000000"/>
          <w:sz w:val="27"/>
          <w:szCs w:val="27"/>
        </w:rPr>
        <w:t xml:space="preserve">В рамках спільного з Європейським </w:t>
      </w:r>
      <w:r>
        <w:rPr>
          <w:rStyle w:val="23"/>
          <w:rFonts w:eastAsia="Times New Roman" w:cs="Times New Roman" w:ascii="Times New Roman" w:hAnsi="Times New Roman"/>
          <w:color w:val="000000"/>
          <w:sz w:val="27"/>
          <w:szCs w:val="27"/>
          <w:highlight w:val="white"/>
        </w:rPr>
        <w:t xml:space="preserve">інвестиційним банком проєкту «Міський громадський транспорт України» </w:t>
      </w:r>
      <w:r>
        <w:rPr>
          <w:rStyle w:val="23"/>
          <w:rFonts w:eastAsia="Times New Roman" w:cs="Times New Roman" w:ascii="Times New Roman" w:hAnsi="Times New Roman"/>
          <w:color w:val="000000"/>
          <w:sz w:val="27"/>
          <w:szCs w:val="27"/>
          <w:shd w:fill="FFFFFF" w:val="clear"/>
        </w:rPr>
        <w:t xml:space="preserve">реалізується підпроєкт «Оновлення інфраструктури електротранспорту міста Луцька Волинської області», який передбачає отримання </w:t>
      </w:r>
      <w:r>
        <w:rPr>
          <w:rStyle w:val="23"/>
          <w:rFonts w:eastAsia="Times New Roman" w:cs="Times New Roman" w:ascii="Times New Roman" w:hAnsi="Times New Roman"/>
          <w:color w:val="000000"/>
          <w:sz w:val="27"/>
          <w:szCs w:val="27"/>
        </w:rPr>
        <w:t>4 916,0 тис. євро кредитних коштів.</w:t>
      </w:r>
    </w:p>
    <w:p>
      <w:pPr>
        <w:pStyle w:val="Normal"/>
        <w:snapToGrid w:val="false"/>
        <w:ind w:firstLine="567"/>
        <w:jc w:val="both"/>
        <w:rPr/>
      </w:pPr>
      <w:r>
        <w:rPr>
          <w:rFonts w:cs="Times New Roman" w:ascii="Times New Roman" w:hAnsi="Times New Roman"/>
          <w:color w:val="000000"/>
          <w:sz w:val="27"/>
          <w:szCs w:val="27"/>
        </w:rPr>
        <w:t xml:space="preserve">У 2020 році завершено проведення тендерних процедур закупівлі «Поставка 29 нових 12-метрових низькопідлогових тролейбусів, включаючи набір запасних частин та витратних матеріалів, набір обладнання та інструментів для обслуговування, ремонту та супутніх послуг». </w:t>
      </w:r>
    </w:p>
    <w:p>
      <w:pPr>
        <w:pStyle w:val="Normal"/>
        <w:snapToGrid w:val="false"/>
        <w:ind w:firstLine="567"/>
        <w:jc w:val="both"/>
        <w:rPr/>
      </w:pPr>
      <w:r>
        <w:rPr>
          <w:rFonts w:cs="Times New Roman" w:ascii="Times New Roman" w:hAnsi="Times New Roman"/>
          <w:color w:val="000000"/>
          <w:sz w:val="27"/>
          <w:szCs w:val="27"/>
        </w:rPr>
        <w:t xml:space="preserve">27 квітня з </w:t>
      </w:r>
      <w:r>
        <w:rPr>
          <w:rFonts w:cs="Times New Roman" w:ascii="Times New Roman" w:hAnsi="Times New Roman"/>
          <w:color w:val="000000"/>
          <w:sz w:val="27"/>
          <w:szCs w:val="27"/>
          <w:lang w:val="ru-RU"/>
        </w:rPr>
        <w:t>Дочірнім підприємством «Автоскладальний завод № 1» Публічного акціонерного товариства Автомобільна компанія «Богдан Моторс»</w:t>
      </w:r>
      <w:r>
        <w:rPr>
          <w:rFonts w:cs="Times New Roman" w:ascii="Times New Roman" w:hAnsi="Times New Roman"/>
          <w:color w:val="000000"/>
          <w:sz w:val="27"/>
          <w:szCs w:val="27"/>
        </w:rPr>
        <w:t xml:space="preserve"> підписано договір на постачання тролейбусів. Станом на 01.01.2021 отримано 2 одиниці рухомого складу з 29. Решту тролейбусів планується постачальником відвантажити у 2021 році.</w:t>
      </w:r>
    </w:p>
    <w:p>
      <w:pPr>
        <w:pStyle w:val="Normal"/>
        <w:shd w:val="clear" w:color="auto" w:fill="FFFFFF"/>
        <w:snapToGrid w:val="false"/>
        <w:ind w:firstLine="510"/>
        <w:jc w:val="both"/>
        <w:rPr/>
      </w:pPr>
      <w:r>
        <w:rPr>
          <w:rStyle w:val="23"/>
          <w:rFonts w:eastAsia="Times New Roman" w:cs="Times New Roman" w:ascii="Times New Roman" w:hAnsi="Times New Roman"/>
          <w:color w:val="000000"/>
          <w:sz w:val="27"/>
          <w:szCs w:val="27"/>
        </w:rPr>
        <w:t>Всього в 2020 році отримано три транші позики загальною сумою 1,7 млн євро або 55,87 млн грн.</w:t>
      </w:r>
    </w:p>
    <w:p>
      <w:pPr>
        <w:pStyle w:val="Normal"/>
        <w:shd w:val="clear" w:color="auto" w:fill="FFFFFF"/>
        <w:snapToGrid w:val="false"/>
        <w:ind w:firstLine="510"/>
        <w:jc w:val="both"/>
        <w:rPr>
          <w:rStyle w:val="23"/>
          <w:rFonts w:ascii="Times New Roman" w:hAnsi="Times New Roman" w:eastAsia="Times New Roman" w:cs="Times New Roman"/>
          <w:color w:val="000000"/>
          <w:sz w:val="27"/>
          <w:szCs w:val="27"/>
        </w:rPr>
      </w:pPr>
      <w:r>
        <w:rPr>
          <w:rFonts w:eastAsia="Times New Roman" w:cs="Times New Roman" w:ascii="Times New Roman" w:hAnsi="Times New Roman"/>
          <w:color w:val="000000"/>
          <w:sz w:val="27"/>
          <w:szCs w:val="27"/>
        </w:rPr>
      </w:r>
    </w:p>
    <w:p>
      <w:pPr>
        <w:pStyle w:val="Normal"/>
        <w:shd w:val="clear" w:color="auto" w:fill="FFFFFF"/>
        <w:snapToGrid w:val="false"/>
        <w:ind w:firstLine="510"/>
        <w:jc w:val="both"/>
        <w:rPr/>
      </w:pPr>
      <w:r>
        <w:rPr>
          <w:rStyle w:val="23"/>
          <w:rFonts w:cs="Times New Roman" w:ascii="Times New Roman" w:hAnsi="Times New Roman"/>
          <w:b/>
          <w:bCs/>
          <w:color w:val="000000"/>
          <w:sz w:val="27"/>
          <w:szCs w:val="27"/>
        </w:rPr>
        <w:t>- </w:t>
      </w:r>
      <w:r>
        <w:rPr>
          <w:rStyle w:val="23"/>
          <w:rFonts w:cs="Times New Roman" w:ascii="Times New Roman" w:hAnsi="Times New Roman"/>
          <w:b/>
          <w:bCs/>
          <w:color w:val="000000"/>
          <w:sz w:val="27"/>
          <w:szCs w:val="27"/>
          <w:lang w:val="ru-RU"/>
        </w:rPr>
        <w:t>«</w:t>
      </w:r>
      <w:r>
        <w:rPr>
          <w:rStyle w:val="23"/>
          <w:rFonts w:cs="Times New Roman" w:ascii="Times New Roman" w:hAnsi="Times New Roman"/>
          <w:b/>
          <w:bCs/>
          <w:color w:val="000000"/>
          <w:sz w:val="27"/>
          <w:szCs w:val="27"/>
        </w:rPr>
        <w:t>Модернізація системи водопостачання та водовідведення м. Луцьк</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в рамках спільного з Європейським інвестиційним банком проєкту «Програми розвитку муніципальної інфраструктури України».</w:t>
      </w:r>
    </w:p>
    <w:p>
      <w:pPr>
        <w:pStyle w:val="Normal"/>
        <w:ind w:firstLine="510"/>
        <w:jc w:val="both"/>
        <w:rPr/>
      </w:pPr>
      <w:r>
        <w:rPr>
          <w:rFonts w:cs="Times New Roman" w:ascii="Times New Roman" w:hAnsi="Times New Roman"/>
          <w:bCs/>
          <w:color w:val="000000"/>
          <w:sz w:val="27"/>
          <w:szCs w:val="27"/>
          <w:highlight w:val="white"/>
        </w:rPr>
        <w:t xml:space="preserve">Проєктом передбачено отримання понад 13,9 млн євро на комплексне оновлення та </w:t>
      </w:r>
      <w:r>
        <w:rPr>
          <w:rFonts w:cs="Times New Roman" w:ascii="Times New Roman" w:hAnsi="Times New Roman"/>
          <w:color w:val="000000"/>
          <w:sz w:val="27"/>
          <w:szCs w:val="27"/>
          <w:highlight w:val="white"/>
        </w:rPr>
        <w:t xml:space="preserve">модернізацію технологічної системи водопідготовки, реконструкцію каналізаційних очисних споруд та заміну зношеної техніки на нову. </w:t>
      </w:r>
      <w:r>
        <w:rPr>
          <w:rFonts w:cs="Times New Roman" w:ascii="Times New Roman" w:hAnsi="Times New Roman"/>
          <w:color w:val="000000"/>
          <w:sz w:val="27"/>
          <w:szCs w:val="27"/>
        </w:rPr>
        <w:t>Фінансування даного проєкту здійснюватиметься шляхом укладення субкредитної угоди з МФУ (</w:t>
      </w:r>
      <w:r>
        <w:rPr>
          <w:rFonts w:cs="Times New Roman" w:ascii="Times New Roman" w:hAnsi="Times New Roman"/>
          <w:color w:val="000000"/>
          <w:sz w:val="27"/>
          <w:szCs w:val="27"/>
          <w:highlight w:val="white"/>
        </w:rPr>
        <w:t>80% за рахунок коштів ЄІБ та 20% за рахунок КП «</w:t>
      </w:r>
      <w:r>
        <w:rPr>
          <w:rFonts w:cs="Times New Roman" w:ascii="Times New Roman" w:hAnsi="Times New Roman"/>
          <w:bCs/>
          <w:color w:val="000000"/>
          <w:sz w:val="27"/>
          <w:szCs w:val="27"/>
          <w:highlight w:val="white"/>
        </w:rPr>
        <w:t>Луцькводоканал»</w:t>
      </w:r>
      <w:r>
        <w:rPr>
          <w:rFonts w:cs="Times New Roman" w:ascii="Times New Roman" w:hAnsi="Times New Roman"/>
          <w:color w:val="000000"/>
          <w:sz w:val="27"/>
          <w:szCs w:val="27"/>
        </w:rPr>
        <w:t xml:space="preserve">). </w:t>
      </w:r>
    </w:p>
    <w:p>
      <w:pPr>
        <w:pStyle w:val="Normal"/>
        <w:ind w:firstLine="510"/>
        <w:jc w:val="both"/>
        <w:rPr/>
      </w:pPr>
      <w:r>
        <w:rPr>
          <w:rFonts w:cs="Times New Roman" w:ascii="Times New Roman" w:hAnsi="Times New Roman"/>
          <w:bCs/>
          <w:color w:val="000000"/>
          <w:sz w:val="27"/>
          <w:szCs w:val="27"/>
        </w:rPr>
        <w:t xml:space="preserve">Розроблено </w:t>
      </w:r>
      <w:r>
        <w:rPr>
          <w:rFonts w:cs="Times New Roman" w:ascii="Times New Roman" w:hAnsi="Times New Roman"/>
          <w:bCs/>
          <w:color w:val="000000"/>
          <w:sz w:val="27"/>
          <w:szCs w:val="27"/>
          <w:highlight w:val="white"/>
        </w:rPr>
        <w:t xml:space="preserve">техніко-економічне обґрунтування проєкту, </w:t>
      </w:r>
      <w:r>
        <w:rPr>
          <w:rFonts w:cs="Times New Roman" w:ascii="Times New Roman" w:hAnsi="Times New Roman"/>
          <w:bCs/>
          <w:color w:val="000000"/>
          <w:sz w:val="27"/>
          <w:szCs w:val="27"/>
        </w:rPr>
        <w:t>яке погоджено групою управління проєктом. Підготовлено звіт з оцінки впливу на довкілля, проведено його громадські обговорення та отримано висновок Міністерства екології та природних ресурсів України.</w:t>
      </w:r>
      <w:r>
        <w:rPr>
          <w:rFonts w:eastAsia="Times New Roman" w:cs="Times New Roman" w:ascii="Times New Roman" w:hAnsi="Times New Roman"/>
          <w:bCs/>
          <w:color w:val="000000"/>
          <w:sz w:val="27"/>
          <w:szCs w:val="27"/>
        </w:rPr>
        <w:t xml:space="preserve"> Проведено оцінку фінансового стану підприємства Міністерством фінансів України з отриманням позитивного висновку.</w:t>
      </w:r>
    </w:p>
    <w:p>
      <w:pPr>
        <w:pStyle w:val="Normal"/>
        <w:ind w:firstLine="510"/>
        <w:jc w:val="both"/>
        <w:rPr/>
      </w:pPr>
      <w:r>
        <w:rPr>
          <w:rFonts w:cs="Times New Roman" w:ascii="Times New Roman" w:hAnsi="Times New Roman"/>
          <w:color w:val="000000"/>
          <w:sz w:val="27"/>
          <w:szCs w:val="27"/>
        </w:rPr>
        <w:t xml:space="preserve">Підписано договір на технічну підтримку та залучення консультантів Європейського інвестиційного банку. Складено довгостроковий план інвестицій, а  </w:t>
      </w:r>
      <w:r>
        <w:rPr>
          <w:rFonts w:cs="Times New Roman" w:ascii="Times New Roman" w:hAnsi="Times New Roman"/>
          <w:color w:val="000000"/>
          <w:sz w:val="27"/>
          <w:szCs w:val="27"/>
          <w:lang w:val="ru-RU"/>
        </w:rPr>
        <w:t xml:space="preserve">також складено технічну та екологічну документацію, які </w:t>
      </w:r>
      <w:r>
        <w:rPr>
          <w:rFonts w:cs="Times New Roman" w:ascii="Times New Roman" w:hAnsi="Times New Roman"/>
          <w:color w:val="000000"/>
          <w:sz w:val="27"/>
          <w:szCs w:val="27"/>
          <w:highlight w:val="white"/>
          <w:lang w:val="ru-RU"/>
        </w:rPr>
        <w:t xml:space="preserve">узгоджені з банком. </w:t>
      </w:r>
    </w:p>
    <w:p>
      <w:pPr>
        <w:pStyle w:val="Normal"/>
        <w:ind w:firstLine="510"/>
        <w:jc w:val="both"/>
        <w:rPr/>
      </w:pPr>
      <w:r>
        <w:rPr>
          <w:rFonts w:cs="Times New Roman" w:ascii="Times New Roman" w:hAnsi="Times New Roman"/>
          <w:bCs/>
          <w:color w:val="000000"/>
          <w:sz w:val="27"/>
          <w:szCs w:val="27"/>
          <w:highlight w:val="white"/>
          <w:lang w:val="ru-RU"/>
        </w:rPr>
        <w:t xml:space="preserve">КП «Луцькводоканал» </w:t>
      </w:r>
      <w:r>
        <w:rPr>
          <w:rFonts w:cs="Times New Roman" w:ascii="Times New Roman" w:hAnsi="Times New Roman"/>
          <w:bCs/>
          <w:color w:val="000000"/>
          <w:sz w:val="27"/>
          <w:szCs w:val="27"/>
          <w:lang w:val="ru-RU"/>
        </w:rPr>
        <w:t xml:space="preserve">разом з консультантами банку розпочато роботу над складанням технічного завдання на реалізацію заходів даного проєкту та над планом пріоритетних інвестицій на 5 років. </w:t>
      </w:r>
    </w:p>
    <w:p>
      <w:pPr>
        <w:pStyle w:val="Normal"/>
        <w:ind w:firstLine="709"/>
        <w:jc w:val="both"/>
        <w:rPr>
          <w:rStyle w:val="23"/>
          <w:rFonts w:ascii="Times New Roman" w:hAnsi="Times New Roman" w:cs="Times New Roman"/>
          <w:color w:val="000000"/>
          <w:sz w:val="27"/>
          <w:szCs w:val="27"/>
        </w:rPr>
      </w:pPr>
      <w:r>
        <w:rPr>
          <w:rFonts w:cs="Times New Roman" w:ascii="Times New Roman" w:hAnsi="Times New Roman"/>
          <w:color w:val="000000"/>
          <w:sz w:val="27"/>
          <w:szCs w:val="27"/>
        </w:rPr>
      </w:r>
    </w:p>
    <w:p>
      <w:pPr>
        <w:pStyle w:val="Normal"/>
        <w:ind w:firstLine="709"/>
        <w:jc w:val="both"/>
        <w:rPr/>
      </w:pPr>
      <w:r>
        <w:rPr>
          <w:rStyle w:val="23"/>
          <w:rFonts w:cs="Times New Roman" w:ascii="Times New Roman" w:hAnsi="Times New Roman"/>
          <w:color w:val="000000"/>
          <w:sz w:val="27"/>
          <w:szCs w:val="27"/>
        </w:rPr>
        <w:t>-</w:t>
      </w:r>
      <w:r>
        <w:rPr>
          <w:rStyle w:val="23"/>
          <w:rFonts w:cs="Times New Roman" w:ascii="Times New Roman" w:hAnsi="Times New Roman"/>
          <w:b/>
          <w:bCs/>
          <w:color w:val="000000"/>
          <w:sz w:val="27"/>
          <w:szCs w:val="27"/>
        </w:rPr>
        <w:t> «Енергоефективність в громадських будівлях міста Луцька</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спільно з Північною Екологічною Фінансовою Корпорацією.</w:t>
      </w:r>
    </w:p>
    <w:p>
      <w:pPr>
        <w:pStyle w:val="Normal"/>
        <w:ind w:firstLine="709"/>
        <w:jc w:val="both"/>
        <w:rPr/>
      </w:pPr>
      <w:r>
        <w:rPr>
          <w:rFonts w:cs="Times New Roman" w:ascii="Times New Roman" w:hAnsi="Times New Roman"/>
          <w:bCs/>
          <w:color w:val="000000"/>
          <w:sz w:val="27"/>
          <w:szCs w:val="27"/>
        </w:rPr>
        <w:t>Луцька міська рада спільно з Північною Екологічною Фінансовою Корпорацією НЕФКО реалізовує проєкт «Енергоефективність в громадських будівлях міста Луцька</w:t>
      </w:r>
      <w:r>
        <w:rPr>
          <w:rStyle w:val="26"/>
          <w:rFonts w:cs="Times New Roman" w:ascii="Times New Roman" w:hAnsi="Times New Roman"/>
          <w:color w:val="000000"/>
          <w:sz w:val="27"/>
          <w:szCs w:val="27"/>
        </w:rPr>
        <w:t>»</w:t>
      </w:r>
      <w:r>
        <w:rPr>
          <w:rFonts w:cs="Times New Roman" w:ascii="Times New Roman" w:hAnsi="Times New Roman"/>
          <w:bCs/>
          <w:color w:val="000000"/>
          <w:sz w:val="27"/>
          <w:szCs w:val="27"/>
        </w:rPr>
        <w:t>. Проєктом передбачається утеплення фасадів, дахів, встановлення ІТП, ізоляція трубопроводів, заміна вікон та дверей, модернізація системи освітлення у 34 бюджетних закладах.</w:t>
      </w:r>
    </w:p>
    <w:p>
      <w:pPr>
        <w:pStyle w:val="Normal"/>
        <w:ind w:firstLine="567"/>
        <w:jc w:val="both"/>
        <w:rPr/>
      </w:pPr>
      <w:r>
        <w:rPr>
          <w:rFonts w:cs="Times New Roman" w:ascii="Times New Roman" w:hAnsi="Times New Roman"/>
          <w:bCs/>
          <w:color w:val="000000"/>
          <w:sz w:val="27"/>
          <w:szCs w:val="27"/>
        </w:rPr>
        <w:t xml:space="preserve">Переважну більшість об’єктів проєкту складають будівлі шкіл та дитячих садків. Реалізація проєкту у цих будівлях є пріоритетом для міста. </w:t>
      </w:r>
      <w:r>
        <w:rPr>
          <w:rStyle w:val="23"/>
          <w:rFonts w:cs="Times New Roman" w:ascii="Times New Roman" w:hAnsi="Times New Roman"/>
          <w:bCs/>
          <w:color w:val="000000"/>
          <w:sz w:val="27"/>
          <w:szCs w:val="27"/>
        </w:rPr>
        <w:t>В результаті впровадження усіх запланованих заходів буде досягнуто економії у розмірі 17,3 млн грн/рік. Період окупності </w:t>
      </w:r>
      <w:r>
        <w:rPr>
          <w:rStyle w:val="23"/>
          <w:rFonts w:eastAsia="Times New Roman" w:cs="Times New Roman" w:ascii="Times New Roman" w:hAnsi="Times New Roman"/>
          <w:bCs/>
          <w:color w:val="000000"/>
          <w:sz w:val="27"/>
          <w:szCs w:val="27"/>
        </w:rPr>
        <w:t>‒</w:t>
      </w:r>
      <w:r>
        <w:rPr>
          <w:rStyle w:val="23"/>
          <w:rFonts w:cs="Times New Roman" w:ascii="Times New Roman" w:hAnsi="Times New Roman"/>
          <w:bCs/>
          <w:color w:val="000000"/>
          <w:sz w:val="27"/>
          <w:szCs w:val="27"/>
        </w:rPr>
        <w:t> приблизно 11 років.</w:t>
      </w:r>
    </w:p>
    <w:p>
      <w:pPr>
        <w:pStyle w:val="Normal"/>
        <w:ind w:firstLine="567"/>
        <w:jc w:val="both"/>
        <w:rPr/>
      </w:pPr>
      <w:r>
        <w:rPr>
          <w:rFonts w:eastAsia="Times New Roman" w:cs="Times New Roman" w:ascii="Times New Roman" w:hAnsi="Times New Roman"/>
          <w:bCs/>
          <w:color w:val="000000"/>
          <w:sz w:val="27"/>
          <w:szCs w:val="27"/>
        </w:rPr>
        <w:t xml:space="preserve">У звітному році </w:t>
      </w:r>
      <w:r>
        <w:rPr>
          <w:rFonts w:cs="Times New Roman" w:ascii="Times New Roman" w:hAnsi="Times New Roman"/>
          <w:bCs/>
          <w:color w:val="000000"/>
          <w:sz w:val="27"/>
          <w:szCs w:val="27"/>
        </w:rPr>
        <w:t xml:space="preserve">замінено усі лампи розжарення на енергоощадні та встановлено </w:t>
      </w:r>
      <w:r>
        <w:rPr>
          <w:rFonts w:cs="Times New Roman" w:ascii="Times New Roman" w:hAnsi="Times New Roman"/>
          <w:bCs/>
          <w:color w:val="000000"/>
          <w:sz w:val="27"/>
          <w:szCs w:val="27"/>
          <w:highlight w:val="white"/>
        </w:rPr>
        <w:t xml:space="preserve">нове кухонне </w:t>
      </w:r>
      <w:r>
        <w:rPr>
          <w:rFonts w:cs="Times New Roman" w:ascii="Times New Roman" w:hAnsi="Times New Roman"/>
          <w:bCs/>
          <w:color w:val="000000"/>
          <w:sz w:val="27"/>
          <w:szCs w:val="27"/>
        </w:rPr>
        <w:t>обладнання у бюджетних закладах управління освіти Луцької міської ради, у 23 в</w:t>
      </w:r>
      <w:r>
        <w:rPr>
          <w:rStyle w:val="23"/>
          <w:rFonts w:eastAsia="Times New Roman" w:cs="Times New Roman" w:ascii="Times New Roman" w:hAnsi="Times New Roman"/>
          <w:bCs/>
          <w:color w:val="000000"/>
          <w:sz w:val="27"/>
          <w:szCs w:val="27"/>
        </w:rPr>
        <w:t>становлено ІТП. З</w:t>
      </w:r>
      <w:r>
        <w:rPr>
          <w:rFonts w:cs="Times New Roman" w:ascii="Times New Roman" w:hAnsi="Times New Roman"/>
          <w:bCs/>
          <w:color w:val="000000"/>
          <w:sz w:val="27"/>
          <w:szCs w:val="27"/>
        </w:rPr>
        <w:t xml:space="preserve">амінено труби централізованого теплопостачання у Луцькому ліцеї № 28. </w:t>
      </w:r>
      <w:r>
        <w:rPr>
          <w:rStyle w:val="23"/>
          <w:rFonts w:eastAsia="Times New Roman" w:cs="Times New Roman" w:ascii="Times New Roman" w:hAnsi="Times New Roman"/>
          <w:bCs/>
          <w:color w:val="000000"/>
          <w:sz w:val="27"/>
          <w:szCs w:val="27"/>
        </w:rPr>
        <w:t>У</w:t>
      </w:r>
      <w:r>
        <w:rPr>
          <w:rFonts w:cs="Times New Roman" w:ascii="Times New Roman" w:hAnsi="Times New Roman"/>
          <w:color w:val="000000"/>
          <w:sz w:val="27"/>
          <w:szCs w:val="27"/>
        </w:rPr>
        <w:t>теплено покрівлі та фасади, замінено вікна в 11- ти з</w:t>
      </w:r>
      <w:r>
        <w:rPr>
          <w:rFonts w:cs="Times New Roman" w:ascii="Times New Roman" w:hAnsi="Times New Roman"/>
          <w:bCs/>
          <w:color w:val="000000"/>
          <w:sz w:val="27"/>
          <w:szCs w:val="27"/>
        </w:rPr>
        <w:t xml:space="preserve">агальноосвітніх школах та </w:t>
      </w:r>
      <w:r>
        <w:rPr>
          <w:rFonts w:eastAsia="Times New Roman" w:cs="Times New Roman" w:ascii="Times New Roman" w:hAnsi="Times New Roman"/>
          <w:bCs/>
          <w:color w:val="000000"/>
          <w:sz w:val="27"/>
          <w:szCs w:val="27"/>
        </w:rPr>
        <w:t>Луцькій художній школі</w:t>
      </w:r>
      <w:r>
        <w:rPr>
          <w:rFonts w:cs="Times New Roman" w:ascii="Times New Roman" w:hAnsi="Times New Roman"/>
          <w:bCs/>
          <w:color w:val="000000"/>
          <w:sz w:val="27"/>
          <w:szCs w:val="27"/>
        </w:rPr>
        <w:t xml:space="preserve">, </w:t>
      </w:r>
      <w:r>
        <w:rPr>
          <w:rFonts w:eastAsia="Times New Roman" w:cs="Times New Roman" w:ascii="Times New Roman" w:hAnsi="Times New Roman"/>
          <w:bCs/>
          <w:color w:val="000000"/>
          <w:sz w:val="27"/>
          <w:szCs w:val="27"/>
        </w:rPr>
        <w:t>утеплено дах та фасад у навчально-реабілітаційному центрі,</w:t>
      </w:r>
      <w:r>
        <w:rPr>
          <w:rFonts w:cs="Times New Roman" w:ascii="Times New Roman" w:hAnsi="Times New Roman"/>
          <w:color w:val="000000"/>
          <w:sz w:val="27"/>
          <w:szCs w:val="27"/>
        </w:rPr>
        <w:t xml:space="preserve"> замінено покрівлю у н</w:t>
      </w:r>
      <w:r>
        <w:rPr>
          <w:rFonts w:cs="Times New Roman" w:ascii="Times New Roman" w:hAnsi="Times New Roman"/>
          <w:bCs/>
          <w:color w:val="000000"/>
          <w:sz w:val="27"/>
          <w:szCs w:val="27"/>
        </w:rPr>
        <w:t xml:space="preserve">авчально-виховному комплексі № 9, </w:t>
      </w:r>
      <w:r>
        <w:rPr>
          <w:rFonts w:eastAsia="Times New Roman" w:cs="Times New Roman" w:ascii="Times New Roman" w:hAnsi="Times New Roman"/>
          <w:bCs/>
          <w:color w:val="000000"/>
          <w:sz w:val="27"/>
          <w:szCs w:val="27"/>
        </w:rPr>
        <w:t>замінено вікна, двері та покрівлю у  закладах дошкільної освіти № 32 та № 10, утеплено фасад та покрівлю у закладі дошкільної освіти № 33.</w:t>
      </w:r>
    </w:p>
    <w:p>
      <w:pPr>
        <w:pStyle w:val="Normal"/>
        <w:ind w:firstLine="567"/>
        <w:jc w:val="both"/>
        <w:rPr>
          <w:rStyle w:val="23"/>
          <w:rFonts w:ascii="Times New Roman" w:hAnsi="Times New Roman" w:eastAsia="Times New Roman" w:cs="Times New Roman"/>
          <w:bCs/>
          <w:color w:val="000000"/>
          <w:sz w:val="27"/>
          <w:szCs w:val="27"/>
        </w:rPr>
      </w:pPr>
      <w:r>
        <w:rPr>
          <w:rFonts w:eastAsia="Times New Roman" w:cs="Times New Roman" w:ascii="Times New Roman" w:hAnsi="Times New Roman"/>
          <w:bCs/>
          <w:color w:val="000000"/>
          <w:sz w:val="27"/>
          <w:szCs w:val="27"/>
        </w:rPr>
      </w:r>
    </w:p>
    <w:p>
      <w:pPr>
        <w:pStyle w:val="Normal"/>
        <w:ind w:firstLine="567"/>
        <w:jc w:val="both"/>
        <w:rPr/>
      </w:pPr>
      <w:r>
        <w:rPr>
          <w:rStyle w:val="23"/>
          <w:rFonts w:cs="Times New Roman" w:ascii="Times New Roman" w:hAnsi="Times New Roman"/>
          <w:b/>
          <w:bCs/>
          <w:color w:val="000000"/>
          <w:sz w:val="27"/>
          <w:szCs w:val="27"/>
        </w:rPr>
        <w:t>3. Інфраструктурний і соціальний розвиток Прилуцького старостинського округу відповідно до рішення міської ради від 25.09.2019 № 63/43 «Про добровільне приєднання територіальної громади Прилуцької сільської ради до територіальної громади міста Луцька</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 </w:t>
      </w:r>
    </w:p>
    <w:p>
      <w:pPr>
        <w:pStyle w:val="Timt"/>
        <w:rPr/>
      </w:pPr>
      <w:r>
        <w:rPr>
          <w:rStyle w:val="23"/>
          <w:rFonts w:cs="Times New Roman" w:ascii="Times New Roman" w:hAnsi="Times New Roman"/>
          <w:color w:val="000000"/>
          <w:sz w:val="27"/>
          <w:szCs w:val="27"/>
        </w:rPr>
        <w:t xml:space="preserve">Відповідно до плану організаційних заходів щодо добровільного приєднання територіальної громади Прилуцької сільської ради до територіальної громади міста Луцька у звітному періоді було здійснено поточний ремонт (облаштування дрібнощебеневого та асфальтово покриття) вул. Першого Травня (159,7 тис. грн) вул.Шевченка (179,8 тис. грн), вул. Світанкової (177,0 тис. грн), вул. </w:t>
      </w:r>
      <w:r>
        <w:rPr>
          <w:rStyle w:val="23"/>
          <w:rFonts w:cs="Times New Roman" w:ascii="Times New Roman" w:hAnsi="Times New Roman"/>
          <w:color w:val="000000"/>
          <w:sz w:val="27"/>
          <w:szCs w:val="27"/>
          <w:lang w:val="ru-RU"/>
        </w:rPr>
        <w:t xml:space="preserve">Дружби           </w:t>
      </w:r>
      <w:r>
        <w:rPr>
          <w:rStyle w:val="23"/>
          <w:rFonts w:cs="Times New Roman" w:ascii="Times New Roman" w:hAnsi="Times New Roman"/>
          <w:color w:val="000000"/>
          <w:sz w:val="27"/>
          <w:szCs w:val="27"/>
        </w:rPr>
        <w:t xml:space="preserve">(162,9 тис. грн), </w:t>
      </w:r>
      <w:r>
        <w:rPr>
          <w:rStyle w:val="23"/>
          <w:rFonts w:cs="Times New Roman" w:ascii="Times New Roman" w:hAnsi="Times New Roman"/>
          <w:color w:val="000000"/>
          <w:sz w:val="27"/>
          <w:szCs w:val="27"/>
          <w:lang w:val="ru-RU"/>
        </w:rPr>
        <w:t>вул. Молодіжна</w:t>
      </w:r>
      <w:r>
        <w:rPr>
          <w:rStyle w:val="23"/>
          <w:rFonts w:cs="Times New Roman" w:ascii="Times New Roman" w:hAnsi="Times New Roman"/>
          <w:color w:val="000000"/>
          <w:sz w:val="27"/>
          <w:szCs w:val="27"/>
        </w:rPr>
        <w:t xml:space="preserve"> (1793,0 тис. грн) </w:t>
      </w:r>
      <w:r>
        <w:rPr>
          <w:rStyle w:val="23"/>
          <w:rFonts w:cs="Times New Roman" w:ascii="Times New Roman" w:hAnsi="Times New Roman"/>
          <w:color w:val="000000"/>
          <w:sz w:val="27"/>
          <w:szCs w:val="27"/>
          <w:lang w:val="ru-RU"/>
        </w:rPr>
        <w:t xml:space="preserve">у с. Дачне. </w:t>
      </w:r>
    </w:p>
    <w:p>
      <w:pPr>
        <w:pStyle w:val="Timt"/>
        <w:rPr/>
      </w:pPr>
      <w:r>
        <w:rPr>
          <w:rStyle w:val="23"/>
          <w:rFonts w:cs="Times New Roman" w:ascii="Times New Roman" w:hAnsi="Times New Roman"/>
          <w:color w:val="000000"/>
          <w:sz w:val="27"/>
          <w:szCs w:val="27"/>
          <w:lang w:val="ru-RU"/>
        </w:rPr>
        <w:t xml:space="preserve">Завершено будівництво та введено в експлуатацію дошкільний навчальний заклад у селі Дачне Прилуцького старостинського округу. </w:t>
      </w:r>
    </w:p>
    <w:p>
      <w:pPr>
        <w:pStyle w:val="Timt"/>
        <w:rPr>
          <w:rStyle w:val="23"/>
          <w:rFonts w:ascii="Times New Roman" w:hAnsi="Times New Roman" w:cs="Times New Roman"/>
          <w:color w:val="000000"/>
          <w:sz w:val="27"/>
          <w:szCs w:val="27"/>
          <w:lang w:val="ru-RU"/>
        </w:rPr>
      </w:pPr>
      <w:r>
        <w:rPr>
          <w:rFonts w:cs="Times New Roman" w:ascii="Times New Roman" w:hAnsi="Times New Roman"/>
          <w:color w:val="000000"/>
          <w:sz w:val="27"/>
          <w:szCs w:val="27"/>
          <w:lang w:val="ru-RU"/>
        </w:rPr>
      </w:r>
    </w:p>
    <w:p>
      <w:pPr>
        <w:pStyle w:val="Timt"/>
        <w:rPr/>
      </w:pPr>
      <w:r>
        <w:rPr>
          <w:rFonts w:cs="Times New Roman" w:ascii="Times New Roman" w:hAnsi="Times New Roman"/>
          <w:b/>
          <w:bCs/>
          <w:color w:val="000000"/>
          <w:sz w:val="27"/>
          <w:szCs w:val="27"/>
        </w:rPr>
        <w:t>4. Організація та проведення конкурсу Бюджету участі Луцької міської територіальної громади.</w:t>
      </w:r>
    </w:p>
    <w:p>
      <w:pPr>
        <w:pStyle w:val="Normal"/>
        <w:ind w:firstLine="709"/>
        <w:jc w:val="both"/>
        <w:rPr>
          <w:rFonts w:ascii="Times New Roman" w:hAnsi="Times New Roman"/>
          <w:sz w:val="27"/>
          <w:szCs w:val="27"/>
        </w:rPr>
      </w:pPr>
      <w:r>
        <w:rPr>
          <w:rFonts w:ascii="Times New Roman" w:hAnsi="Times New Roman"/>
          <w:sz w:val="27"/>
          <w:szCs w:val="27"/>
        </w:rPr>
        <w:t>За результатами проведеного конкурсу Бюджету участі Луцької міської територіальної громади. було визначено 15 проєктів - переможців, реалізація яких відбудеться у 2021 році. Загальна вартість фінансування проєктів у 2021 році становить 3 748</w:t>
      </w:r>
      <w:r>
        <w:rPr>
          <w:rFonts w:ascii="Times New Roman" w:hAnsi="Times New Roman"/>
          <w:sz w:val="27"/>
          <w:szCs w:val="27"/>
          <w:lang w:val="en-US"/>
        </w:rPr>
        <w:t> </w:t>
      </w:r>
      <w:r>
        <w:rPr>
          <w:rFonts w:ascii="Times New Roman" w:hAnsi="Times New Roman"/>
          <w:sz w:val="27"/>
          <w:szCs w:val="27"/>
        </w:rPr>
        <w:t>073 грн.</w:t>
      </w:r>
    </w:p>
    <w:p>
      <w:pPr>
        <w:pStyle w:val="Normal"/>
        <w:tabs>
          <w:tab w:val="clear" w:pos="709"/>
          <w:tab w:val="left" w:pos="993" w:leader="none"/>
        </w:tabs>
        <w:ind w:right="-2" w:firstLine="709"/>
        <w:jc w:val="both"/>
        <w:rPr/>
      </w:pPr>
      <w:r>
        <w:rPr>
          <w:rFonts w:ascii="Times New Roman" w:hAnsi="Times New Roman"/>
          <w:sz w:val="27"/>
          <w:szCs w:val="27"/>
        </w:rPr>
        <w:t xml:space="preserve">1. </w:t>
      </w:r>
      <w:r>
        <w:rPr>
          <w:rFonts w:ascii="Times New Roman" w:hAnsi="Times New Roman"/>
          <w:sz w:val="27"/>
          <w:szCs w:val="27"/>
          <w:lang w:eastAsia="uk-UA"/>
        </w:rPr>
        <w:t xml:space="preserve">Проєкти, спрямовані на покращення матеріально-технічного забезпечення бюджетних установ та закладів: «Шкільна бібліотека НВК 26 – простір особистісного розвитку дитини», </w:t>
      </w:r>
      <w:r>
        <w:rPr>
          <w:rFonts w:ascii="Times New Roman" w:hAnsi="Times New Roman"/>
          <w:sz w:val="27"/>
          <w:szCs w:val="27"/>
        </w:rPr>
        <w:t>«</w:t>
      </w:r>
      <w:r>
        <w:rPr>
          <w:rFonts w:ascii="Times New Roman" w:hAnsi="Times New Roman"/>
          <w:sz w:val="27"/>
          <w:szCs w:val="27"/>
          <w:lang w:eastAsia="uk-UA"/>
        </w:rPr>
        <w:t>Комфорт та зручність освітнього простору», «</w:t>
      </w:r>
      <w:r>
        <w:rPr>
          <w:rFonts w:cs="Gotham Pro Bold;Times New Roman" w:ascii="Times New Roman" w:hAnsi="Times New Roman"/>
          <w:sz w:val="27"/>
          <w:szCs w:val="27"/>
          <w:shd w:fill="FFFFFF" w:val="clear"/>
        </w:rPr>
        <w:t>Облаштування сучасного волейбольного майданчика на території школи №</w:t>
      </w:r>
      <w:r>
        <w:rPr>
          <w:rFonts w:cs="Gotham Pro Bold;Times New Roman" w:ascii="Times New Roman" w:hAnsi="Times New Roman"/>
          <w:sz w:val="27"/>
          <w:szCs w:val="27"/>
          <w:shd w:fill="FFFFFF" w:val="clear"/>
          <w:lang w:val="en-US"/>
        </w:rPr>
        <w:t> </w:t>
      </w:r>
      <w:r>
        <w:rPr>
          <w:rFonts w:cs="Gotham Pro Bold;Times New Roman" w:ascii="Times New Roman" w:hAnsi="Times New Roman"/>
          <w:sz w:val="27"/>
          <w:szCs w:val="27"/>
          <w:shd w:fill="FFFFFF" w:val="clear"/>
        </w:rPr>
        <w:t xml:space="preserve">22» </w:t>
      </w:r>
    </w:p>
    <w:p>
      <w:pPr>
        <w:pStyle w:val="Normal"/>
        <w:tabs>
          <w:tab w:val="clear" w:pos="709"/>
          <w:tab w:val="left" w:pos="993" w:leader="none"/>
        </w:tabs>
        <w:ind w:firstLine="709"/>
        <w:jc w:val="both"/>
        <w:rPr/>
      </w:pPr>
      <w:r>
        <w:rPr>
          <w:rFonts w:ascii="Times New Roman" w:hAnsi="Times New Roman"/>
          <w:sz w:val="27"/>
          <w:szCs w:val="27"/>
          <w:lang w:eastAsia="uk-UA"/>
        </w:rPr>
        <w:t>2. Загальноміські проєкти: </w:t>
      </w:r>
      <w:r>
        <w:rPr>
          <w:rFonts w:ascii="Times New Roman" w:hAnsi="Times New Roman"/>
          <w:color w:val="000000"/>
          <w:sz w:val="27"/>
          <w:szCs w:val="27"/>
          <w:lang w:eastAsia="uk-UA"/>
        </w:rPr>
        <w:t xml:space="preserve">«Облаштування автомобільної парковки на вулиці Писаревського», «Козацьке наметове таборування “Герць 2021”», «Кубок Луцька </w:t>
      </w:r>
      <w:r>
        <w:rPr>
          <w:rFonts w:ascii="Times New Roman" w:hAnsi="Times New Roman"/>
          <w:color w:val="000000"/>
          <w:sz w:val="27"/>
          <w:szCs w:val="27"/>
          <w:highlight w:val="white"/>
          <w:lang w:eastAsia="uk-UA"/>
        </w:rPr>
        <w:t>з рукопашу гопак»</w:t>
      </w:r>
      <w:r>
        <w:rPr>
          <w:rFonts w:ascii="Times New Roman" w:hAnsi="Times New Roman"/>
          <w:color w:val="000000"/>
          <w:sz w:val="27"/>
          <w:szCs w:val="27"/>
          <w:lang w:eastAsia="uk-UA"/>
        </w:rPr>
        <w:t xml:space="preserve"> </w:t>
      </w:r>
      <w:r>
        <w:rPr>
          <w:rFonts w:ascii="Times New Roman" w:hAnsi="Times New Roman"/>
          <w:sz w:val="27"/>
          <w:szCs w:val="27"/>
        </w:rPr>
        <w:t xml:space="preserve">вартістю </w:t>
      </w:r>
      <w:r>
        <w:rPr>
          <w:rFonts w:ascii="Times New Roman" w:hAnsi="Times New Roman"/>
          <w:sz w:val="27"/>
          <w:szCs w:val="27"/>
          <w:lang w:eastAsia="uk-UA"/>
        </w:rPr>
        <w:t xml:space="preserve">250 000 грн, </w:t>
      </w:r>
      <w:r>
        <w:rPr>
          <w:rFonts w:ascii="Times New Roman" w:hAnsi="Times New Roman"/>
          <w:color w:val="000000"/>
          <w:sz w:val="27"/>
          <w:szCs w:val="27"/>
          <w:lang w:eastAsia="uk-UA"/>
        </w:rPr>
        <w:t>«Стрільба з лука в Луцьку – відкриття олімпійського горизонту», «Організація та проведення спортивних заходів –</w:t>
      </w:r>
      <w:r>
        <w:rPr>
          <w:rFonts w:ascii="Times New Roman" w:hAnsi="Times New Roman"/>
          <w:color w:val="000000"/>
          <w:sz w:val="27"/>
          <w:szCs w:val="27"/>
          <w:lang w:val="ru-RU" w:eastAsia="uk-UA"/>
        </w:rPr>
        <w:t> </w:t>
      </w:r>
      <w:r>
        <w:rPr>
          <w:rFonts w:ascii="Times New Roman" w:hAnsi="Times New Roman"/>
          <w:color w:val="000000"/>
          <w:sz w:val="27"/>
          <w:szCs w:val="27"/>
          <w:lang w:eastAsia="uk-UA"/>
        </w:rPr>
        <w:t>хокейних матчів та турнірів», «Реконструкція пішохідної зони на бульварі Дружби Народів», «Встановлення сучасних контейнерів для роздільного збору вторинної сировини», «Соціально-творча майстерня та денний догляд для людей з інвалідністю», «Проведення всеукраїнського/міжнародного дитячого футбольного турніру з залученням до участі клубів м. Луцьк», «Встановлення огородження для існуючого футбольного поля (вул. Теремнівська, м. Луцьк)», «Серія заходів «Українське лицарство» та «Покращення благоустрою прибудинкової території на вулиці Загородня, 4».</w:t>
      </w:r>
    </w:p>
    <w:p>
      <w:pPr>
        <w:pStyle w:val="Normal"/>
        <w:ind w:firstLine="709"/>
        <w:jc w:val="both"/>
        <w:rPr/>
      </w:pPr>
      <w:r>
        <w:rPr>
          <w:rFonts w:ascii="Times New Roman" w:hAnsi="Times New Roman"/>
          <w:sz w:val="27"/>
          <w:szCs w:val="27"/>
        </w:rPr>
        <w:t xml:space="preserve">У 2020 році повністю реалізовано 8 проєктів, які стали переможцями конкурсу Бюджету участі 2019 року. У зв’язку пандемією </w:t>
      </w:r>
      <w:r>
        <w:rPr>
          <w:rFonts w:ascii="Times New Roman" w:hAnsi="Times New Roman"/>
          <w:sz w:val="27"/>
          <w:szCs w:val="27"/>
          <w:lang w:val="en-US"/>
        </w:rPr>
        <w:t>COVID</w:t>
      </w:r>
      <w:r>
        <w:rPr>
          <w:rFonts w:ascii="Times New Roman" w:hAnsi="Times New Roman"/>
          <w:sz w:val="27"/>
          <w:szCs w:val="27"/>
        </w:rPr>
        <w:t xml:space="preserve">-19 та іншими факторами, реалізацію п’яти проєктів не завершено. Виконання двох – повністю або частково перенесено на 2021 рік. </w:t>
      </w:r>
    </w:p>
    <w:p>
      <w:pPr>
        <w:pStyle w:val="Normal"/>
        <w:ind w:firstLine="709"/>
        <w:jc w:val="both"/>
        <w:rPr>
          <w:rFonts w:ascii="Times New Roman" w:hAnsi="Times New Roman"/>
          <w:sz w:val="27"/>
          <w:szCs w:val="27"/>
        </w:rPr>
      </w:pPr>
      <w:r>
        <w:rPr>
          <w:rFonts w:ascii="Times New Roman" w:hAnsi="Times New Roman"/>
          <w:sz w:val="27"/>
          <w:szCs w:val="27"/>
        </w:rPr>
        <w:t>Повністю реалізовано проєкти:</w:t>
      </w:r>
      <w:r>
        <w:rPr>
          <w:rFonts w:ascii="Times New Roman" w:hAnsi="Times New Roman"/>
          <w:b/>
          <w:sz w:val="27"/>
          <w:szCs w:val="27"/>
        </w:rPr>
        <w:t xml:space="preserve"> </w:t>
      </w:r>
      <w:r>
        <w:rPr>
          <w:rFonts w:ascii="Times New Roman" w:hAnsi="Times New Roman"/>
          <w:sz w:val="27"/>
          <w:szCs w:val="27"/>
        </w:rPr>
        <w:t xml:space="preserve">«Створення зони відпочинку учнів молодших класів у НВК № 26», «Безпечний НВК № 26», «Облаштування скверу та спортивно-відпочинкового комплексу з вуличними тренажерами», </w:t>
      </w:r>
      <w:r>
        <w:rPr>
          <w:rFonts w:ascii="Times New Roman" w:hAnsi="Times New Roman"/>
          <w:b/>
          <w:sz w:val="27"/>
          <w:szCs w:val="27"/>
        </w:rPr>
        <w:tab/>
      </w:r>
      <w:r>
        <w:rPr>
          <w:rFonts w:ascii="Times New Roman" w:hAnsi="Times New Roman"/>
          <w:sz w:val="27"/>
          <w:szCs w:val="27"/>
        </w:rPr>
        <w:t xml:space="preserve">«Створення    повноцінної, загальнодоступної, активно функціонуючої секції стрільби з лука»,  «Проведення міжнародного дитячого футбольного турніру в м. Луцьк», Ремонт аварійної дороги у 55-му мікрорайоні», «Впорядкування парку </w:t>
        <w:softHyphen/>
        <w:t>“Дубовий гай”», «Облаштування відпочинкової зони у сквері вулиць Писаревського /Відродження».</w:t>
      </w:r>
    </w:p>
    <w:p>
      <w:pPr>
        <w:pStyle w:val="Normal"/>
        <w:ind w:firstLine="709"/>
        <w:jc w:val="both"/>
        <w:rPr/>
      </w:pPr>
      <w:r>
        <w:rPr>
          <w:rFonts w:ascii="Times New Roman" w:hAnsi="Times New Roman"/>
          <w:sz w:val="27"/>
          <w:szCs w:val="27"/>
        </w:rPr>
        <w:t>Загальна вартість фінансування з реалізованих проєктів - переможців у 2020 році становила 1 697 963 грн коштів бюджету Луцької міської територіальної громади.</w:t>
      </w:r>
    </w:p>
    <w:p>
      <w:pPr>
        <w:pStyle w:val="Normal"/>
        <w:jc w:val="both"/>
        <w:rPr/>
      </w:pPr>
      <w:r>
        <w:rPr>
          <w:rFonts w:cs="Times New Roman" w:ascii="Times New Roman" w:hAnsi="Times New Roman"/>
          <w:color w:val="FC5C00"/>
          <w:sz w:val="27"/>
          <w:szCs w:val="27"/>
        </w:rPr>
        <w:t xml:space="preserve"> </w:t>
      </w:r>
    </w:p>
    <w:p>
      <w:pPr>
        <w:pStyle w:val="Normal"/>
        <w:tabs>
          <w:tab w:val="clear" w:pos="709"/>
          <w:tab w:val="left" w:pos="981" w:leader="none"/>
        </w:tabs>
        <w:ind w:firstLine="567"/>
        <w:jc w:val="both"/>
        <w:rPr/>
      </w:pPr>
      <w:r>
        <w:rPr>
          <w:rFonts w:cs="Times New Roman" w:ascii="Times New Roman" w:hAnsi="Times New Roman"/>
          <w:b/>
          <w:bCs/>
          <w:color w:val="000000"/>
          <w:sz w:val="27"/>
          <w:szCs w:val="27"/>
        </w:rPr>
        <w:t>5. Відновлення роботи закладу дошкільної освіти на вул. Ярощука, 23.</w:t>
      </w:r>
    </w:p>
    <w:p>
      <w:pPr>
        <w:pStyle w:val="Normal"/>
        <w:snapToGrid w:val="false"/>
        <w:ind w:firstLine="567"/>
        <w:jc w:val="both"/>
        <w:rPr>
          <w:rFonts w:ascii="Times New Roman" w:hAnsi="Times New Roman" w:cs="Times New Roman"/>
          <w:bCs/>
          <w:color w:val="000000"/>
          <w:sz w:val="27"/>
          <w:szCs w:val="27"/>
        </w:rPr>
      </w:pPr>
      <w:r>
        <w:rPr>
          <w:rFonts w:cs="Times New Roman" w:ascii="Times New Roman" w:hAnsi="Times New Roman"/>
          <w:bCs/>
          <w:color w:val="000000"/>
          <w:sz w:val="27"/>
          <w:szCs w:val="27"/>
        </w:rPr>
        <w:t>Робота закладу не відновлена, оскільки не виконана вимога суду щодо звільнення приміщення на вул. Ярощука, 2 Луцьким міським центром зайнятості.</w:t>
      </w:r>
    </w:p>
    <w:p>
      <w:pPr>
        <w:pStyle w:val="Normal"/>
        <w:snapToGrid w:val="false"/>
        <w:ind w:firstLine="567"/>
        <w:jc w:val="both"/>
        <w:rPr>
          <w:rFonts w:ascii="Times New Roman" w:hAnsi="Times New Roman" w:cs="Times New Roman"/>
          <w:bCs/>
          <w:color w:val="000000"/>
          <w:sz w:val="27"/>
          <w:szCs w:val="27"/>
        </w:rPr>
      </w:pPr>
      <w:r>
        <w:rPr>
          <w:rFonts w:cs="Times New Roman" w:ascii="Times New Roman" w:hAnsi="Times New Roman"/>
          <w:bCs/>
          <w:color w:val="000000"/>
          <w:sz w:val="27"/>
          <w:szCs w:val="27"/>
        </w:rPr>
      </w:r>
    </w:p>
    <w:p>
      <w:pPr>
        <w:pStyle w:val="Normal"/>
        <w:snapToGrid w:val="false"/>
        <w:ind w:firstLine="567"/>
        <w:jc w:val="both"/>
        <w:rPr>
          <w:color w:val="106802"/>
        </w:rPr>
      </w:pPr>
      <w:r>
        <w:rPr>
          <w:rFonts w:cs="Times New Roman" w:ascii="Times New Roman" w:hAnsi="Times New Roman"/>
          <w:b/>
          <w:bCs/>
          <w:color w:val="000000"/>
          <w:sz w:val="27"/>
          <w:szCs w:val="27"/>
        </w:rPr>
        <w:t>6. Пошук джерел фінансування на початок будівництва нового закладу дошкільної освіти у районі вул. Дубнівська.</w:t>
      </w:r>
    </w:p>
    <w:p>
      <w:pPr>
        <w:pStyle w:val="Normal"/>
        <w:tabs>
          <w:tab w:val="clear" w:pos="709"/>
          <w:tab w:val="left" w:pos="540" w:leader="none"/>
        </w:tabs>
        <w:snapToGrid w:val="false"/>
        <w:ind w:firstLine="567"/>
        <w:jc w:val="both"/>
        <w:rPr/>
      </w:pPr>
      <w:r>
        <w:rPr>
          <w:rStyle w:val="23"/>
          <w:rFonts w:cs="Times New Roman" w:ascii="Times New Roman" w:hAnsi="Times New Roman"/>
          <w:bCs/>
          <w:color w:val="000000"/>
          <w:sz w:val="27"/>
          <w:szCs w:val="27"/>
        </w:rPr>
        <w:t>Будівництво закладу дошкільної освіти не здійснювалось.</w:t>
      </w:r>
    </w:p>
    <w:p>
      <w:pPr>
        <w:pStyle w:val="Normal"/>
        <w:snapToGrid w:val="false"/>
        <w:ind w:firstLine="567"/>
        <w:jc w:val="both"/>
        <w:rPr>
          <w:rFonts w:ascii="Times New Roman" w:hAnsi="Times New Roman" w:cs="Times New Roman"/>
          <w:b/>
          <w:b/>
          <w:color w:val="000000"/>
          <w:sz w:val="27"/>
          <w:szCs w:val="27"/>
        </w:rPr>
      </w:pPr>
      <w:r>
        <w:rPr>
          <w:rFonts w:cs="Times New Roman" w:ascii="Times New Roman" w:hAnsi="Times New Roman"/>
          <w:b/>
          <w:color w:val="000000"/>
          <w:sz w:val="27"/>
          <w:szCs w:val="27"/>
        </w:rPr>
      </w:r>
    </w:p>
    <w:p>
      <w:pPr>
        <w:pStyle w:val="Style26"/>
        <w:spacing w:lineRule="auto" w:line="240" w:before="0" w:after="0"/>
        <w:ind w:firstLine="567"/>
        <w:jc w:val="both"/>
        <w:rPr>
          <w:rFonts w:ascii="Times New Roman" w:hAnsi="Times New Roman" w:cs="Times New Roman"/>
          <w:b/>
          <w:b/>
          <w:bCs/>
          <w:color w:val="000000"/>
          <w:sz w:val="27"/>
          <w:szCs w:val="27"/>
        </w:rPr>
      </w:pPr>
      <w:r>
        <w:rPr>
          <w:rFonts w:cs="Times New Roman" w:ascii="Times New Roman" w:hAnsi="Times New Roman"/>
          <w:b/>
          <w:bCs/>
          <w:color w:val="000000"/>
          <w:sz w:val="27"/>
          <w:szCs w:val="27"/>
        </w:rPr>
        <w:t>7. Продовження реалізації заходів з придбання житла учасникам бойових дій та особам з інвалідністю внаслідок війни, які були призвані на військову службу по мобілізації для участі в проведенні антитерористичної операції, на умовах співфінансування.</w:t>
      </w:r>
    </w:p>
    <w:p>
      <w:pPr>
        <w:pStyle w:val="Normal"/>
        <w:ind w:firstLine="709"/>
        <w:jc w:val="both"/>
        <w:rPr/>
      </w:pPr>
      <w:r>
        <w:rPr>
          <w:rStyle w:val="FontStyle22"/>
          <w:rFonts w:eastAsia="NSimSun"/>
          <w:color w:val="000000"/>
          <w:sz w:val="27"/>
          <w:szCs w:val="27"/>
        </w:rPr>
        <w:t>На реалізацію Програми забезпечення житлом на умовах співфінансування учасників бойових дій, осіб з інвалідністю внаслідок війни, бійців-добровольців, а також членів сімей загиблих (померлих), зниклих безвісти на</w:t>
      </w:r>
      <w:r>
        <w:rPr>
          <w:rStyle w:val="FontStyle22"/>
          <w:rFonts w:eastAsia="NSimSun"/>
          <w:color w:val="000000"/>
          <w:spacing w:val="-1"/>
          <w:sz w:val="27"/>
          <w:szCs w:val="27"/>
          <w:lang w:eastAsia="ar-SA"/>
        </w:rPr>
        <w:t xml:space="preserve"> 2017-2019 роки</w:t>
      </w:r>
      <w:r>
        <w:rPr>
          <w:rStyle w:val="23"/>
          <w:rFonts w:cs="Times New Roman" w:ascii="Times New Roman" w:hAnsi="Times New Roman"/>
          <w:color w:val="000000"/>
          <w:sz w:val="27"/>
          <w:szCs w:val="27"/>
          <w:highlight w:val="white"/>
        </w:rPr>
        <w:t xml:space="preserve"> зі змінами (термін дії Програми</w:t>
      </w:r>
      <w:r>
        <w:rPr>
          <w:rStyle w:val="FontStyle22"/>
          <w:rFonts w:eastAsia="NSimSun"/>
          <w:color w:val="000000"/>
          <w:spacing w:val="-1"/>
          <w:sz w:val="27"/>
          <w:szCs w:val="27"/>
          <w:lang w:bidi="ar-SA"/>
        </w:rPr>
        <w:t xml:space="preserve"> </w:t>
      </w:r>
      <w:r>
        <w:rPr>
          <w:rStyle w:val="23"/>
          <w:rFonts w:cs="Times New Roman" w:ascii="Times New Roman" w:hAnsi="Times New Roman"/>
          <w:color w:val="000000"/>
          <w:sz w:val="27"/>
          <w:szCs w:val="27"/>
          <w:highlight w:val="white"/>
        </w:rPr>
        <w:t xml:space="preserve"> продовжено на 2020-2022 роки) у звітному році використано 4,3 млн грн (співфінанасування) для 10 осіб. </w:t>
      </w:r>
    </w:p>
    <w:p>
      <w:pPr>
        <w:pStyle w:val="Normal"/>
        <w:ind w:firstLine="709"/>
        <w:jc w:val="both"/>
        <w:rPr/>
      </w:pPr>
      <w:r>
        <w:rPr>
          <w:rStyle w:val="23"/>
          <w:rFonts w:cs="Times New Roman" w:ascii="Times New Roman" w:hAnsi="Times New Roman"/>
          <w:color w:val="000000"/>
          <w:sz w:val="27"/>
          <w:szCs w:val="27"/>
        </w:rPr>
        <w:t xml:space="preserve"> </w:t>
      </w:r>
    </w:p>
    <w:p>
      <w:pPr>
        <w:pStyle w:val="Normal"/>
        <w:snapToGrid w:val="false"/>
        <w:ind w:firstLine="567"/>
        <w:jc w:val="both"/>
        <w:rPr/>
      </w:pPr>
      <w:r>
        <w:rPr>
          <w:rFonts w:cs="Times New Roman" w:ascii="Times New Roman" w:hAnsi="Times New Roman"/>
          <w:b/>
          <w:bCs/>
          <w:color w:val="000000"/>
          <w:sz w:val="27"/>
          <w:szCs w:val="27"/>
        </w:rPr>
        <w:t>8. Створення консультативно -</w:t>
      </w:r>
      <w:r>
        <w:rPr>
          <w:rFonts w:eastAsia="Times New Roman" w:cs="Times New Roman" w:ascii="Times New Roman" w:hAnsi="Times New Roman"/>
          <w:b/>
          <w:bCs/>
          <w:color w:val="000000"/>
          <w:sz w:val="27"/>
          <w:szCs w:val="27"/>
        </w:rPr>
        <w:t> </w:t>
      </w:r>
      <w:r>
        <w:rPr>
          <w:rFonts w:cs="Times New Roman" w:ascii="Times New Roman" w:hAnsi="Times New Roman"/>
          <w:b/>
          <w:bCs/>
          <w:color w:val="000000"/>
          <w:sz w:val="27"/>
          <w:szCs w:val="27"/>
        </w:rPr>
        <w:t>діагностичного центру у складі комунального підприємства «Луцька міська клінічна лікарня</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w:t>
      </w:r>
      <w:r>
        <w:rPr>
          <w:rFonts w:cs="Times New Roman" w:ascii="Times New Roman" w:hAnsi="Times New Roman"/>
          <w:b/>
          <w:bCs/>
          <w:color w:val="000000"/>
          <w:sz w:val="27"/>
          <w:szCs w:val="27"/>
        </w:rPr>
        <w:t>.</w:t>
      </w:r>
    </w:p>
    <w:p>
      <w:pPr>
        <w:pStyle w:val="Normal"/>
        <w:ind w:firstLine="709"/>
        <w:jc w:val="both"/>
        <w:rPr/>
      </w:pPr>
      <w:r>
        <w:rPr>
          <w:rStyle w:val="23"/>
          <w:rFonts w:cs="Times New Roman" w:ascii="Times New Roman" w:hAnsi="Times New Roman"/>
          <w:color w:val="000000"/>
          <w:sz w:val="27"/>
          <w:szCs w:val="27"/>
        </w:rPr>
        <w:t>З метою дотримання об’єму надання вторинної (спеціалізованої) медичної допомоги, що повинен забезпечуватися багатопрофільними лікарнями інтенсивного лікування першого та другого рівня, з 15 січня 2020 року розпочав роботу консультативно  </w:t>
      </w:r>
      <w:r>
        <w:rPr>
          <w:rStyle w:val="23"/>
          <w:rFonts w:cs="Times New Roman" w:ascii="Times New Roman" w:hAnsi="Times New Roman"/>
          <w:b/>
          <w:bCs/>
          <w:color w:val="000000"/>
          <w:sz w:val="27"/>
          <w:szCs w:val="27"/>
        </w:rPr>
        <w:t>- </w:t>
      </w:r>
      <w:r>
        <w:rPr>
          <w:rStyle w:val="23"/>
          <w:rFonts w:cs="Times New Roman" w:ascii="Times New Roman" w:hAnsi="Times New Roman"/>
          <w:color w:val="000000"/>
          <w:sz w:val="27"/>
          <w:szCs w:val="27"/>
        </w:rPr>
        <w:t> діагностичний центр в складі КП “Луцька міська клінічна лікарня</w:t>
      </w:r>
      <w:r>
        <w:rPr>
          <w:rStyle w:val="26"/>
          <w:rFonts w:cs="Times New Roman" w:ascii="Times New Roman" w:hAnsi="Times New Roman"/>
          <w:color w:val="000000"/>
          <w:sz w:val="27"/>
          <w:szCs w:val="27"/>
        </w:rPr>
        <w:t>»</w:t>
      </w:r>
      <w:r>
        <w:rPr>
          <w:rStyle w:val="23"/>
          <w:rFonts w:cs="Times New Roman" w:ascii="Times New Roman" w:hAnsi="Times New Roman"/>
          <w:color w:val="000000"/>
          <w:sz w:val="27"/>
          <w:szCs w:val="27"/>
        </w:rPr>
        <w:t xml:space="preserve"> (штатна чисельність посад лікарів</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106,75 од., у 2020 році фактично зайнято</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104,5 од.). К</w:t>
      </w:r>
      <w:r>
        <w:rPr>
          <w:rStyle w:val="23"/>
          <w:rFonts w:cs="Times New Roman" w:ascii="Times New Roman" w:hAnsi="Times New Roman"/>
          <w:color w:val="000000"/>
          <w:sz w:val="27"/>
          <w:szCs w:val="27"/>
          <w:lang w:val="ru-RU"/>
        </w:rPr>
        <w:t>ількість відвідувань </w:t>
      </w:r>
      <w:bookmarkStart w:id="5" w:name="__DdeLink__545_846914655"/>
      <w:r>
        <w:rPr>
          <w:rStyle w:val="23"/>
          <w:rFonts w:cs="Times New Roman" w:ascii="Times New Roman" w:hAnsi="Times New Roman"/>
          <w:color w:val="000000"/>
          <w:sz w:val="27"/>
          <w:szCs w:val="27"/>
          <w:lang w:val="ru-RU"/>
        </w:rPr>
        <w:t>–</w:t>
      </w:r>
      <w:bookmarkEnd w:id="5"/>
      <w:r>
        <w:rPr>
          <w:rStyle w:val="23"/>
          <w:rFonts w:cs="Times New Roman" w:ascii="Times New Roman" w:hAnsi="Times New Roman"/>
          <w:color w:val="000000"/>
          <w:sz w:val="27"/>
          <w:szCs w:val="27"/>
          <w:lang w:val="ru-RU"/>
        </w:rPr>
        <w:t xml:space="preserve">  176434. </w:t>
      </w:r>
    </w:p>
    <w:p>
      <w:pPr>
        <w:pStyle w:val="Normal"/>
        <w:ind w:firstLine="709"/>
        <w:jc w:val="both"/>
        <w:rPr/>
      </w:pPr>
      <w:r>
        <w:rPr>
          <w:rStyle w:val="23"/>
          <w:rFonts w:cs="Times New Roman" w:ascii="Times New Roman" w:hAnsi="Times New Roman"/>
          <w:color w:val="000000"/>
          <w:sz w:val="27"/>
          <w:szCs w:val="27"/>
        </w:rPr>
        <w:t>Згідно укладеного договору із Національною службою здоров’я України за період з 01.04.2020</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noBreakHyphen/>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31.12.2020 консультативно - діагностичним центром було отримано 16</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030,6 тис. грн (умови договору та сплачена сума виконані у повному об</w:t>
      </w:r>
      <w:r>
        <w:rPr>
          <w:rStyle w:val="23"/>
          <w:rFonts w:cs="Times New Roman" w:ascii="Times New Roman" w:hAnsi="Times New Roman"/>
          <w:color w:val="000000"/>
          <w:sz w:val="27"/>
          <w:szCs w:val="27"/>
          <w:lang w:val="ru-RU"/>
        </w:rPr>
        <w:t>’</w:t>
      </w:r>
      <w:r>
        <w:rPr>
          <w:rStyle w:val="23"/>
          <w:rFonts w:cs="Times New Roman" w:ascii="Times New Roman" w:hAnsi="Times New Roman"/>
          <w:color w:val="000000"/>
          <w:sz w:val="27"/>
          <w:szCs w:val="27"/>
        </w:rPr>
        <w:t>ємі). Розмір отриманої медичної субвенції на функціонування центру склав  3</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825,4 тис. грн, кошти бюджету міської територіальної громади</w:t>
      </w:r>
      <w:bookmarkStart w:id="6" w:name="__DdeLink__967_790595085"/>
      <w:r>
        <w:rPr>
          <w:rStyle w:val="23"/>
          <w:rFonts w:cs="Times New Roman" w:ascii="Times New Roman" w:hAnsi="Times New Roman"/>
          <w:color w:val="000000"/>
          <w:sz w:val="27"/>
          <w:szCs w:val="27"/>
        </w:rPr>
        <w:t> –</w:t>
      </w:r>
      <w:r>
        <w:rPr>
          <w:rStyle w:val="23"/>
          <w:rFonts w:cs="Times New Roman" w:ascii="Times New Roman" w:hAnsi="Times New Roman"/>
          <w:color w:val="000000"/>
          <w:sz w:val="27"/>
          <w:szCs w:val="27"/>
          <w:lang w:val="ru-RU"/>
        </w:rPr>
        <w:t> </w:t>
      </w:r>
      <w:bookmarkEnd w:id="6"/>
      <w:r>
        <w:rPr>
          <w:rStyle w:val="23"/>
          <w:rFonts w:cs="Times New Roman" w:ascii="Times New Roman" w:hAnsi="Times New Roman"/>
          <w:color w:val="000000"/>
          <w:sz w:val="27"/>
          <w:szCs w:val="27"/>
        </w:rPr>
        <w:t>1</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531,9 тис. грн.</w:t>
      </w:r>
    </w:p>
    <w:p>
      <w:pPr>
        <w:pStyle w:val="Normal"/>
        <w:ind w:firstLine="709"/>
        <w:jc w:val="both"/>
        <w:rPr/>
      </w:pPr>
      <w:r>
        <w:rPr>
          <w:rStyle w:val="23"/>
          <w:rFonts w:cs="Times New Roman" w:ascii="Times New Roman" w:hAnsi="Times New Roman"/>
          <w:color w:val="000000"/>
          <w:sz w:val="27"/>
          <w:szCs w:val="27"/>
          <w:lang w:val="ru-RU"/>
        </w:rPr>
        <w:t xml:space="preserve">Рівень забезпечення медичним обладанням консультативно-діагностичного центру —  близько </w:t>
      </w:r>
      <w:r>
        <w:rPr>
          <w:rStyle w:val="23"/>
          <w:rFonts w:cs="Times New Roman" w:ascii="Times New Roman" w:hAnsi="Times New Roman"/>
          <w:color w:val="000000"/>
          <w:sz w:val="27"/>
          <w:szCs w:val="27"/>
        </w:rPr>
        <w:t>65%.</w:t>
      </w:r>
    </w:p>
    <w:p>
      <w:pPr>
        <w:pStyle w:val="Normal"/>
        <w:ind w:firstLine="709"/>
        <w:jc w:val="both"/>
        <w:rPr>
          <w:rFonts w:ascii="Times New Roman" w:hAnsi="Times New Roman" w:cs="Times New Roman"/>
          <w:color w:val="000000"/>
          <w:sz w:val="27"/>
          <w:szCs w:val="27"/>
        </w:rPr>
      </w:pPr>
      <w:r>
        <w:rPr>
          <w:rFonts w:cs="Times New Roman" w:ascii="Times New Roman" w:hAnsi="Times New Roman"/>
          <w:color w:val="000000"/>
          <w:sz w:val="27"/>
          <w:szCs w:val="27"/>
        </w:rPr>
      </w:r>
    </w:p>
    <w:p>
      <w:pPr>
        <w:pStyle w:val="Normal"/>
        <w:ind w:firstLine="709"/>
        <w:jc w:val="both"/>
        <w:rPr/>
      </w:pPr>
      <w:r>
        <w:rPr>
          <w:rStyle w:val="23"/>
          <w:rFonts w:cs="Times New Roman" w:ascii="Times New Roman" w:hAnsi="Times New Roman"/>
          <w:b/>
          <w:color w:val="000000"/>
          <w:sz w:val="27"/>
          <w:szCs w:val="27"/>
        </w:rPr>
        <w:t>9</w:t>
      </w:r>
      <w:r>
        <w:rPr>
          <w:rStyle w:val="23"/>
          <w:rFonts w:cs="Times New Roman" w:ascii="Times New Roman" w:hAnsi="Times New Roman"/>
          <w:b/>
          <w:bCs/>
          <w:color w:val="000000"/>
          <w:sz w:val="27"/>
          <w:szCs w:val="27"/>
        </w:rPr>
        <w:t>. Створення Сервісного центру інтегрованих послуг у сфері соціального захисту населення Луцької міської територіальної громади у приміщенні на пр-ті Соборності, 18.</w:t>
      </w:r>
    </w:p>
    <w:p>
      <w:pPr>
        <w:pStyle w:val="Normal"/>
        <w:ind w:firstLine="709"/>
        <w:jc w:val="both"/>
        <w:rPr/>
      </w:pPr>
      <w:r>
        <w:rPr>
          <w:rStyle w:val="23"/>
          <w:rFonts w:cs="Times New Roman" w:ascii="Times New Roman" w:hAnsi="Times New Roman"/>
          <w:color w:val="000000"/>
          <w:sz w:val="27"/>
          <w:szCs w:val="27"/>
        </w:rPr>
        <w:t>Через відсутність фінансування, сервісний центр інтегрованих послуг у сфері соціального захисту населення не створений.</w:t>
      </w:r>
      <w:r>
        <w:rPr>
          <w:rStyle w:val="23"/>
          <w:rFonts w:cs="Times New Roman" w:ascii="Times New Roman" w:hAnsi="Times New Roman"/>
          <w:color w:val="000000"/>
          <w:sz w:val="27"/>
          <w:szCs w:val="27"/>
          <w:lang w:val="ru-RU"/>
        </w:rPr>
        <w:t xml:space="preserve"> </w:t>
      </w:r>
    </w:p>
    <w:p>
      <w:pPr>
        <w:pStyle w:val="Normal"/>
        <w:ind w:firstLine="709"/>
        <w:jc w:val="both"/>
        <w:rPr>
          <w:rFonts w:ascii="Times New Roman" w:hAnsi="Times New Roman" w:cs="Times New Roman"/>
          <w:color w:val="000000"/>
          <w:sz w:val="27"/>
          <w:szCs w:val="27"/>
        </w:rPr>
      </w:pPr>
      <w:r>
        <w:rPr>
          <w:rFonts w:cs="Times New Roman" w:ascii="Times New Roman" w:hAnsi="Times New Roman"/>
          <w:color w:val="000000"/>
          <w:sz w:val="27"/>
          <w:szCs w:val="27"/>
        </w:rPr>
      </w:r>
    </w:p>
    <w:p>
      <w:pPr>
        <w:pStyle w:val="Normal"/>
        <w:ind w:firstLine="709"/>
        <w:jc w:val="both"/>
        <w:rPr>
          <w:rFonts w:ascii="Times New Roman" w:hAnsi="Times New Roman" w:cs="Times New Roman"/>
          <w:b/>
          <w:b/>
          <w:bCs/>
          <w:color w:val="000000"/>
          <w:sz w:val="27"/>
          <w:szCs w:val="27"/>
        </w:rPr>
      </w:pPr>
      <w:r>
        <w:rPr>
          <w:rFonts w:cs="Times New Roman" w:ascii="Times New Roman" w:hAnsi="Times New Roman"/>
          <w:b/>
          <w:bCs/>
          <w:color w:val="000000"/>
          <w:sz w:val="27"/>
          <w:szCs w:val="27"/>
        </w:rPr>
        <w:t>10. Удосконалення системи АСОП (автоматизована система оплати проїзду) та покращення транспортної логістики в місті.</w:t>
      </w:r>
    </w:p>
    <w:p>
      <w:pPr>
        <w:pStyle w:val="Normal"/>
        <w:ind w:firstLine="709"/>
        <w:jc w:val="both"/>
        <w:rPr/>
      </w:pPr>
      <w:r>
        <w:rPr>
          <w:rStyle w:val="23"/>
          <w:rFonts w:cs="Times New Roman" w:ascii="Times New Roman" w:hAnsi="Times New Roman"/>
          <w:color w:val="000000"/>
          <w:sz w:val="27"/>
          <w:szCs w:val="27"/>
        </w:rPr>
        <w:t xml:space="preserve"> </w:t>
      </w:r>
      <w:r>
        <w:rPr>
          <w:rStyle w:val="23"/>
          <w:rFonts w:cs="Times New Roman" w:ascii="Times New Roman" w:hAnsi="Times New Roman"/>
          <w:color w:val="000000"/>
          <w:sz w:val="27"/>
          <w:szCs w:val="27"/>
        </w:rPr>
        <w:t xml:space="preserve">Договори про організацію та обслуговування електронних систем укладено із 12 перевізниками міського електро - та автотранспорту. Обладнання автоматизованої системи обліку оплати проїзду функціонує у 42 тролейбусах, 167 автобусах. Оператором електронних систем ТОВ «СІТІ КАРД СИСТЕМ» забезпечено функціонування 40 терміналів з продажу та поповнення електронних квитків. </w:t>
      </w:r>
    </w:p>
    <w:p>
      <w:pPr>
        <w:pStyle w:val="Normal"/>
        <w:ind w:firstLine="709"/>
        <w:jc w:val="both"/>
        <w:rPr/>
      </w:pPr>
      <w:r>
        <w:rPr>
          <w:rStyle w:val="23"/>
          <w:rFonts w:cs="Times New Roman" w:ascii="Times New Roman" w:hAnsi="Times New Roman"/>
          <w:color w:val="000000"/>
          <w:sz w:val="27"/>
          <w:szCs w:val="27"/>
        </w:rPr>
        <w:t xml:space="preserve">У 2020 році оновлено мобільний додаток Citycard Lutsk, а саме: додано можливість здійснення оплати за проїзд за допомогою технології NFC, надано доступ до перегляду руху коштів по електронним квиткам, як пластикового варіанту, так і згенерованого у додатку. </w:t>
      </w:r>
      <w:r>
        <w:rPr>
          <w:rStyle w:val="23"/>
          <w:rFonts w:cs="Times New Roman" w:ascii="Times New Roman" w:hAnsi="Times New Roman"/>
          <w:color w:val="000000"/>
          <w:sz w:val="27"/>
          <w:szCs w:val="27"/>
          <w:lang w:eastAsia="en-US" w:bidi="ar-SA"/>
        </w:rPr>
        <w:t>Також, укладений договір між ТОВ «СІТІ КАРД СИСТЕМ» та АБ «Укргазбанк» щодо можливості оплати проїзду у міському громадському транспорті банківським картками. Розпочато роботи щодо інтеграції з хостингом банку, переналаштуванням валідаторів під новий протокол спілкування з банком. Крім того, ТОВ «СІТІ КАРД СИСТЕМ» надано доступ до системи відеоспостереження в громадському транспорті користувачам інформації: КП «Луцьке підприємство електронаспорту», ТОВ «Фавоній плюс» та ТОВ ВТП «Санрайз» ЛТД.</w:t>
      </w:r>
    </w:p>
    <w:p>
      <w:pPr>
        <w:pStyle w:val="Normal"/>
        <w:ind w:firstLine="709"/>
        <w:jc w:val="both"/>
        <w:rPr/>
      </w:pPr>
      <w:r>
        <w:rPr>
          <w:rStyle w:val="23"/>
          <w:rFonts w:eastAsia="Times New Roman" w:cs="Times New Roman" w:ascii="Times New Roman" w:hAnsi="Times New Roman"/>
          <w:color w:val="000000"/>
          <w:sz w:val="27"/>
          <w:szCs w:val="27"/>
          <w:lang w:val="ru-RU" w:eastAsia="en-US" w:bidi="ar-SA"/>
        </w:rPr>
        <w:t xml:space="preserve"> </w:t>
      </w:r>
    </w:p>
    <w:p>
      <w:pPr>
        <w:pStyle w:val="Normal"/>
        <w:ind w:firstLine="709"/>
        <w:jc w:val="both"/>
        <w:rPr>
          <w:rFonts w:ascii="Times New Roman" w:hAnsi="Times New Roman" w:cs="Times New Roman"/>
          <w:b/>
          <w:b/>
          <w:bCs/>
          <w:color w:val="000000"/>
          <w:sz w:val="27"/>
          <w:szCs w:val="27"/>
        </w:rPr>
      </w:pPr>
      <w:r>
        <w:rPr>
          <w:rFonts w:cs="Times New Roman" w:ascii="Times New Roman" w:hAnsi="Times New Roman"/>
          <w:b/>
          <w:bCs/>
          <w:color w:val="000000"/>
          <w:sz w:val="27"/>
          <w:szCs w:val="27"/>
        </w:rPr>
        <w:t>11. Впровадження новітніх технологій «Розумного міста», розробка та впровадження «Картки лучанина», яка буде включати широкий спектр послуг населення.</w:t>
      </w:r>
    </w:p>
    <w:p>
      <w:pPr>
        <w:pStyle w:val="Normal"/>
        <w:ind w:firstLine="709"/>
        <w:jc w:val="both"/>
        <w:rPr/>
      </w:pPr>
      <w:r>
        <w:rPr>
          <w:rStyle w:val="23"/>
          <w:rFonts w:cs="Times New Roman" w:ascii="Times New Roman" w:hAnsi="Times New Roman"/>
          <w:color w:val="000000"/>
          <w:sz w:val="27"/>
          <w:szCs w:val="27"/>
        </w:rPr>
        <w:t xml:space="preserve">Автоматизовану систему оплати проїзду, яка реалізовується спільно з партнерською компанією </w:t>
      </w:r>
      <w:r>
        <w:rPr>
          <w:rStyle w:val="23"/>
          <w:rFonts w:cs="Times New Roman" w:ascii="Times New Roman" w:hAnsi="Times New Roman"/>
          <w:color w:val="000000"/>
          <w:sz w:val="27"/>
          <w:szCs w:val="27"/>
          <w:lang w:eastAsia="en-US" w:bidi="ar-SA"/>
        </w:rPr>
        <w:t>ТОВ «СІТІ КАРД СИСТЕМ»</w:t>
      </w:r>
      <w:r>
        <w:rPr>
          <w:rStyle w:val="23"/>
          <w:rFonts w:cs="Times New Roman" w:ascii="Times New Roman" w:hAnsi="Times New Roman"/>
          <w:color w:val="000000"/>
          <w:sz w:val="27"/>
          <w:szCs w:val="27"/>
        </w:rPr>
        <w:t xml:space="preserve"> було впроваджено в грудні 2019 року, у звітному періоді тривали роботи з її вдосконалення. В подальшому планується розширити функціонал транспортної картки, яка наразі використовується лише для оплати проїзду, додавши можливість сплати за інші послуги, знижки в торгових мережах тощо.</w:t>
      </w:r>
    </w:p>
    <w:p>
      <w:pPr>
        <w:pStyle w:val="Normal"/>
        <w:jc w:val="both"/>
        <w:rPr>
          <w:rFonts w:ascii="Times New Roman" w:hAnsi="Times New Roman" w:cs="Times New Roman"/>
          <w:color w:val="000000"/>
          <w:sz w:val="27"/>
          <w:szCs w:val="27"/>
        </w:rPr>
      </w:pPr>
      <w:r>
        <w:rPr>
          <w:rFonts w:cs="Times New Roman" w:ascii="Times New Roman" w:hAnsi="Times New Roman"/>
          <w:color w:val="000000"/>
          <w:sz w:val="27"/>
          <w:szCs w:val="27"/>
        </w:rPr>
      </w:r>
    </w:p>
    <w:p>
      <w:pPr>
        <w:pStyle w:val="Normal"/>
        <w:ind w:firstLine="567"/>
        <w:jc w:val="both"/>
        <w:rPr>
          <w:rFonts w:ascii="Times New Roman" w:hAnsi="Times New Roman" w:cs="Times New Roman"/>
          <w:b/>
          <w:b/>
          <w:bCs/>
          <w:color w:val="000000"/>
          <w:sz w:val="27"/>
          <w:szCs w:val="27"/>
        </w:rPr>
      </w:pPr>
      <w:r>
        <w:rPr>
          <w:rFonts w:cs="Times New Roman" w:ascii="Times New Roman" w:hAnsi="Times New Roman"/>
          <w:b/>
          <w:bCs/>
          <w:color w:val="000000"/>
          <w:sz w:val="27"/>
          <w:szCs w:val="27"/>
        </w:rPr>
        <w:t>12. Впорядкування роботи місцевих ринків.</w:t>
      </w:r>
    </w:p>
    <w:p>
      <w:pPr>
        <w:pStyle w:val="Normal"/>
        <w:ind w:firstLine="567"/>
        <w:jc w:val="both"/>
        <w:rPr/>
      </w:pPr>
      <w:r>
        <w:rPr>
          <w:rFonts w:cs="Times New Roman" w:ascii="Times New Roman" w:hAnsi="Times New Roman"/>
          <w:color w:val="000000"/>
          <w:sz w:val="27"/>
          <w:szCs w:val="27"/>
        </w:rPr>
        <w:t>На території Луцької міської територіальної громади існує два ринкових комплекси: «Завокзальний» (3043 торгових місць) та «Центральний» (4198 торгових місць).</w:t>
      </w:r>
    </w:p>
    <w:p>
      <w:pPr>
        <w:pStyle w:val="Normal"/>
        <w:ind w:firstLine="709"/>
        <w:jc w:val="both"/>
        <w:rPr/>
      </w:pPr>
      <w:r>
        <w:rPr>
          <w:rStyle w:val="23"/>
          <w:rFonts w:cs="Times New Roman" w:ascii="Times New Roman" w:hAnsi="Times New Roman"/>
          <w:color w:val="000000"/>
          <w:sz w:val="27"/>
          <w:szCs w:val="27"/>
        </w:rPr>
        <w:t>Відповідно до ст. 30 Закону України «Про місцеве самоврядування в Україні», Закону України «Про метрологію та метрологічну діяльність», рішення Луцької міської ради від 26.05.2010 № 60/1 «Про Правила торгівлі на ринках міста Луцька» та з метою визначення соціально-економічної ефективності діяльності ринків міста з продажу продовольчих та непродовольчих товарів проведено паспортизацію ринку «Шанс» на вул. Кравчука та торгового ряду на               вул. Кравчука, 31.</w:t>
      </w:r>
    </w:p>
    <w:p>
      <w:pPr>
        <w:pStyle w:val="Normal"/>
        <w:ind w:firstLine="709"/>
        <w:jc w:val="both"/>
        <w:rPr/>
      </w:pPr>
      <w:r>
        <w:rPr>
          <w:rStyle w:val="23"/>
          <w:rFonts w:cs="Times New Roman" w:ascii="Times New Roman" w:hAnsi="Times New Roman"/>
          <w:color w:val="000000"/>
          <w:sz w:val="27"/>
          <w:szCs w:val="27"/>
        </w:rPr>
        <w:t>Керуючись Законом України «Про основні принципи та вимоги до безпечності та якості харчових продуктів» та договорами оренди, зобов’язано підприємців ринків, які провадять торгівлю,</w:t>
      </w:r>
      <w:r>
        <w:rPr>
          <w:rStyle w:val="23"/>
          <w:rFonts w:cs="Times New Roman" w:ascii="Times New Roman" w:hAnsi="Times New Roman"/>
          <w:color w:val="000000"/>
          <w:sz w:val="27"/>
          <w:szCs w:val="27"/>
          <w:highlight w:val="white"/>
        </w:rPr>
        <w:t xml:space="preserve"> </w:t>
      </w:r>
      <w:r>
        <w:rPr>
          <w:rStyle w:val="23"/>
          <w:rFonts w:cs="Times New Roman" w:ascii="Times New Roman" w:hAnsi="Times New Roman"/>
          <w:color w:val="000000"/>
          <w:sz w:val="27"/>
          <w:szCs w:val="27"/>
        </w:rPr>
        <w:t>здійснити процедуру державної реєстрації потужностей в Держпродспоживслужбі за місцем здійснення господарської діяльності.</w:t>
      </w:r>
    </w:p>
    <w:p>
      <w:pPr>
        <w:pStyle w:val="Normal"/>
        <w:ind w:firstLine="709"/>
        <w:jc w:val="both"/>
        <w:rPr/>
      </w:pPr>
      <w:r>
        <w:rPr>
          <w:rStyle w:val="23"/>
          <w:rFonts w:cs="Times New Roman" w:ascii="Times New Roman" w:hAnsi="Times New Roman"/>
          <w:color w:val="000000"/>
          <w:sz w:val="27"/>
          <w:szCs w:val="27"/>
          <w:lang w:eastAsia="uk-UA"/>
        </w:rPr>
        <w:t xml:space="preserve">З метою підтримки малого, середнього і великого підприємництва у зв’язку із поширенням у світі </w:t>
      </w:r>
      <w:r>
        <w:rPr>
          <w:rStyle w:val="23"/>
          <w:rFonts w:cs="Times New Roman" w:ascii="Times New Roman" w:hAnsi="Times New Roman"/>
          <w:color w:val="000000"/>
          <w:sz w:val="27"/>
          <w:szCs w:val="27"/>
          <w:lang w:val="en-US" w:eastAsia="uk-UA"/>
        </w:rPr>
        <w:t>COVID </w:t>
      </w:r>
      <w:r>
        <w:rPr>
          <w:rStyle w:val="23"/>
          <w:rFonts w:cs="Times New Roman" w:ascii="Times New Roman" w:hAnsi="Times New Roman"/>
          <w:color w:val="000000"/>
          <w:sz w:val="27"/>
          <w:szCs w:val="27"/>
          <w:lang w:eastAsia="uk-UA"/>
        </w:rPr>
        <w:t>-</w:t>
      </w:r>
      <w:r>
        <w:rPr>
          <w:rStyle w:val="23"/>
          <w:rFonts w:cs="Times New Roman" w:ascii="Times New Roman" w:hAnsi="Times New Roman"/>
          <w:color w:val="000000"/>
          <w:sz w:val="27"/>
          <w:szCs w:val="27"/>
          <w:lang w:val="en-US" w:eastAsia="uk-UA"/>
        </w:rPr>
        <w:t> </w:t>
      </w:r>
      <w:r>
        <w:rPr>
          <w:rStyle w:val="23"/>
          <w:rFonts w:cs="Times New Roman" w:ascii="Times New Roman" w:hAnsi="Times New Roman"/>
          <w:color w:val="000000"/>
          <w:sz w:val="27"/>
          <w:szCs w:val="27"/>
          <w:lang w:eastAsia="uk-UA"/>
        </w:rPr>
        <w:t xml:space="preserve">19 , відповідно </w:t>
      </w:r>
      <w:r>
        <w:rPr>
          <w:rStyle w:val="23"/>
          <w:rFonts w:cs="Times New Roman" w:ascii="Times New Roman" w:hAnsi="Times New Roman"/>
          <w:color w:val="000000"/>
          <w:sz w:val="27"/>
          <w:szCs w:val="27"/>
        </w:rPr>
        <w:t xml:space="preserve">до рішення виконавчого комітету міської ради від 03.10.2018 № 627-1 «Про вартість послуги з надання в оренду торгової площі на ринках», було звільнено орендарів </w:t>
      </w:r>
      <w:r>
        <w:rPr>
          <w:rStyle w:val="23"/>
          <w:rFonts w:cs="Times New Roman" w:ascii="Times New Roman" w:hAnsi="Times New Roman"/>
          <w:color w:val="000000"/>
          <w:sz w:val="27"/>
          <w:szCs w:val="27"/>
          <w:highlight w:val="white"/>
        </w:rPr>
        <w:t>ринку «Шанс» та торгового ряду на вул. Кравчука, від плати за послугу з надання в оренду торгових пло</w:t>
      </w:r>
      <w:r>
        <w:rPr>
          <w:rStyle w:val="23"/>
          <w:rFonts w:cs="Times New Roman" w:ascii="Times New Roman" w:hAnsi="Times New Roman"/>
          <w:color w:val="000000"/>
          <w:sz w:val="27"/>
          <w:szCs w:val="27"/>
        </w:rPr>
        <w:t>щ.</w:t>
      </w:r>
    </w:p>
    <w:p>
      <w:pPr>
        <w:pStyle w:val="Normal"/>
        <w:ind w:firstLine="709"/>
        <w:jc w:val="both"/>
        <w:rPr/>
      </w:pPr>
      <w:r>
        <w:rPr>
          <w:rStyle w:val="23"/>
          <w:rFonts w:cs="Times New Roman" w:ascii="Times New Roman" w:hAnsi="Times New Roman"/>
          <w:color w:val="000000"/>
          <w:sz w:val="27"/>
          <w:szCs w:val="27"/>
          <w:lang w:val="ru-RU"/>
        </w:rPr>
        <w:t>Проводилася робота з</w:t>
      </w:r>
      <w:r>
        <w:rPr>
          <w:rFonts w:cs="Times New Roman" w:ascii="Times New Roman" w:hAnsi="Times New Roman"/>
          <w:color w:val="000000"/>
          <w:sz w:val="27"/>
          <w:szCs w:val="27"/>
        </w:rPr>
        <w:t xml:space="preserve"> демонтажів торгових контейнерів з ринку «Центральний» на вул. Глушець, 1. Всього на «Новий ринок», що розташований на вулиці Боженка, було перевезено 257 торгових контейнерів.</w:t>
      </w:r>
    </w:p>
    <w:p>
      <w:pPr>
        <w:pStyle w:val="Normal"/>
        <w:shd w:val="clear" w:color="auto" w:fill="FFFFFF"/>
        <w:tabs>
          <w:tab w:val="clear" w:pos="709"/>
          <w:tab w:val="left" w:pos="482" w:leader="none"/>
        </w:tabs>
        <w:ind w:firstLine="567"/>
        <w:jc w:val="both"/>
        <w:rPr>
          <w:rFonts w:ascii="Times New Roman" w:hAnsi="Times New Roman" w:cs="Times New Roman"/>
          <w:color w:val="000000"/>
          <w:sz w:val="27"/>
          <w:szCs w:val="27"/>
        </w:rPr>
      </w:pPr>
      <w:r>
        <w:rPr>
          <w:rFonts w:cs="Times New Roman" w:ascii="Times New Roman" w:hAnsi="Times New Roman"/>
          <w:color w:val="000000"/>
          <w:sz w:val="27"/>
          <w:szCs w:val="27"/>
        </w:rPr>
      </w:r>
    </w:p>
    <w:p>
      <w:pPr>
        <w:pStyle w:val="Normal"/>
        <w:shd w:val="clear" w:color="auto" w:fill="FFFFFF"/>
        <w:tabs>
          <w:tab w:val="clear" w:pos="709"/>
          <w:tab w:val="left" w:pos="482" w:leader="none"/>
        </w:tabs>
        <w:jc w:val="center"/>
        <w:rPr/>
      </w:pPr>
      <w:r>
        <w:rPr>
          <w:rStyle w:val="23"/>
          <w:rFonts w:cs="Times New Roman" w:ascii="Times New Roman" w:hAnsi="Times New Roman"/>
          <w:b/>
          <w:bCs/>
          <w:color w:val="000000"/>
          <w:sz w:val="27"/>
          <w:szCs w:val="27"/>
          <w:highlight w:val="white"/>
        </w:rPr>
        <w:t>ЗАХОДИ, СПРЯМОВАНІ</w:t>
      </w:r>
      <w:r>
        <w:rPr>
          <w:rStyle w:val="23"/>
          <w:rFonts w:cs="Times New Roman" w:ascii="Times New Roman" w:hAnsi="Times New Roman"/>
          <w:b/>
          <w:bCs/>
          <w:color w:val="000000"/>
          <w:sz w:val="27"/>
          <w:szCs w:val="27"/>
          <w:highlight w:val="white"/>
          <w:lang w:val="ru-RU"/>
        </w:rPr>
        <w:t xml:space="preserve"> НА ЗАПОБІГАННЯ ПОШИРЕННЮ</w:t>
      </w:r>
      <w:r>
        <w:rPr>
          <w:rStyle w:val="23"/>
          <w:rFonts w:cs="Times New Roman" w:ascii="Times New Roman" w:hAnsi="Times New Roman"/>
          <w:b/>
          <w:bCs/>
          <w:color w:val="000000"/>
          <w:sz w:val="27"/>
          <w:szCs w:val="27"/>
          <w:highlight w:val="white"/>
        </w:rPr>
        <w:t xml:space="preserve"> ГОСТРОЇ РАСПІРАТОРНОЇ ІНФЕКЦІЇ </w:t>
      </w:r>
      <w:r>
        <w:rPr>
          <w:rStyle w:val="23"/>
          <w:rFonts w:cs="Times New Roman" w:ascii="Times New Roman" w:hAnsi="Times New Roman"/>
          <w:b/>
          <w:bCs/>
          <w:color w:val="000000"/>
          <w:sz w:val="27"/>
          <w:szCs w:val="27"/>
          <w:highlight w:val="white"/>
          <w:lang w:val="ru-RU"/>
        </w:rPr>
        <w:t>СО</w:t>
      </w:r>
      <w:r>
        <w:rPr>
          <w:rStyle w:val="23"/>
          <w:rFonts w:cs="Times New Roman" w:ascii="Times New Roman" w:hAnsi="Times New Roman"/>
          <w:b/>
          <w:bCs/>
          <w:color w:val="000000"/>
          <w:sz w:val="27"/>
          <w:szCs w:val="27"/>
          <w:highlight w:val="white"/>
          <w:lang w:val="en-US"/>
        </w:rPr>
        <w:t>VID</w:t>
      </w:r>
      <w:r>
        <w:rPr>
          <w:rStyle w:val="23"/>
          <w:rFonts w:cs="Times New Roman" w:ascii="Times New Roman" w:hAnsi="Times New Roman"/>
          <w:b/>
          <w:bCs/>
          <w:color w:val="000000"/>
          <w:sz w:val="27"/>
          <w:szCs w:val="27"/>
          <w:highlight w:val="white"/>
          <w:lang w:val="ru-RU"/>
        </w:rPr>
        <w:t xml:space="preserve">-19 </w:t>
      </w:r>
    </w:p>
    <w:p>
      <w:pPr>
        <w:pStyle w:val="Normal"/>
        <w:shd w:val="clear" w:color="auto" w:fill="FFFFFF"/>
        <w:tabs>
          <w:tab w:val="clear" w:pos="709"/>
          <w:tab w:val="left" w:pos="482" w:leader="none"/>
        </w:tabs>
        <w:ind w:firstLine="567"/>
        <w:jc w:val="center"/>
        <w:rPr>
          <w:rFonts w:ascii="Times New Roman" w:hAnsi="Times New Roman" w:cs="Times New Roman"/>
          <w:color w:val="000000"/>
          <w:sz w:val="27"/>
          <w:szCs w:val="27"/>
          <w:highlight w:val="white"/>
        </w:rPr>
      </w:pPr>
      <w:r>
        <w:rPr>
          <w:rFonts w:cs="Times New Roman" w:ascii="Times New Roman" w:hAnsi="Times New Roman"/>
          <w:color w:val="000000"/>
          <w:sz w:val="27"/>
          <w:szCs w:val="27"/>
          <w:highlight w:val="white"/>
        </w:rPr>
      </w:r>
    </w:p>
    <w:p>
      <w:pPr>
        <w:pStyle w:val="Normal"/>
        <w:ind w:firstLine="624"/>
        <w:jc w:val="both"/>
        <w:rPr>
          <w:rFonts w:ascii="Times New Roman" w:hAnsi="Times New Roman" w:cs="Times New Roman"/>
          <w:color w:val="000000"/>
          <w:sz w:val="27"/>
          <w:szCs w:val="27"/>
        </w:rPr>
      </w:pPr>
      <w:r>
        <w:rPr>
          <w:rFonts w:cs="Times New Roman" w:ascii="Times New Roman" w:hAnsi="Times New Roman"/>
          <w:color w:val="000000"/>
          <w:sz w:val="27"/>
          <w:szCs w:val="27"/>
        </w:rPr>
        <w:t xml:space="preserve">На час оголошеного карантину пов’язаного із поширенням коронавірусної інфекції, у місті було організовано роботу комісії з питань техногенно - екологічної безпеки та надзвичайних ситуацій. До комісії увійшли керівники виконавчих органів міської ради та представники усіх силових підрозділів міста (Служби безпеки України, Луцького відділу поліції ГУНП у Волинській області, Луцького міськрайонного відділу УДСНС України у Волинській області та ін). </w:t>
      </w:r>
    </w:p>
    <w:p>
      <w:pPr>
        <w:pStyle w:val="Normal"/>
        <w:ind w:firstLine="624"/>
        <w:jc w:val="both"/>
        <w:rPr>
          <w:color w:val="000000"/>
        </w:rPr>
      </w:pPr>
      <w:r>
        <w:rPr>
          <w:rFonts w:cs="Times New Roman" w:ascii="Times New Roman" w:hAnsi="Times New Roman"/>
          <w:color w:val="000000"/>
          <w:sz w:val="27"/>
          <w:szCs w:val="27"/>
        </w:rPr>
        <w:t>На щоденних засіданнях комісії обговорювались питання пов’язані із епідеміологічною ситуацією у місті (аналіз ситуації із захворюваннями на СО</w:t>
      </w:r>
      <w:r>
        <w:rPr>
          <w:rFonts w:cs="Times New Roman" w:ascii="Times New Roman" w:hAnsi="Times New Roman"/>
          <w:color w:val="000000"/>
          <w:sz w:val="27"/>
          <w:szCs w:val="27"/>
          <w:lang w:val="en-US"/>
        </w:rPr>
        <w:t>VID</w:t>
      </w:r>
      <w:r>
        <w:rPr>
          <w:rFonts w:cs="Times New Roman" w:ascii="Times New Roman" w:hAnsi="Times New Roman"/>
          <w:color w:val="000000"/>
          <w:sz w:val="27"/>
          <w:szCs w:val="27"/>
        </w:rPr>
        <w:t>-19, порушення карантинних обмежень, впровадження протиепідемічних заходів, перевірки дотримання самоізоляції громадянами, які повернулися до нашого міста    з-за кордону і т.п).</w:t>
      </w:r>
    </w:p>
    <w:p>
      <w:pPr>
        <w:pStyle w:val="Normal"/>
        <w:ind w:firstLine="624"/>
        <w:jc w:val="both"/>
        <w:rPr>
          <w:rFonts w:ascii="Times New Roman" w:hAnsi="Times New Roman" w:cs="Times New Roman"/>
          <w:color w:val="000000"/>
          <w:sz w:val="27"/>
          <w:szCs w:val="27"/>
        </w:rPr>
      </w:pPr>
      <w:r>
        <w:rPr>
          <w:rFonts w:cs="Times New Roman" w:ascii="Times New Roman" w:hAnsi="Times New Roman"/>
          <w:color w:val="000000"/>
          <w:sz w:val="27"/>
          <w:szCs w:val="27"/>
        </w:rPr>
        <w:t xml:space="preserve">У звітному періоді за результатами окремих рішень комісії було підготовлено 9 проєктів рішень міської ради щодо встановлення, а також послаблення карантинних обмежень на території м. Луцька та населених пунктах Прилуцького старостинського округу. </w:t>
      </w:r>
    </w:p>
    <w:p>
      <w:pPr>
        <w:pStyle w:val="Normal"/>
        <w:ind w:firstLine="510"/>
        <w:jc w:val="both"/>
        <w:rPr/>
      </w:pPr>
      <w:r>
        <w:rPr>
          <w:rFonts w:cs="Times New Roman" w:ascii="Times New Roman" w:hAnsi="Times New Roman"/>
          <w:color w:val="000000"/>
          <w:sz w:val="27"/>
          <w:szCs w:val="27"/>
        </w:rPr>
        <w:t xml:space="preserve">Відповідно до розпорядження міського голови від 23.03.2020 № 98 з                        24 березня до 31 травня при виконавчому комітеті міської ради працював тимчасовий оперативний центр, який створений з метою забезпечення оперативної комунікації з населенням Луцької об’єднаної територіальної громади на час карантинного режиму, пов’язаного з поширенням коронавірусу </w:t>
      </w:r>
      <w:r>
        <w:rPr>
          <w:rFonts w:cs="Times New Roman" w:ascii="Times New Roman" w:hAnsi="Times New Roman"/>
          <w:color w:val="000000"/>
          <w:sz w:val="27"/>
          <w:szCs w:val="27"/>
          <w:lang w:val="en-US"/>
        </w:rPr>
        <w:t>COVID</w:t>
      </w:r>
      <w:r>
        <w:rPr>
          <w:rFonts w:cs="Times New Roman" w:ascii="Times New Roman" w:hAnsi="Times New Roman"/>
          <w:color w:val="000000"/>
          <w:sz w:val="27"/>
          <w:szCs w:val="27"/>
        </w:rPr>
        <w:t>-19, організації адресної допомоги окремим категоріям громадян.</w:t>
      </w:r>
    </w:p>
    <w:p>
      <w:pPr>
        <w:pStyle w:val="Normal"/>
        <w:ind w:firstLine="510"/>
        <w:jc w:val="both"/>
        <w:rPr/>
      </w:pPr>
      <w:r>
        <w:rPr>
          <w:rFonts w:cs="Times New Roman" w:ascii="Times New Roman" w:hAnsi="Times New Roman"/>
          <w:color w:val="000000"/>
          <w:sz w:val="27"/>
          <w:szCs w:val="27"/>
        </w:rPr>
        <w:t>Для формування адресної допомоги продуктовими наборами мешканцям міста, долучилися такі суб’єкти підприємництва: Волинська фондова біржа, мережа продовольчих магазинів АТБ -Маркет, магазини торгової мережі ТзОВ «Гіппо» (мережа гуртівень «ПАККО»), магазини торгівельної мережі «Наш край», магазин «Домашній» та фізичні особи-підприємці міста.</w:t>
      </w:r>
    </w:p>
    <w:p>
      <w:pPr>
        <w:pStyle w:val="Normal"/>
        <w:ind w:firstLine="510"/>
        <w:jc w:val="both"/>
        <w:rPr>
          <w:rFonts w:ascii="Times New Roman" w:hAnsi="Times New Roman" w:cs="Times New Roman"/>
          <w:color w:val="000000"/>
          <w:sz w:val="27"/>
          <w:szCs w:val="27"/>
        </w:rPr>
      </w:pPr>
      <w:r>
        <w:rPr>
          <w:rFonts w:cs="Times New Roman" w:ascii="Times New Roman" w:hAnsi="Times New Roman"/>
          <w:color w:val="000000"/>
          <w:sz w:val="27"/>
          <w:szCs w:val="27"/>
        </w:rPr>
      </w:r>
    </w:p>
    <w:p>
      <w:pPr>
        <w:pStyle w:val="Normal"/>
        <w:ind w:firstLine="510"/>
        <w:jc w:val="both"/>
        <w:rPr/>
      </w:pPr>
      <w:r>
        <w:rPr>
          <w:rStyle w:val="23"/>
          <w:rFonts w:cs="Times New Roman" w:ascii="Times New Roman" w:hAnsi="Times New Roman"/>
          <w:bCs/>
          <w:color w:val="000000"/>
          <w:sz w:val="27"/>
          <w:szCs w:val="27"/>
          <w:lang w:val="ru-RU" w:bidi="ar-SA"/>
        </w:rPr>
        <w:t>З березня до</w:t>
      </w:r>
      <w:r>
        <w:rPr>
          <w:rStyle w:val="23"/>
          <w:rFonts w:cs="Times New Roman" w:ascii="Times New Roman" w:hAnsi="Times New Roman"/>
          <w:bCs/>
          <w:color w:val="000000"/>
          <w:sz w:val="27"/>
          <w:szCs w:val="27"/>
          <w:lang w:bidi="ar-SA"/>
        </w:rPr>
        <w:t xml:space="preserve"> </w:t>
      </w:r>
      <w:r>
        <w:rPr>
          <w:rStyle w:val="23"/>
          <w:rFonts w:cs="Times New Roman" w:ascii="Times New Roman" w:hAnsi="Times New Roman"/>
          <w:bCs/>
          <w:color w:val="000000"/>
          <w:sz w:val="27"/>
          <w:szCs w:val="27"/>
          <w:highlight w:val="white"/>
          <w:lang w:bidi="ar-SA"/>
        </w:rPr>
        <w:t>червня</w:t>
      </w:r>
      <w:r>
        <w:rPr>
          <w:rStyle w:val="23"/>
          <w:rFonts w:cs="Times New Roman" w:ascii="Times New Roman" w:hAnsi="Times New Roman"/>
          <w:bCs/>
          <w:color w:val="000000"/>
          <w:sz w:val="27"/>
          <w:szCs w:val="27"/>
          <w:lang w:bidi="ar-SA"/>
        </w:rPr>
        <w:t xml:space="preserve"> </w:t>
      </w:r>
      <w:r>
        <w:rPr>
          <w:rStyle w:val="23"/>
          <w:rFonts w:cs="Times New Roman" w:ascii="Times New Roman" w:hAnsi="Times New Roman"/>
          <w:bCs/>
          <w:color w:val="000000"/>
          <w:sz w:val="27"/>
          <w:szCs w:val="27"/>
          <w:lang w:val="ru-RU" w:bidi="ar-SA"/>
        </w:rPr>
        <w:t xml:space="preserve">2020 року </w:t>
      </w:r>
      <w:r>
        <w:rPr>
          <w:rStyle w:val="23"/>
          <w:rFonts w:cs="Times New Roman" w:ascii="Times New Roman" w:hAnsi="Times New Roman"/>
          <w:bCs/>
          <w:color w:val="000000"/>
          <w:sz w:val="27"/>
          <w:szCs w:val="27"/>
          <w:lang w:bidi="ar-SA"/>
        </w:rPr>
        <w:t>робота територіального центру</w:t>
      </w:r>
      <w:r>
        <w:rPr>
          <w:rStyle w:val="23"/>
          <w:rFonts w:cs="Times New Roman" w:ascii="Times New Roman" w:hAnsi="Times New Roman"/>
          <w:bCs/>
          <w:color w:val="000000"/>
          <w:sz w:val="27"/>
          <w:szCs w:val="27"/>
          <w:lang w:val="ru-RU" w:bidi="ar-SA"/>
        </w:rPr>
        <w:t xml:space="preserve"> соціального  обслуговування (надання соціальних послуг) м. Луцька (вул. Данила Галицького,18) полягала у наданні соціальної послуги догляду на дому, а також у визначенні категорій громадян, які потребують допомоги, оскільки опинились у скрутному матеріальному становищі. Такі громадяни забезпечувалися продуктовими наборами, що надавалися благодійними фондами, церквами різних конфесій </w:t>
      </w:r>
      <w:r>
        <w:rPr>
          <w:rStyle w:val="23"/>
          <w:rFonts w:cs="Times New Roman" w:ascii="Times New Roman" w:hAnsi="Times New Roman"/>
          <w:bCs/>
          <w:color w:val="000000"/>
          <w:sz w:val="27"/>
          <w:szCs w:val="27"/>
          <w:lang w:bidi="ar-SA"/>
        </w:rPr>
        <w:t xml:space="preserve">та </w:t>
      </w:r>
      <w:r>
        <w:rPr>
          <w:rStyle w:val="23"/>
          <w:rFonts w:cs="Times New Roman" w:ascii="Times New Roman" w:hAnsi="Times New Roman"/>
          <w:bCs/>
          <w:color w:val="000000"/>
          <w:sz w:val="27"/>
          <w:szCs w:val="27"/>
          <w:lang w:val="ru-RU" w:bidi="ar-SA"/>
        </w:rPr>
        <w:t>підприємцями</w:t>
      </w:r>
      <w:r>
        <w:rPr>
          <w:rStyle w:val="23"/>
          <w:rFonts w:cs="Times New Roman" w:ascii="Times New Roman" w:hAnsi="Times New Roman"/>
          <w:bCs/>
          <w:color w:val="000000"/>
          <w:sz w:val="27"/>
          <w:szCs w:val="27"/>
          <w:lang w:bidi="ar-SA"/>
        </w:rPr>
        <w:t xml:space="preserve"> міста </w:t>
      </w:r>
      <w:r>
        <w:rPr>
          <w:rStyle w:val="23"/>
          <w:rFonts w:cs="Times New Roman" w:ascii="Times New Roman" w:hAnsi="Times New Roman"/>
          <w:bCs/>
          <w:color w:val="000000"/>
          <w:sz w:val="27"/>
          <w:szCs w:val="27"/>
          <w:lang w:val="ru-RU" w:bidi="ar-SA"/>
        </w:rPr>
        <w:t xml:space="preserve">(мережа продуктових магазинів АТБ, Волинський обласний благодійний фонд «Дитяча місія. Україна», Фонд Ігоря Палиці «Тільки разом», Свято - Миколаївський храм м. Луцька). </w:t>
      </w:r>
      <w:r>
        <w:rPr>
          <w:rStyle w:val="23"/>
          <w:rFonts w:cs="Times New Roman" w:ascii="Times New Roman" w:hAnsi="Times New Roman"/>
          <w:bCs/>
          <w:color w:val="000000"/>
          <w:sz w:val="27"/>
          <w:szCs w:val="27"/>
          <w:lang w:bidi="ar-SA"/>
        </w:rPr>
        <w:t xml:space="preserve">Всього </w:t>
      </w:r>
      <w:r>
        <w:rPr>
          <w:rStyle w:val="23"/>
          <w:rFonts w:cs="Times New Roman" w:ascii="Times New Roman" w:hAnsi="Times New Roman"/>
          <w:bCs/>
          <w:color w:val="000000"/>
          <w:sz w:val="27"/>
          <w:szCs w:val="27"/>
          <w:lang w:val="ru-RU" w:bidi="ar-SA"/>
        </w:rPr>
        <w:t>працівниками територіального центру було вручено 4478 продуктових наборів.</w:t>
      </w:r>
    </w:p>
    <w:p>
      <w:pPr>
        <w:pStyle w:val="Normal"/>
        <w:ind w:firstLine="510"/>
        <w:jc w:val="both"/>
        <w:rPr>
          <w:rFonts w:ascii="Times New Roman" w:hAnsi="Times New Roman" w:cs="Times New Roman"/>
          <w:color w:val="000000"/>
          <w:sz w:val="27"/>
          <w:szCs w:val="27"/>
        </w:rPr>
      </w:pPr>
      <w:r>
        <w:rPr>
          <w:rFonts w:cs="Times New Roman" w:ascii="Times New Roman" w:hAnsi="Times New Roman"/>
          <w:color w:val="000000"/>
          <w:sz w:val="27"/>
          <w:szCs w:val="27"/>
        </w:rPr>
      </w:r>
    </w:p>
    <w:p>
      <w:pPr>
        <w:pStyle w:val="Normal"/>
        <w:snapToGrid w:val="false"/>
        <w:ind w:firstLine="567"/>
        <w:jc w:val="both"/>
        <w:rPr/>
      </w:pPr>
      <w:r>
        <w:rPr>
          <w:rFonts w:cs="Times New Roman" w:ascii="Times New Roman" w:hAnsi="Times New Roman"/>
          <w:color w:val="000000"/>
          <w:sz w:val="27"/>
          <w:szCs w:val="27"/>
        </w:rPr>
        <w:t xml:space="preserve">Комунальні підприємства охорони здоров’я Луцької міської територіальної громади в умовах карантину працювали із дотриманням вимог наказу МОЗ України від 28.03.2020 № 722 «Організація надання медичної допомоги хворим на коронавірусну хворобу (COVID-19)» та інших нормативно – правових актів. </w:t>
      </w:r>
    </w:p>
    <w:p>
      <w:pPr>
        <w:pStyle w:val="Normal"/>
        <w:snapToGrid w:val="false"/>
        <w:ind w:firstLine="567"/>
        <w:jc w:val="both"/>
        <w:rPr/>
      </w:pPr>
      <w:r>
        <w:rPr>
          <w:rFonts w:cs="Times New Roman" w:ascii="Times New Roman" w:hAnsi="Times New Roman"/>
          <w:color w:val="000000"/>
          <w:sz w:val="27"/>
          <w:szCs w:val="27"/>
        </w:rPr>
        <w:t xml:space="preserve">Відповідно до рішення Луцької міської ради від 15.10.2020 № 94/23 «Про створення тимчасового інфекційного стаціонару для надання медичної допомоги хворим на COVID-19» на базі акушерського корпусу КП «Луцький клінічний пологовий будинок» розгорнуто 214 ліжок для надання стаціонарної медичної допомоги хворим на COVID-19. Тимчасовий інфекційний стаціонар переданий в оперативне управління КП «Луцька міська клінічна лікаря». </w:t>
      </w:r>
    </w:p>
    <w:p>
      <w:pPr>
        <w:pStyle w:val="Normal"/>
        <w:snapToGrid w:val="false"/>
        <w:ind w:firstLine="567"/>
        <w:jc w:val="both"/>
        <w:rPr/>
      </w:pPr>
      <w:r>
        <w:rPr>
          <w:rStyle w:val="23"/>
          <w:rFonts w:cs="Times New Roman" w:ascii="Times New Roman" w:hAnsi="Times New Roman"/>
          <w:color w:val="000000"/>
          <w:sz w:val="27"/>
          <w:szCs w:val="27"/>
        </w:rPr>
        <w:t xml:space="preserve">З початку карантину у постійному режимі робочого часу проводились телефонні консультації лікарями первинної ланки, в управлінні охорони здоров’я  працювала окрема телефонна лінія консультування – «гаряча лінія». Окрім того, згідно розпорядження міського голови від 24.11.2020 № 328 «Про створення </w:t>
      </w:r>
      <w:r>
        <w:rPr>
          <w:rStyle w:val="23"/>
          <w:rFonts w:eastAsia="Times New Roman" w:cs="Times New Roman" w:ascii="Times New Roman" w:hAnsi="Times New Roman"/>
          <w:color w:val="000000"/>
          <w:sz w:val="27"/>
          <w:szCs w:val="27"/>
        </w:rPr>
        <w:t xml:space="preserve">Консультаційного муніципального центру з питань COVID-19» на базі управління проведено організаційну роботу з облаштування робочих місць для функціонування центру. </w:t>
      </w:r>
    </w:p>
    <w:p>
      <w:pPr>
        <w:pStyle w:val="Normal"/>
        <w:snapToGrid w:val="false"/>
        <w:ind w:firstLine="567"/>
        <w:jc w:val="both"/>
        <w:rPr>
          <w:color w:val="000000"/>
        </w:rPr>
      </w:pPr>
      <w:r>
        <w:rPr>
          <w:rFonts w:eastAsia="Times New Roman" w:cs="Times New Roman" w:ascii="Times New Roman" w:hAnsi="Times New Roman"/>
          <w:color w:val="C9211E"/>
          <w:sz w:val="27"/>
          <w:szCs w:val="27"/>
        </w:rPr>
        <w:t xml:space="preserve"> </w:t>
      </w:r>
      <w:r>
        <w:rPr>
          <w:rFonts w:cs="Times New Roman" w:ascii="Times New Roman" w:hAnsi="Times New Roman"/>
          <w:color w:val="000000"/>
          <w:sz w:val="27"/>
          <w:szCs w:val="27"/>
        </w:rPr>
        <w:t>З бюджету Луцької міської територіальної громади комунальним підприємствам охорони здоров’я було виділено 11,1 млн грн:</w:t>
      </w:r>
    </w:p>
    <w:p>
      <w:pPr>
        <w:pStyle w:val="Normal"/>
        <w:snapToGrid w:val="false"/>
        <w:ind w:firstLine="567"/>
        <w:jc w:val="both"/>
        <w:rPr/>
      </w:pPr>
      <w:r>
        <w:rPr>
          <w:rFonts w:cs="Times New Roman" w:ascii="Times New Roman" w:hAnsi="Times New Roman"/>
          <w:color w:val="000000"/>
          <w:sz w:val="27"/>
          <w:szCs w:val="27"/>
        </w:rPr>
        <w:t> </w:t>
        <w:noBreakHyphen/>
        <w:t> </w:t>
      </w:r>
      <w:r>
        <w:rPr>
          <w:rFonts w:cs="Times New Roman" w:ascii="Times New Roman" w:hAnsi="Times New Roman"/>
          <w:color w:val="000000"/>
          <w:sz w:val="27"/>
          <w:szCs w:val="27"/>
        </w:rPr>
        <w:t>для закупівлі засобів індивідуального захисту (маски одноразові, маски багаторазові марлеві, халати одноразові, захисні окуляри закритого типу, маски -респіратори FFP3, тощо), для закупівлі лікарських препаратів, медичних виробів та розхідних матеріалів, дезінфікуючих </w:t>
      </w:r>
      <w:r>
        <w:rPr>
          <w:rStyle w:val="23"/>
          <w:rFonts w:cs="Times New Roman" w:ascii="Times New Roman" w:hAnsi="Times New Roman"/>
          <w:color w:val="000000"/>
          <w:sz w:val="27"/>
          <w:szCs w:val="27"/>
        </w:rPr>
        <w:t> –</w:t>
      </w:r>
      <w:r>
        <w:rPr>
          <w:rStyle w:val="23"/>
          <w:rFonts w:cs="Times New Roman" w:ascii="Times New Roman" w:hAnsi="Times New Roman"/>
          <w:color w:val="000000"/>
          <w:sz w:val="27"/>
          <w:szCs w:val="27"/>
          <w:lang w:val="ru-RU"/>
        </w:rPr>
        <w:t> </w:t>
      </w:r>
      <w:r>
        <w:rPr>
          <w:rFonts w:cs="Times New Roman" w:ascii="Times New Roman" w:hAnsi="Times New Roman"/>
          <w:color w:val="000000"/>
          <w:sz w:val="27"/>
          <w:szCs w:val="27"/>
        </w:rPr>
        <w:t>2,3 млн грн;</w:t>
      </w:r>
    </w:p>
    <w:p>
      <w:pPr>
        <w:pStyle w:val="Normal"/>
        <w:snapToGrid w:val="false"/>
        <w:ind w:firstLine="567"/>
        <w:jc w:val="both"/>
        <w:rPr/>
      </w:pPr>
      <w:r>
        <w:rPr>
          <w:rFonts w:eastAsia="Times New Roman" w:cs="Times New Roman" w:ascii="Times New Roman" w:hAnsi="Times New Roman"/>
          <w:color w:val="000000"/>
          <w:sz w:val="27"/>
          <w:szCs w:val="27"/>
        </w:rPr>
        <w:t xml:space="preserve"> </w:t>
      </w:r>
      <w:r>
        <w:rPr>
          <w:rFonts w:cs="Times New Roman" w:ascii="Times New Roman" w:hAnsi="Times New Roman"/>
          <w:color w:val="000000"/>
          <w:sz w:val="27"/>
          <w:szCs w:val="27"/>
        </w:rPr>
        <w:t> </w:t>
      </w:r>
      <w:r>
        <w:rPr>
          <w:rFonts w:cs="Times New Roman" w:ascii="Times New Roman" w:hAnsi="Times New Roman"/>
          <w:color w:val="000000"/>
          <w:sz w:val="27"/>
          <w:szCs w:val="27"/>
        </w:rPr>
        <w:t>- для закупівлі апаратів штучної вентиляції легень, концентраторів кисню, аналізаторів для проведення ІФА </w:t>
      </w:r>
      <w:r>
        <w:rPr>
          <w:rStyle w:val="23"/>
          <w:rFonts w:cs="Times New Roman" w:ascii="Times New Roman" w:hAnsi="Times New Roman"/>
          <w:color w:val="000000"/>
          <w:sz w:val="27"/>
          <w:szCs w:val="27"/>
        </w:rPr>
        <w:t> </w:t>
      </w:r>
      <w:r>
        <w:rPr>
          <w:rStyle w:val="23"/>
          <w:rFonts w:cs="Times New Roman" w:ascii="Times New Roman" w:hAnsi="Times New Roman"/>
          <w:color w:val="000000"/>
          <w:sz w:val="27"/>
          <w:szCs w:val="27"/>
          <w:lang w:val="ru-RU"/>
        </w:rPr>
        <w:t>– </w:t>
      </w:r>
      <w:r>
        <w:rPr>
          <w:rFonts w:cs="Times New Roman" w:ascii="Times New Roman" w:hAnsi="Times New Roman"/>
          <w:color w:val="000000"/>
          <w:sz w:val="27"/>
          <w:szCs w:val="27"/>
        </w:rPr>
        <w:t>4,7 млн грн;</w:t>
      </w:r>
    </w:p>
    <w:p>
      <w:pPr>
        <w:pStyle w:val="Normal"/>
        <w:snapToGrid w:val="false"/>
        <w:ind w:firstLine="567"/>
        <w:jc w:val="both"/>
        <w:rPr/>
      </w:pPr>
      <w:r>
        <w:rPr>
          <w:rFonts w:cs="Times New Roman" w:ascii="Times New Roman" w:hAnsi="Times New Roman"/>
          <w:color w:val="000000"/>
          <w:sz w:val="27"/>
          <w:szCs w:val="27"/>
        </w:rPr>
        <w:t> </w:t>
      </w:r>
      <w:r>
        <w:rPr>
          <w:rFonts w:cs="Times New Roman" w:ascii="Times New Roman" w:hAnsi="Times New Roman"/>
          <w:color w:val="000000"/>
          <w:sz w:val="27"/>
          <w:szCs w:val="27"/>
        </w:rPr>
        <w:t>- на оплату транспортних послуг для перевезення медичних працівників комунальних підприємств охорони здоров’я </w:t>
      </w:r>
      <w:r>
        <w:rPr>
          <w:rStyle w:val="23"/>
          <w:rFonts w:cs="Times New Roman" w:ascii="Times New Roman" w:hAnsi="Times New Roman"/>
          <w:color w:val="000000"/>
          <w:sz w:val="27"/>
          <w:szCs w:val="27"/>
        </w:rPr>
        <w:t> </w:t>
      </w:r>
      <w:r>
        <w:rPr>
          <w:rStyle w:val="23"/>
          <w:rFonts w:cs="Times New Roman" w:ascii="Times New Roman" w:hAnsi="Times New Roman"/>
          <w:color w:val="000000"/>
          <w:sz w:val="27"/>
          <w:szCs w:val="27"/>
          <w:lang w:val="ru-RU"/>
        </w:rPr>
        <w:t>– </w:t>
      </w:r>
      <w:r>
        <w:rPr>
          <w:rFonts w:cs="Times New Roman" w:ascii="Times New Roman" w:hAnsi="Times New Roman"/>
          <w:color w:val="000000"/>
          <w:sz w:val="27"/>
          <w:szCs w:val="27"/>
        </w:rPr>
        <w:t>1,4 млн грн;</w:t>
      </w:r>
    </w:p>
    <w:p>
      <w:pPr>
        <w:pStyle w:val="Normal"/>
        <w:snapToGrid w:val="false"/>
        <w:ind w:firstLine="567"/>
        <w:jc w:val="both"/>
        <w:rPr/>
      </w:pPr>
      <w:r>
        <w:rPr>
          <w:rFonts w:cs="Times New Roman" w:ascii="Times New Roman" w:hAnsi="Times New Roman"/>
          <w:color w:val="000000"/>
          <w:sz w:val="27"/>
          <w:szCs w:val="27"/>
        </w:rPr>
        <w:t> </w:t>
      </w:r>
      <w:r>
        <w:rPr>
          <w:rFonts w:cs="Times New Roman" w:ascii="Times New Roman" w:hAnsi="Times New Roman"/>
          <w:color w:val="000000"/>
          <w:sz w:val="27"/>
          <w:szCs w:val="27"/>
        </w:rPr>
        <w:t>- на проведення доплат медичним працівникам за перебування у небезпечних умовах праці</w:t>
      </w:r>
      <w:r>
        <w:rPr>
          <w:rStyle w:val="23"/>
          <w:rFonts w:cs="Times New Roman" w:ascii="Times New Roman" w:hAnsi="Times New Roman"/>
          <w:color w:val="000000"/>
          <w:sz w:val="27"/>
          <w:szCs w:val="27"/>
        </w:rPr>
        <w:t> </w:t>
      </w:r>
      <w:r>
        <w:rPr>
          <w:rStyle w:val="23"/>
          <w:rFonts w:cs="Times New Roman" w:ascii="Times New Roman" w:hAnsi="Times New Roman"/>
          <w:color w:val="000000"/>
          <w:sz w:val="27"/>
          <w:szCs w:val="27"/>
          <w:lang w:val="ru-RU"/>
        </w:rPr>
        <w:t>– </w:t>
      </w:r>
      <w:r>
        <w:rPr>
          <w:rFonts w:cs="Times New Roman" w:ascii="Times New Roman" w:hAnsi="Times New Roman"/>
          <w:color w:val="000000"/>
          <w:sz w:val="27"/>
          <w:szCs w:val="27"/>
        </w:rPr>
        <w:t>2,5 млн грн;</w:t>
      </w:r>
    </w:p>
    <w:p>
      <w:pPr>
        <w:pStyle w:val="Normal"/>
        <w:snapToGrid w:val="false"/>
        <w:ind w:firstLine="567"/>
        <w:jc w:val="both"/>
        <w:rPr/>
      </w:pPr>
      <w:r>
        <w:rPr>
          <w:rFonts w:cs="Times New Roman" w:ascii="Times New Roman" w:hAnsi="Times New Roman"/>
          <w:sz w:val="27"/>
          <w:szCs w:val="27"/>
        </w:rPr>
        <w:t>- оплата за продукти харчування для медичних працівників </w:t>
      </w:r>
      <w:r>
        <w:rPr>
          <w:rStyle w:val="23"/>
          <w:rFonts w:cs="Times New Roman" w:ascii="Times New Roman" w:hAnsi="Times New Roman"/>
          <w:color w:val="000000"/>
          <w:sz w:val="27"/>
          <w:szCs w:val="27"/>
        </w:rPr>
        <w:t> </w:t>
      </w:r>
      <w:r>
        <w:rPr>
          <w:rStyle w:val="23"/>
          <w:rFonts w:cs="Times New Roman" w:ascii="Times New Roman" w:hAnsi="Times New Roman"/>
          <w:color w:val="000000"/>
          <w:sz w:val="27"/>
          <w:szCs w:val="27"/>
          <w:lang w:val="ru-RU"/>
        </w:rPr>
        <w:t>– </w:t>
      </w:r>
      <w:r>
        <w:rPr>
          <w:rFonts w:cs="Times New Roman" w:ascii="Times New Roman" w:hAnsi="Times New Roman"/>
          <w:sz w:val="27"/>
          <w:szCs w:val="27"/>
        </w:rPr>
        <w:t>0,4 млн грн.</w:t>
      </w:r>
    </w:p>
    <w:p>
      <w:pPr>
        <w:pStyle w:val="Normal"/>
        <w:snapToGrid w:val="false"/>
        <w:ind w:firstLine="567"/>
        <w:jc w:val="both"/>
        <w:rPr>
          <w:rFonts w:ascii="Times New Roman" w:hAnsi="Times New Roman" w:cs="Times New Roman"/>
          <w:sz w:val="27"/>
          <w:szCs w:val="27"/>
        </w:rPr>
      </w:pPr>
      <w:r>
        <w:rPr>
          <w:rFonts w:cs="Times New Roman" w:ascii="Times New Roman" w:hAnsi="Times New Roman"/>
          <w:sz w:val="27"/>
          <w:szCs w:val="27"/>
        </w:rPr>
      </w:r>
    </w:p>
    <w:p>
      <w:pPr>
        <w:pStyle w:val="Normal"/>
        <w:snapToGrid w:val="false"/>
        <w:ind w:firstLine="567"/>
        <w:jc w:val="both"/>
        <w:rPr/>
      </w:pPr>
      <w:r>
        <w:rPr>
          <w:rStyle w:val="Style10"/>
          <w:rFonts w:eastAsia="Arial" w:cs="Times New Roman" w:ascii="Times New Roman" w:hAnsi="Times New Roman"/>
          <w:bCs/>
          <w:i w:val="false"/>
          <w:color w:val="000000"/>
          <w:sz w:val="27"/>
          <w:szCs w:val="27"/>
        </w:rPr>
        <w:t xml:space="preserve">Комплексні заходи щодо запобігання поширенню гострої распіраторної інфекції </w:t>
      </w:r>
      <w:r>
        <w:rPr>
          <w:rStyle w:val="23"/>
          <w:rFonts w:eastAsia="Arial" w:cs="Times New Roman" w:ascii="Times New Roman" w:hAnsi="Times New Roman"/>
          <w:color w:val="000000"/>
          <w:sz w:val="27"/>
          <w:szCs w:val="27"/>
          <w:highlight w:val="white"/>
        </w:rPr>
        <w:t>СО</w:t>
      </w:r>
      <w:r>
        <w:rPr>
          <w:rStyle w:val="23"/>
          <w:rFonts w:eastAsia="Arial" w:cs="Times New Roman" w:ascii="Times New Roman" w:hAnsi="Times New Roman"/>
          <w:color w:val="000000"/>
          <w:sz w:val="27"/>
          <w:szCs w:val="27"/>
          <w:highlight w:val="white"/>
          <w:lang w:val="en-US"/>
        </w:rPr>
        <w:t>VID</w:t>
      </w:r>
      <w:r>
        <w:rPr>
          <w:rStyle w:val="23"/>
          <w:rFonts w:eastAsia="Arial" w:cs="Times New Roman" w:ascii="Times New Roman" w:hAnsi="Times New Roman"/>
          <w:color w:val="000000"/>
          <w:sz w:val="27"/>
          <w:szCs w:val="27"/>
          <w:highlight w:val="white"/>
        </w:rPr>
        <w:t>-19</w:t>
      </w:r>
      <w:r>
        <w:rPr>
          <w:rStyle w:val="23"/>
          <w:rFonts w:eastAsia="Arial" w:cs="Times New Roman" w:ascii="Times New Roman" w:hAnsi="Times New Roman"/>
          <w:b/>
          <w:bCs/>
          <w:color w:val="000000"/>
          <w:sz w:val="27"/>
          <w:szCs w:val="27"/>
          <w:highlight w:val="white"/>
        </w:rPr>
        <w:t xml:space="preserve"> </w:t>
      </w:r>
      <w:r>
        <w:rPr>
          <w:rStyle w:val="Style10"/>
          <w:rFonts w:eastAsia="Arial" w:cs="Times New Roman" w:ascii="Times New Roman" w:hAnsi="Times New Roman"/>
          <w:bCs/>
          <w:i w:val="false"/>
          <w:color w:val="000000"/>
          <w:sz w:val="27"/>
          <w:szCs w:val="27"/>
        </w:rPr>
        <w:t xml:space="preserve">проводилися також в газузі освіти. Із початку оголошення карантину та до кінця травня </w:t>
      </w:r>
      <w:r>
        <w:rPr>
          <w:rStyle w:val="Style10"/>
          <w:rFonts w:eastAsia="Arial" w:cs="Times New Roman" w:ascii="Times New Roman" w:hAnsi="Times New Roman"/>
          <w:bCs/>
          <w:i w:val="false"/>
          <w:iCs w:val="false"/>
          <w:color w:val="000000"/>
          <w:sz w:val="27"/>
          <w:szCs w:val="27"/>
        </w:rPr>
        <w:t>(</w:t>
      </w:r>
      <w:r>
        <w:rPr>
          <w:rFonts w:cs="Times New Roman" w:ascii="Times New Roman" w:hAnsi="Times New Roman"/>
          <w:bCs/>
          <w:color w:val="000000"/>
          <w:sz w:val="27"/>
          <w:szCs w:val="27"/>
          <w:lang w:bidi="ar-SA"/>
        </w:rPr>
        <w:t>12.03.2020</w:t>
        <w:noBreakHyphen/>
        <w:t> 29.05.2020)</w:t>
      </w:r>
      <w:r>
        <w:rPr>
          <w:rFonts w:cs="Times New Roman" w:ascii="Times New Roman" w:hAnsi="Times New Roman"/>
          <w:bCs/>
          <w:i/>
          <w:color w:val="000000"/>
          <w:sz w:val="27"/>
          <w:szCs w:val="27"/>
          <w:lang w:bidi="ar-SA"/>
        </w:rPr>
        <w:t xml:space="preserve"> </w:t>
      </w:r>
      <w:r>
        <w:rPr>
          <w:rStyle w:val="Style10"/>
          <w:rFonts w:eastAsia="Arial" w:cs="Times New Roman" w:ascii="Times New Roman" w:hAnsi="Times New Roman"/>
          <w:bCs/>
          <w:i w:val="false"/>
          <w:color w:val="000000"/>
          <w:sz w:val="27"/>
          <w:szCs w:val="27"/>
        </w:rPr>
        <w:t xml:space="preserve"> для учнів 1-11 класів навчання відбувалось за дистанційною формою. </w:t>
      </w:r>
      <w:r>
        <w:rPr>
          <w:rFonts w:cs="Times New Roman" w:ascii="Times New Roman" w:hAnsi="Times New Roman"/>
          <w:color w:val="000000"/>
          <w:sz w:val="27"/>
          <w:szCs w:val="27"/>
        </w:rPr>
        <w:t xml:space="preserve">У 2019 - 2020 н.р. від державної підсумкової атестації звільнено учнів 4-х та 9-х класів відповідно до наказу МОН України </w:t>
      </w:r>
      <w:r>
        <w:rPr>
          <w:rFonts w:cs="Times New Roman" w:ascii="Times New Roman" w:hAnsi="Times New Roman"/>
          <w:color w:val="000000"/>
          <w:sz w:val="27"/>
          <w:szCs w:val="27"/>
          <w:lang w:eastAsia="uk-UA"/>
        </w:rPr>
        <w:t>від 30 березня 2020 року № 463, зареєстрованого Міністерством юстиції України 09 квітня 2020 року за № 333/34616. У травні</w:t>
      </w:r>
      <w:r>
        <w:rPr>
          <w:rFonts w:cs="Times New Roman" w:ascii="Times New Roman" w:hAnsi="Times New Roman"/>
          <w:color w:val="000000"/>
          <w:sz w:val="27"/>
          <w:szCs w:val="27"/>
        </w:rPr>
        <w:t xml:space="preserve"> на телеканалі </w:t>
      </w:r>
      <w:r>
        <w:rPr>
          <w:rFonts w:cs="Times New Roman" w:ascii="Times New Roman" w:hAnsi="Times New Roman"/>
          <w:color w:val="000000"/>
          <w:sz w:val="27"/>
          <w:szCs w:val="27"/>
          <w:lang w:val="ru-RU"/>
        </w:rPr>
        <w:t>«</w:t>
      </w:r>
      <w:r>
        <w:rPr>
          <w:rFonts w:cs="Times New Roman" w:ascii="Times New Roman" w:hAnsi="Times New Roman"/>
          <w:color w:val="000000"/>
          <w:sz w:val="27"/>
          <w:szCs w:val="27"/>
        </w:rPr>
        <w:t>Аверс» було проведено трансляцію загальноміського свята Останнього дзвоника.</w:t>
      </w:r>
    </w:p>
    <w:p>
      <w:pPr>
        <w:pStyle w:val="Normal"/>
        <w:snapToGrid w:val="false"/>
        <w:ind w:firstLine="567"/>
        <w:jc w:val="both"/>
        <w:rPr/>
      </w:pPr>
      <w:r>
        <w:rPr>
          <w:rFonts w:cs="Times New Roman" w:ascii="Times New Roman" w:hAnsi="Times New Roman"/>
          <w:color w:val="000000"/>
          <w:sz w:val="27"/>
          <w:szCs w:val="27"/>
        </w:rPr>
        <w:t>Внесено зміни до Календарного плану підготовки та проведення ЗНО у 2020 році, затверджено терміни проведення основної сесії ЗНО (25.06 - 17.07), додаткової сесії (23.07 - 11.08), відповідно до наказу МОН України від 20.05.2020 № 664.</w:t>
      </w:r>
    </w:p>
    <w:p>
      <w:pPr>
        <w:pStyle w:val="Normal"/>
        <w:snapToGrid w:val="false"/>
        <w:ind w:firstLine="567"/>
        <w:jc w:val="both"/>
        <w:rPr/>
      </w:pPr>
      <w:r>
        <w:rPr>
          <w:rFonts w:cs="Times New Roman" w:ascii="Times New Roman" w:hAnsi="Times New Roman"/>
          <w:color w:val="000000"/>
          <w:sz w:val="27"/>
          <w:szCs w:val="27"/>
        </w:rPr>
        <w:t xml:space="preserve">Також під час дії карантинних обмежень було атестовано 476 педагогів та керівників освітніх закладів, усі засідання атестаційних комісій, планові наради із керівниками закладів загальноосвітніх шкіл, закладів позашкільної освіти та директорами закладів дошкільної освіти були проведені в онлайн режимі, зокрема з використанням платформи </w:t>
      </w:r>
      <w:r>
        <w:rPr>
          <w:rFonts w:cs="Times New Roman" w:ascii="Times New Roman" w:hAnsi="Times New Roman"/>
          <w:color w:val="000000"/>
          <w:sz w:val="27"/>
          <w:szCs w:val="27"/>
          <w:lang w:val="en-US"/>
        </w:rPr>
        <w:t>ZOOM</w:t>
      </w:r>
      <w:r>
        <w:rPr>
          <w:rFonts w:cs="Times New Roman" w:ascii="Times New Roman" w:hAnsi="Times New Roman"/>
          <w:color w:val="000000"/>
          <w:sz w:val="27"/>
          <w:szCs w:val="27"/>
        </w:rPr>
        <w:t>.</w:t>
      </w:r>
      <w:r>
        <w:rPr>
          <w:rFonts w:cs="Times New Roman" w:ascii="Times New Roman" w:hAnsi="Times New Roman"/>
          <w:color w:val="000000"/>
          <w:sz w:val="27"/>
          <w:szCs w:val="27"/>
          <w:lang w:eastAsia="uk-UA"/>
        </w:rPr>
        <w:t xml:space="preserve"> Із початком введення карантину у школах було запроваджено прийом заяв </w:t>
      </w:r>
      <w:r>
        <w:rPr>
          <w:rFonts w:cs="Times New Roman" w:ascii="Times New Roman" w:hAnsi="Times New Roman"/>
          <w:color w:val="000000"/>
          <w:sz w:val="27"/>
          <w:szCs w:val="27"/>
          <w:lang w:val="ru-RU" w:eastAsia="uk-UA"/>
        </w:rPr>
        <w:t>до перших класів</w:t>
      </w:r>
      <w:r>
        <w:rPr>
          <w:rFonts w:cs="Times New Roman" w:ascii="Times New Roman" w:hAnsi="Times New Roman"/>
          <w:color w:val="FF0000"/>
          <w:sz w:val="27"/>
          <w:szCs w:val="27"/>
          <w:lang w:val="ru-RU" w:eastAsia="uk-UA"/>
        </w:rPr>
        <w:t xml:space="preserve"> </w:t>
      </w:r>
      <w:r>
        <w:rPr>
          <w:rFonts w:cs="Times New Roman" w:ascii="Times New Roman" w:hAnsi="Times New Roman"/>
          <w:color w:val="000000"/>
          <w:sz w:val="27"/>
          <w:szCs w:val="27"/>
          <w:lang w:eastAsia="uk-UA"/>
        </w:rPr>
        <w:t>онлайн, про що поінформовано громадськість через сайти закладів загальноосвітніх шкіл.</w:t>
      </w:r>
    </w:p>
    <w:p>
      <w:pPr>
        <w:sectPr>
          <w:headerReference w:type="default" r:id="rId2"/>
          <w:type w:val="nextPage"/>
          <w:pgSz w:w="11906" w:h="16838"/>
          <w:pgMar w:left="1701" w:right="567" w:header="567" w:top="1134" w:footer="0" w:bottom="1134" w:gutter="0"/>
          <w:pgNumType w:start="1" w:fmt="decimal"/>
          <w:formProt w:val="false"/>
          <w:textDirection w:val="lrTb"/>
          <w:docGrid w:type="default" w:linePitch="600" w:charSpace="32768"/>
        </w:sectPr>
        <w:pStyle w:val="Normal"/>
        <w:snapToGrid w:val="false"/>
        <w:ind w:firstLine="567"/>
        <w:jc w:val="both"/>
        <w:rPr/>
      </w:pPr>
      <w:r>
        <w:rPr>
          <w:rFonts w:cs="Times New Roman" w:ascii="Times New Roman" w:hAnsi="Times New Roman"/>
          <w:color w:val="000000"/>
          <w:sz w:val="27"/>
          <w:szCs w:val="27"/>
        </w:rPr>
        <w:t>З 3 червня 2020 року відновлено роботу закладів дошкільної освіти, а з                     1 вересня </w:t>
      </w:r>
      <w:r>
        <w:rPr>
          <w:rStyle w:val="23"/>
          <w:rFonts w:cs="Times New Roman" w:ascii="Times New Roman" w:hAnsi="Times New Roman"/>
          <w:color w:val="000000"/>
          <w:sz w:val="27"/>
          <w:szCs w:val="27"/>
        </w:rPr>
        <w:t>–</w:t>
      </w:r>
      <w:r>
        <w:rPr>
          <w:rStyle w:val="23"/>
          <w:rFonts w:cs="Times New Roman" w:ascii="Times New Roman" w:hAnsi="Times New Roman"/>
          <w:color w:val="000000"/>
          <w:sz w:val="27"/>
          <w:szCs w:val="27"/>
          <w:lang w:val="ru-RU"/>
        </w:rPr>
        <w:t> </w:t>
      </w:r>
      <w:r>
        <w:rPr>
          <w:rFonts w:cs="Times New Roman" w:ascii="Times New Roman" w:hAnsi="Times New Roman"/>
          <w:color w:val="000000"/>
          <w:sz w:val="27"/>
          <w:szCs w:val="27"/>
        </w:rPr>
        <w:t> роботу загальноосвітніх закладів, із дотриманням усіх необхідних карантинних вимог та протиепідемічних заходів.</w:t>
      </w:r>
      <w:bookmarkStart w:id="7" w:name="__DdeLink__551_847152324"/>
      <w:bookmarkEnd w:id="7"/>
      <w:r>
        <w:rPr>
          <w:rFonts w:cs="Times New Roman" w:ascii="Times New Roman" w:hAnsi="Times New Roman"/>
          <w:color w:val="000000"/>
          <w:sz w:val="27"/>
          <w:szCs w:val="27"/>
        </w:rPr>
        <w:t xml:space="preserve"> </w:t>
      </w:r>
    </w:p>
    <w:p>
      <w:pPr>
        <w:pStyle w:val="Normal"/>
        <w:numPr>
          <w:ilvl w:val="1"/>
          <w:numId w:val="2"/>
        </w:numPr>
        <w:suppressAutoHyphens w:val="true"/>
        <w:jc w:val="center"/>
        <w:textAlignment w:val="baseline"/>
        <w:outlineLvl w:val="1"/>
        <w:rPr>
          <w:rFonts w:cs="Arial"/>
          <w:b/>
          <w:b/>
          <w:bCs/>
          <w:sz w:val="36"/>
          <w:szCs w:val="36"/>
        </w:rPr>
      </w:pPr>
      <w:r>
        <w:drawing>
          <wp:anchor behindDoc="0" distT="0" distB="0" distL="0" distR="0" simplePos="0" locked="0" layoutInCell="1" allowOverlap="1" relativeHeight="2">
            <wp:simplePos x="0" y="0"/>
            <wp:positionH relativeFrom="page">
              <wp:posOffset>0</wp:posOffset>
            </wp:positionH>
            <wp:positionV relativeFrom="page">
              <wp:posOffset>5080</wp:posOffset>
            </wp:positionV>
            <wp:extent cx="15240" cy="15240"/>
            <wp:effectExtent l="0" t="0" r="0" b="0"/>
            <wp:wrapNone/>
            <wp:docPr id="1" name="Рисунок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8" descr=""/>
                    <pic:cNvPicPr>
                      <a:picLocks noChangeAspect="1" noChangeArrowheads="1"/>
                    </pic:cNvPicPr>
                  </pic:nvPicPr>
                  <pic:blipFill>
                    <a:blip r:embed="rId3"/>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3">
            <wp:simplePos x="0" y="0"/>
            <wp:positionH relativeFrom="page">
              <wp:posOffset>0</wp:posOffset>
            </wp:positionH>
            <wp:positionV relativeFrom="page">
              <wp:posOffset>5080</wp:posOffset>
            </wp:positionV>
            <wp:extent cx="15240" cy="15240"/>
            <wp:effectExtent l="0" t="0" r="0" b="0"/>
            <wp:wrapNone/>
            <wp:docPr id="2" name="Рисунок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7" descr=""/>
                    <pic:cNvPicPr>
                      <a:picLocks noChangeAspect="1" noChangeArrowheads="1"/>
                    </pic:cNvPicPr>
                  </pic:nvPicPr>
                  <pic:blipFill>
                    <a:blip r:embed="rId4"/>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4">
            <wp:simplePos x="0" y="0"/>
            <wp:positionH relativeFrom="page">
              <wp:posOffset>0</wp:posOffset>
            </wp:positionH>
            <wp:positionV relativeFrom="page">
              <wp:posOffset>5080</wp:posOffset>
            </wp:positionV>
            <wp:extent cx="15240" cy="15240"/>
            <wp:effectExtent l="0" t="0" r="0" b="0"/>
            <wp:wrapNone/>
            <wp:docPr id="3" name="Рисунок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6" descr=""/>
                    <pic:cNvPicPr>
                      <a:picLocks noChangeAspect="1" noChangeArrowheads="1"/>
                    </pic:cNvPicPr>
                  </pic:nvPicPr>
                  <pic:blipFill>
                    <a:blip r:embed="rId5"/>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5">
            <wp:simplePos x="0" y="0"/>
            <wp:positionH relativeFrom="page">
              <wp:posOffset>0</wp:posOffset>
            </wp:positionH>
            <wp:positionV relativeFrom="page">
              <wp:posOffset>5080</wp:posOffset>
            </wp:positionV>
            <wp:extent cx="15240" cy="15240"/>
            <wp:effectExtent l="0" t="0" r="0" b="0"/>
            <wp:wrapNone/>
            <wp:docPr id="4" name="Рисунок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5" descr=""/>
                    <pic:cNvPicPr>
                      <a:picLocks noChangeAspect="1" noChangeArrowheads="1"/>
                    </pic:cNvPicPr>
                  </pic:nvPicPr>
                  <pic:blipFill>
                    <a:blip r:embed="rId6"/>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6">
            <wp:simplePos x="0" y="0"/>
            <wp:positionH relativeFrom="page">
              <wp:posOffset>0</wp:posOffset>
            </wp:positionH>
            <wp:positionV relativeFrom="page">
              <wp:posOffset>5080</wp:posOffset>
            </wp:positionV>
            <wp:extent cx="15240" cy="15240"/>
            <wp:effectExtent l="0" t="0" r="0" b="0"/>
            <wp:wrapNone/>
            <wp:docPr id="5" name="Рисунок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4" descr=""/>
                    <pic:cNvPicPr>
                      <a:picLocks noChangeAspect="1" noChangeArrowheads="1"/>
                    </pic:cNvPicPr>
                  </pic:nvPicPr>
                  <pic:blipFill>
                    <a:blip r:embed="rId7"/>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7">
            <wp:simplePos x="0" y="0"/>
            <wp:positionH relativeFrom="page">
              <wp:posOffset>0</wp:posOffset>
            </wp:positionH>
            <wp:positionV relativeFrom="page">
              <wp:posOffset>5080</wp:posOffset>
            </wp:positionV>
            <wp:extent cx="15240" cy="15240"/>
            <wp:effectExtent l="0" t="0" r="0" b="0"/>
            <wp:wrapNone/>
            <wp:docPr id="6" name="Рисунок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3" descr=""/>
                    <pic:cNvPicPr>
                      <a:picLocks noChangeAspect="1" noChangeArrowheads="1"/>
                    </pic:cNvPicPr>
                  </pic:nvPicPr>
                  <pic:blipFill>
                    <a:blip r:embed="rId8"/>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8">
            <wp:simplePos x="0" y="0"/>
            <wp:positionH relativeFrom="page">
              <wp:posOffset>0</wp:posOffset>
            </wp:positionH>
            <wp:positionV relativeFrom="page">
              <wp:posOffset>5080</wp:posOffset>
            </wp:positionV>
            <wp:extent cx="15240" cy="15240"/>
            <wp:effectExtent l="0" t="0" r="0" b="0"/>
            <wp:wrapNone/>
            <wp:docPr id="7"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2" descr=""/>
                    <pic:cNvPicPr>
                      <a:picLocks noChangeAspect="1" noChangeArrowheads="1"/>
                    </pic:cNvPicPr>
                  </pic:nvPicPr>
                  <pic:blipFill>
                    <a:blip r:embed="rId9"/>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9">
            <wp:simplePos x="0" y="0"/>
            <wp:positionH relativeFrom="page">
              <wp:posOffset>0</wp:posOffset>
            </wp:positionH>
            <wp:positionV relativeFrom="page">
              <wp:posOffset>5080</wp:posOffset>
            </wp:positionV>
            <wp:extent cx="15240" cy="15240"/>
            <wp:effectExtent l="0" t="0" r="0" b="0"/>
            <wp:wrapNone/>
            <wp:docPr id="8"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1" descr=""/>
                    <pic:cNvPicPr>
                      <a:picLocks noChangeAspect="1" noChangeArrowheads="1"/>
                    </pic:cNvPicPr>
                  </pic:nvPicPr>
                  <pic:blipFill>
                    <a:blip r:embed="rId10"/>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10">
            <wp:simplePos x="0" y="0"/>
            <wp:positionH relativeFrom="page">
              <wp:posOffset>0</wp:posOffset>
            </wp:positionH>
            <wp:positionV relativeFrom="page">
              <wp:posOffset>5080</wp:posOffset>
            </wp:positionV>
            <wp:extent cx="15240" cy="15240"/>
            <wp:effectExtent l="0" t="0" r="0" b="0"/>
            <wp:wrapNone/>
            <wp:docPr id="9"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0" descr=""/>
                    <pic:cNvPicPr>
                      <a:picLocks noChangeAspect="1" noChangeArrowheads="1"/>
                    </pic:cNvPicPr>
                  </pic:nvPicPr>
                  <pic:blipFill>
                    <a:blip r:embed="rId11"/>
                    <a:srcRect l="-5714" t="-5714" r="-5714" b="-5714"/>
                    <a:stretch>
                      <a:fillRect/>
                    </a:stretch>
                  </pic:blipFill>
                  <pic:spPr bwMode="auto">
                    <a:xfrm>
                      <a:off x="0" y="0"/>
                      <a:ext cx="15240" cy="15240"/>
                    </a:xfrm>
                    <a:prstGeom prst="rect">
                      <a:avLst/>
                    </a:prstGeom>
                  </pic:spPr>
                </pic:pic>
              </a:graphicData>
            </a:graphic>
          </wp:anchor>
        </w:drawing>
      </w:r>
      <w:r>
        <w:rPr>
          <w:rFonts w:cs="Times New Roman" w:ascii="Times New Roman" w:hAnsi="Times New Roman"/>
          <w:b/>
          <w:bCs/>
          <w:sz w:val="27"/>
          <w:szCs w:val="27"/>
        </w:rPr>
        <w:t>О</w:t>
      </w:r>
      <w:r>
        <w:rPr>
          <w:rFonts w:cs="Times New Roman" w:ascii="Times New Roman" w:hAnsi="Times New Roman"/>
          <w:b/>
          <w:bCs/>
          <w:sz w:val="27"/>
          <w:szCs w:val="27"/>
        </w:rPr>
        <w:t>СНОВНІ ЗАВДАННЯ ТА ЗАХОДИ</w:t>
      </w:r>
    </w:p>
    <w:p>
      <w:pPr>
        <w:pStyle w:val="Normal"/>
        <w:numPr>
          <w:ilvl w:val="1"/>
          <w:numId w:val="2"/>
        </w:numPr>
        <w:suppressAutoHyphens w:val="true"/>
        <w:jc w:val="center"/>
        <w:textAlignment w:val="baseline"/>
        <w:outlineLvl w:val="1"/>
        <w:rPr>
          <w:rFonts w:cs="Arial"/>
          <w:b/>
          <w:b/>
          <w:bCs/>
          <w:sz w:val="36"/>
          <w:szCs w:val="36"/>
        </w:rPr>
      </w:pPr>
      <w:r>
        <w:rPr>
          <w:rFonts w:cs="Times New Roman" w:ascii="Times New Roman" w:hAnsi="Times New Roman"/>
          <w:b/>
          <w:bCs/>
          <w:sz w:val="27"/>
          <w:szCs w:val="27"/>
        </w:rPr>
        <w:t>1.ЗАЛУЧЕННЯ ДОДАТКОВИХ ФІНАНСОВИХ РЕСУРСІВ</w:t>
      </w:r>
    </w:p>
    <w:p>
      <w:pPr>
        <w:pStyle w:val="Normal"/>
        <w:suppressLineNumbers/>
        <w:tabs>
          <w:tab w:val="clear" w:pos="709"/>
          <w:tab w:val="left" w:pos="540" w:leader="none"/>
          <w:tab w:val="left" w:pos="1080" w:leader="none"/>
        </w:tabs>
        <w:suppressAutoHyphens w:val="true"/>
        <w:jc w:val="center"/>
        <w:textAlignment w:val="baseline"/>
        <w:rPr>
          <w:rFonts w:ascii="Times New Roman" w:hAnsi="Times New Roman" w:eastAsia="Times New Roman" w:cs="Times New Roman"/>
          <w:b/>
          <w:b/>
          <w:sz w:val="27"/>
          <w:szCs w:val="27"/>
          <w:lang w:bidi="ar-SA"/>
        </w:rPr>
      </w:pPr>
      <w:r>
        <w:rPr>
          <w:rFonts w:eastAsia="Times New Roman" w:cs="Times New Roman" w:ascii="Times New Roman" w:hAnsi="Times New Roman"/>
          <w:b/>
          <w:sz w:val="27"/>
          <w:szCs w:val="27"/>
          <w:lang w:bidi="ar-SA"/>
        </w:rPr>
      </w:r>
    </w:p>
    <w:p>
      <w:pPr>
        <w:pStyle w:val="Normal"/>
        <w:suppressLineNumbers/>
        <w:tabs>
          <w:tab w:val="clear" w:pos="709"/>
          <w:tab w:val="left" w:pos="540" w:leader="none"/>
          <w:tab w:val="left" w:pos="1080" w:leader="none"/>
        </w:tabs>
        <w:suppressAutoHyphens w:val="true"/>
        <w:jc w:val="center"/>
        <w:textAlignment w:val="baseline"/>
        <w:rPr>
          <w:rFonts w:eastAsia="Times New Roman" w:cs="Times New Roman"/>
          <w:sz w:val="20"/>
          <w:lang w:bidi="ar-SA"/>
        </w:rPr>
      </w:pPr>
      <w:r>
        <w:rPr>
          <w:rFonts w:eastAsia="Times New Roman" w:cs="Times New Roman" w:ascii="Times New Roman" w:hAnsi="Times New Roman"/>
          <w:b/>
          <w:sz w:val="27"/>
          <w:szCs w:val="27"/>
          <w:lang w:bidi="ar-SA"/>
        </w:rPr>
        <w:t>1.1. Бюджетно-фінансова сфера</w:t>
      </w:r>
    </w:p>
    <w:tbl>
      <w:tblPr>
        <w:tblW w:w="15885" w:type="dxa"/>
        <w:jc w:val="left"/>
        <w:tblInd w:w="109" w:type="dxa"/>
        <w:tblCellMar>
          <w:top w:w="0" w:type="dxa"/>
          <w:left w:w="108" w:type="dxa"/>
          <w:bottom w:w="0" w:type="dxa"/>
          <w:right w:w="108" w:type="dxa"/>
        </w:tblCellMar>
        <w:tblLook w:firstRow="0" w:noVBand="0" w:lastRow="0" w:firstColumn="0" w:lastColumn="0" w:noHBand="0" w:val="0000"/>
      </w:tblPr>
      <w:tblGrid>
        <w:gridCol w:w="630"/>
        <w:gridCol w:w="3481"/>
        <w:gridCol w:w="11774"/>
      </w:tblGrid>
      <w:tr>
        <w:trPr>
          <w:trHeight w:val="615" w:hRule="atLeast"/>
        </w:trPr>
        <w:tc>
          <w:tcPr>
            <w:tcW w:w="630"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481"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90"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481"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284" w:leader="none"/>
                <w:tab w:val="left" w:pos="540" w:leader="none"/>
              </w:tabs>
              <w:suppressAutoHyphens w:val="true"/>
              <w:jc w:val="both"/>
              <w:textAlignment w:val="baseline"/>
              <w:rPr>
                <w:rFonts w:cs="Arial"/>
              </w:rPr>
            </w:pPr>
            <w:r>
              <w:rPr>
                <w:rFonts w:cs="Times New Roman" w:ascii="Times New Roman" w:hAnsi="Times New Roman"/>
                <w:sz w:val="27"/>
                <w:szCs w:val="27"/>
              </w:rPr>
              <w:t xml:space="preserve">Удосконалення програмно-цільового методу бюджетного процесу та подальша оптимізація бюджетних програм. </w:t>
            </w:r>
          </w:p>
        </w:tc>
        <w:tc>
          <w:tcPr>
            <w:tcW w:w="1177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Бюджет Луцької міської територіальної громади на 2020 рік сформовано за програмно - цільовим методом в межах фінансового ресурсу (рішення Луцької міської ради від 24.12.2019 №68/3 «Про бюджет Луцької міської територіальної громади на 2020 рік» зі змінами).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За 2020 рік до бюджету громади надійшло 2 069,4 млн грн доходів, з них доходів без врахування трансфертів 1 577,2 млн грн, трансфертів – 492,2 млн грн.</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До загального фонду бюджету Луцької міської територіальної громади надійшло 1 411,0 млн грн. Податок на доходи фізичних осіб формує основну частину доходів загального фонду бюджету  (67,4 %). Всього, за 2020 рік надійшло 1 062,9 млн грн ПДФО, що становить 90,3 % від уточнених призначень.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До спеціального фонду надійшло 166,2 млн грн, що становить 123,9 % планових показників, у тому числі до бюджету розвитку – 28,3 млн грн. Від продажу землі надійшло 11,5 млн грн, коштів пайової участі у розвитку інфраструктури міста – 16,8 млн грн.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Бюджет територіальної громади щодо видатків виконано на 90,7 %, в т. ч. по видатках загального фонду (без субвенцій) – на 93,7 %. За рахунок трансфертів профінансовано 460,9 млн грн. На освіту спрямовано 389,5 млн грн трансфертів, на охорону здоров’я – 61,8 млн грн, на проведення місцевих виборів - 8,1 млн грн, інші видатки – 1,5 млн грн.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Із загального фонду (без субвенцій) на фінансування установ соціально – культурної сфери спрямовано 801,6 млн грн, з яких: на заклади освіти – 612,3 млн грн, на заклади медицини – 61,5 млн грн, культури – 33,5 млн грн, фізичної культури та спорту – 32,9 млн грн, на соціальний захист – 61,4 млн грн.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Видатки у сфері житлово-комунального господарства профінансовані в сумі 167,3 млн грн, окрім того на поточний ремонт та утримання доріг – 32,9 млн грн.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Реверсної дотації державному бюджету перераховано на суму 84,0 млн грн. З загального фонду бюджету на здійснення капітальних видатків фактично передано до бюджету розвитку 257,3 млн грн.</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Всього капітальні видатки склали 374,8 млн грн. Видатки спеціального фонду бюджету територіальної громади за 2020 рік виконано на 78,3 %. </w:t>
            </w:r>
          </w:p>
        </w:tc>
      </w:tr>
      <w:tr>
        <w:trPr>
          <w:trHeight w:val="700"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481"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284" w:leader="none"/>
                <w:tab w:val="left" w:pos="540" w:leader="none"/>
              </w:tabs>
              <w:suppressAutoHyphens w:val="true"/>
              <w:jc w:val="both"/>
              <w:textAlignment w:val="baseline"/>
              <w:rPr>
                <w:rFonts w:cs="Arial"/>
              </w:rPr>
            </w:pPr>
            <w:r>
              <w:rPr>
                <w:rFonts w:cs="Times New Roman" w:ascii="Times New Roman" w:hAnsi="Times New Roman"/>
                <w:sz w:val="27"/>
                <w:szCs w:val="27"/>
              </w:rPr>
              <w:t>Формування збалансованого та реалістичного бюджету міської територіальної громади на наступний бюджетний період у відповідності до чинного законодавства.</w:t>
            </w:r>
          </w:p>
        </w:tc>
        <w:tc>
          <w:tcPr>
            <w:tcW w:w="1177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2020 році забезпечено формування та прийняття збалансованого бюджету Луцької міської територіальної громади з урахуванням у повному обсязі потреби у коштах для соціальних виплат та розрахунків за енергоносії, дотримання жорсткої фінансової дисципліни при використанні коштів бюджету територіальної громади. </w:t>
            </w:r>
          </w:p>
        </w:tc>
      </w:tr>
      <w:tr>
        <w:trPr>
          <w:trHeight w:val="453" w:hRule="atLeast"/>
        </w:trPr>
        <w:tc>
          <w:tcPr>
            <w:tcW w:w="630"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481" w:type="dxa"/>
            <w:tcBorders>
              <w:top w:val="single" w:sz="4" w:space="0" w:color="000000"/>
              <w:left w:val="single" w:sz="4" w:space="0" w:color="000000"/>
              <w:bottom w:val="single" w:sz="4" w:space="0" w:color="000000"/>
            </w:tcBorders>
            <w:shd w:color="auto" w:fill="auto" w:val="clear"/>
          </w:tcPr>
          <w:p>
            <w:pPr>
              <w:pStyle w:val="Normal"/>
              <w:tabs>
                <w:tab w:val="clear" w:pos="709"/>
                <w:tab w:val="left" w:pos="284" w:leader="none"/>
                <w:tab w:val="left" w:pos="540" w:leader="none"/>
              </w:tabs>
              <w:suppressAutoHyphens w:val="true"/>
              <w:jc w:val="both"/>
              <w:textAlignment w:val="baseline"/>
              <w:rPr>
                <w:rFonts w:cs="Arial"/>
              </w:rPr>
            </w:pPr>
            <w:r>
              <w:rPr>
                <w:rFonts w:cs="Times New Roman" w:ascii="Times New Roman" w:hAnsi="Times New Roman"/>
                <w:sz w:val="27"/>
                <w:szCs w:val="27"/>
              </w:rPr>
              <w:t>Реалізація заходів щодо забезпечення своєчасної та в належних розмірах сплати податків, зборів та обов’язкових платежів до бюджету Луцької міської територіальної громади.</w:t>
            </w:r>
          </w:p>
        </w:tc>
        <w:tc>
          <w:tcPr>
            <w:tcW w:w="1177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2020 році до бюджету міської територіальної громади надійшло коштів від сплати:</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lang w:bidi="ar-SA"/>
              </w:rPr>
              <w:t>податку на нерухоме майно, відмінне від земельної ділянки - 49 772,1 тис. грн (виконання піврічних планових надходжень 107,4%).</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транспортного податку – 1 244,4 тис. грн (62,2,0%);</w:t>
            </w:r>
          </w:p>
          <w:p>
            <w:pPr>
              <w:pStyle w:val="Normal"/>
              <w:shd w:val="clear" w:color="auto" w:fill="FFFFFF"/>
              <w:suppressAutoHyphens w:val="true"/>
              <w:ind w:firstLine="567"/>
              <w:jc w:val="both"/>
              <w:textAlignment w:val="baseline"/>
              <w:rPr>
                <w:rFonts w:cs="Arial"/>
              </w:rPr>
            </w:pPr>
            <w:r>
              <w:rPr>
                <w:rFonts w:cs="Times New Roman" w:ascii="Times New Roman" w:hAnsi="Times New Roman"/>
                <w:sz w:val="27"/>
                <w:szCs w:val="27"/>
                <w:lang w:bidi="ar-SA"/>
              </w:rPr>
              <w:t>- збору за місця для паркування транспортних засобів – 64,2 тис. грн (200,6%);</w:t>
            </w:r>
          </w:p>
          <w:p>
            <w:pPr>
              <w:pStyle w:val="Normal"/>
              <w:shd w:val="clear" w:color="auto" w:fill="FFFFFF"/>
              <w:suppressAutoHyphens w:val="true"/>
              <w:ind w:firstLine="567"/>
              <w:jc w:val="both"/>
              <w:textAlignment w:val="baseline"/>
              <w:rPr>
                <w:rFonts w:cs="Arial"/>
              </w:rPr>
            </w:pPr>
            <w:r>
              <w:rPr>
                <w:rFonts w:cs="Times New Roman" w:ascii="Times New Roman" w:hAnsi="Times New Roman"/>
                <w:sz w:val="27"/>
                <w:szCs w:val="27"/>
                <w:lang w:bidi="ar-SA"/>
              </w:rPr>
              <w:t>- туристичного збору – 513,9, тис. грн (110,3%);</w:t>
            </w:r>
          </w:p>
          <w:p>
            <w:pPr>
              <w:pStyle w:val="Normal"/>
              <w:shd w:val="clear" w:color="auto" w:fill="FFFFFF"/>
              <w:suppressAutoHyphens w:val="true"/>
              <w:ind w:firstLine="567"/>
              <w:jc w:val="both"/>
              <w:textAlignment w:val="baseline"/>
              <w:rPr>
                <w:rFonts w:cs="Arial"/>
              </w:rPr>
            </w:pPr>
            <w:r>
              <w:rPr>
                <w:rFonts w:cs="Times New Roman" w:ascii="Times New Roman" w:hAnsi="Times New Roman"/>
                <w:spacing w:val="1"/>
                <w:sz w:val="27"/>
                <w:szCs w:val="27"/>
                <w:lang w:bidi="ar-SA"/>
              </w:rPr>
              <w:t xml:space="preserve">- єдиного податку </w:t>
            </w:r>
            <w:r>
              <w:rPr>
                <w:rFonts w:cs="Times New Roman" w:ascii="Times New Roman" w:hAnsi="Times New Roman"/>
                <w:sz w:val="27"/>
                <w:szCs w:val="27"/>
                <w:lang w:bidi="ar-SA"/>
              </w:rPr>
              <w:t>–</w:t>
            </w:r>
            <w:r>
              <w:rPr>
                <w:rFonts w:cs="Times New Roman" w:ascii="Times New Roman" w:hAnsi="Times New Roman"/>
                <w:spacing w:val="1"/>
                <w:sz w:val="27"/>
                <w:szCs w:val="27"/>
                <w:lang w:bidi="ar-SA"/>
              </w:rPr>
              <w:t> 199 702,8 тис. грн (99,2%);</w:t>
            </w:r>
          </w:p>
          <w:p>
            <w:pPr>
              <w:pStyle w:val="Normal"/>
              <w:suppressAutoHyphens w:val="true"/>
              <w:snapToGrid w:val="false"/>
              <w:ind w:firstLine="567"/>
              <w:jc w:val="both"/>
              <w:textAlignment w:val="baseline"/>
              <w:rPr>
                <w:rFonts w:cs="Arial"/>
              </w:rPr>
            </w:pPr>
            <w:r>
              <w:rPr>
                <w:rFonts w:cs="Times New Roman" w:ascii="Times New Roman" w:hAnsi="Times New Roman"/>
                <w:spacing w:val="1"/>
                <w:sz w:val="27"/>
                <w:szCs w:val="27"/>
                <w:lang w:bidi="ar-SA"/>
              </w:rPr>
              <w:t>- земельного податку </w:t>
            </w:r>
            <w:r>
              <w:rPr>
                <w:rFonts w:cs="Times New Roman" w:ascii="Times New Roman" w:hAnsi="Times New Roman"/>
                <w:sz w:val="27"/>
                <w:szCs w:val="27"/>
                <w:lang w:bidi="ar-SA"/>
              </w:rPr>
              <w:t>–</w:t>
            </w:r>
            <w:r>
              <w:rPr>
                <w:rFonts w:cs="Times New Roman" w:ascii="Times New Roman" w:hAnsi="Times New Roman"/>
                <w:spacing w:val="1"/>
                <w:sz w:val="27"/>
                <w:szCs w:val="27"/>
                <w:lang w:bidi="ar-SA"/>
              </w:rPr>
              <w:t xml:space="preserve"> сумі 108 789,6 тис. грн (90,3%). </w:t>
            </w:r>
          </w:p>
        </w:tc>
      </w:tr>
      <w:tr>
        <w:trPr>
          <w:trHeight w:val="3773" w:hRule="atLeast"/>
        </w:trPr>
        <w:tc>
          <w:tcPr>
            <w:tcW w:w="630"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481" w:type="dxa"/>
            <w:tcBorders>
              <w:top w:val="single" w:sz="4" w:space="0" w:color="000000"/>
              <w:left w:val="single" w:sz="4" w:space="0" w:color="000000"/>
              <w:bottom w:val="single" w:sz="4" w:space="0" w:color="000000"/>
            </w:tcBorders>
            <w:shd w:color="auto" w:fill="auto" w:val="clear"/>
          </w:tcPr>
          <w:p>
            <w:pPr>
              <w:pStyle w:val="Normal"/>
              <w:tabs>
                <w:tab w:val="clear" w:pos="709"/>
                <w:tab w:val="left" w:pos="284" w:leader="none"/>
                <w:tab w:val="left" w:pos="540" w:leader="none"/>
              </w:tabs>
              <w:suppressAutoHyphens w:val="true"/>
              <w:jc w:val="both"/>
              <w:textAlignment w:val="baseline"/>
              <w:rPr>
                <w:rFonts w:cs="Arial"/>
              </w:rPr>
            </w:pPr>
            <w:r>
              <w:rPr>
                <w:rFonts w:cs="Times New Roman" w:ascii="Times New Roman" w:hAnsi="Times New Roman"/>
                <w:sz w:val="27"/>
                <w:szCs w:val="27"/>
              </w:rPr>
              <w:t>Проведення системної роботи щодо поліпшення адміністрування податків, розширення податкової бази, виявлення та усунення негативних чинників, що несприятливо впливають на рівень надходжень податків, зборів і обов’язкових платежів до бюджету Луцької міської територіальної громади</w:t>
            </w:r>
          </w:p>
        </w:tc>
        <w:tc>
          <w:tcPr>
            <w:tcW w:w="117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З метою організації роботи щодо забезпечення виконання дохідної частини бюджету, збільшення надходжень, пошуку додаткових джерел для наповнення бюджету налагоджена співпраця між виконавчим комітетом Луцької міської ради та ГУ ДПС у Волинській області в частині мобілізації податків і зборів. Так, департаментом фінансів та бюджету Луцької міської ради проводиться робота по виявленню не облікованих платників податку на нерухоме майно, відмінне від земельної ділянки шляхом звірки даних з електронної версії Державного реєстру прав та інформації про зареєстрованих платників податку у ГУ ДПС у Волинській області.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звітному періоді постійно проводився моніторинг надходжень податку на доходи фізичних осіб та вживались заходи, спрямовані на забезпечення додаткових надходжень ПДФО, а саме: проводилася робота із платниками, які мають заборгованість із заробітної плати та ПДФО. </w:t>
            </w:r>
          </w:p>
        </w:tc>
      </w:tr>
      <w:tr>
        <w:trPr>
          <w:trHeight w:val="1833" w:hRule="atLeast"/>
        </w:trPr>
        <w:tc>
          <w:tcPr>
            <w:tcW w:w="630"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481" w:type="dxa"/>
            <w:tcBorders>
              <w:top w:val="single" w:sz="4" w:space="0" w:color="000000"/>
              <w:left w:val="single" w:sz="4" w:space="0" w:color="000000"/>
              <w:bottom w:val="single" w:sz="4" w:space="0" w:color="000000"/>
            </w:tcBorders>
            <w:shd w:color="auto" w:fill="auto" w:val="clear"/>
          </w:tcPr>
          <w:p>
            <w:pPr>
              <w:pStyle w:val="Normal"/>
              <w:tabs>
                <w:tab w:val="clear" w:pos="709"/>
                <w:tab w:val="left" w:pos="284" w:leader="none"/>
                <w:tab w:val="left" w:pos="540" w:leader="none"/>
              </w:tabs>
              <w:suppressAutoHyphens w:val="true"/>
              <w:snapToGrid w:val="false"/>
              <w:jc w:val="both"/>
              <w:textAlignment w:val="baseline"/>
              <w:rPr>
                <w:rFonts w:cs="Arial"/>
              </w:rPr>
            </w:pPr>
            <w:r>
              <w:rPr>
                <w:rFonts w:cs="Times New Roman" w:ascii="Times New Roman" w:hAnsi="Times New Roman"/>
                <w:sz w:val="27"/>
                <w:szCs w:val="27"/>
              </w:rPr>
              <w:t>Розширення та систематичне поповнення бази даних для візуалізації бюджету міської територіальної громади на сайті Луцької міської ради у розділі «Бюджет міста»</w:t>
            </w:r>
          </w:p>
        </w:tc>
        <w:tc>
          <w:tcPr>
            <w:tcW w:w="1177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Інформація про бюджет Луцької міської територіальної громади є прозорою. </w:t>
            </w:r>
          </w:p>
          <w:p>
            <w:pPr>
              <w:pStyle w:val="Normal"/>
              <w:suppressAutoHyphens w:val="true"/>
              <w:snapToGrid w:val="false"/>
              <w:ind w:firstLine="567"/>
              <w:jc w:val="both"/>
              <w:textAlignment w:val="baseline"/>
              <w:rPr/>
            </w:pPr>
            <w:r>
              <w:rPr>
                <w:rFonts w:cs="Times New Roman" w:ascii="Times New Roman" w:hAnsi="Times New Roman"/>
                <w:sz w:val="27"/>
                <w:szCs w:val="27"/>
              </w:rPr>
              <w:t>На офіційному сайті Луцької міської ради в рубриці «Бюджет міста Луцька»(</w:t>
            </w:r>
            <w:hyperlink r:id="rId12">
              <w:r>
                <w:rPr>
                  <w:rStyle w:val="ListLabel18"/>
                  <w:rFonts w:cs="Times New Roman" w:ascii="Times New Roman" w:hAnsi="Times New Roman"/>
                  <w:sz w:val="27"/>
                  <w:szCs w:val="27"/>
                  <w:u w:val="single"/>
                </w:rPr>
                <w:t>https://www.lutskrada.gov.ua/budget</w:t>
              </w:r>
            </w:hyperlink>
            <w:r>
              <w:rPr>
                <w:rFonts w:cs="Times New Roman" w:ascii="Times New Roman" w:hAnsi="Times New Roman"/>
                <w:sz w:val="27"/>
                <w:szCs w:val="27"/>
              </w:rPr>
              <w:t xml:space="preserve">) постійно розміщується щоденна, щотижнева та щомісячна інформація про виконання бюджету громади, рішення міської ради з питань бюджету. </w:t>
            </w:r>
          </w:p>
        </w:tc>
      </w:tr>
    </w:tbl>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eastAsia="Times New Roman" w:cs="Times New Roman"/>
          <w:b/>
          <w:b/>
          <w:sz w:val="27"/>
          <w:szCs w:val="27"/>
          <w:lang w:bidi="ar-SA"/>
        </w:rPr>
      </w:pPr>
      <w:r>
        <w:rPr>
          <w:rFonts w:eastAsia="Times New Roman" w:cs="Times New Roman" w:ascii="Times New Roman" w:hAnsi="Times New Roman"/>
          <w:b/>
          <w:sz w:val="27"/>
          <w:szCs w:val="27"/>
          <w:lang w:bidi="ar-SA"/>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 xml:space="preserve">1.2. Підприємництво, торгівля та сфера послуг </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 xml:space="preserve">Стан виконання заходів </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Arial"/>
              </w:rPr>
              <w:t>1.</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 xml:space="preserve">Проведення засідань Координаційної ради з питань розвитку малого і середнього підприємництва Луцької міської територіальної громади, робочих зустрічей, нарад, круглих столів, щодо вирішення проблемних питань подолання </w:t>
            </w:r>
            <w:r>
              <w:rPr>
                <w:rFonts w:cs="Times New Roman" w:ascii="Times New Roman" w:hAnsi="Times New Roman"/>
                <w:bCs/>
                <w:sz w:val="27"/>
                <w:szCs w:val="27"/>
                <w:highlight w:val="white"/>
              </w:rPr>
              <w:t>бар’єрів підприємництва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Протягом року було проведено 4 розширених засідання Координаційної ради з питань розвитку малого та середнього підприємництва при Луцькій міській раді за участю суб’єктів підприємництва</w:t>
            </w:r>
            <w:r>
              <w:rPr>
                <w:rFonts w:cs="Times New Roman" w:ascii="Times New Roman" w:hAnsi="Times New Roman"/>
                <w:sz w:val="27"/>
                <w:szCs w:val="27"/>
                <w:highlight w:val="white"/>
              </w:rPr>
              <w:t xml:space="preserve"> на яких</w:t>
            </w:r>
            <w:r>
              <w:rPr>
                <w:rFonts w:cs="Times New Roman" w:ascii="Times New Roman" w:hAnsi="Times New Roman"/>
                <w:sz w:val="27"/>
                <w:szCs w:val="27"/>
              </w:rPr>
              <w:t xml:space="preserve"> розглянуто питання про:</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rPr>
              <w:t>- надання фінансової державної підтримки суб’єктам малого та мікропідприємництва згідно з Постановою КМУ від 24.01.2020 №28 (Державна програма «Доступні кредити 5-7-9%»);</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rPr>
              <w:t>- особливості оподаткування юридичних осіб та ФОП у 2020 році;</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rPr>
              <w:t>- нові правила застосування реєстраторів розрахункових операцій, обліку та сплати податків юридичними особами та ФОП;</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rPr>
              <w:t xml:space="preserve">- зміни у трудовому законодавстві.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До участі у засіданні Ради залучались спеціалісти ГУ ДПС у Волинській області, управління з питань праці Луцької міської ради, представники банків, депутати міської ради, очільники громадських підприємницьких організацій міста та журналісти.</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Здійснювалася постійна робота щодо надання суб’єктам господарювання міста всебічних та своєчасних консультацій з питань організації та ведення підприємницької діяльності в умовах карантину.</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Arial"/>
              </w:rPr>
              <w:t>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spacing w:val="-4"/>
              </w:rPr>
            </w:pPr>
            <w:r>
              <w:rPr>
                <w:rFonts w:cs="Times New Roman" w:ascii="Times New Roman" w:hAnsi="Times New Roman"/>
                <w:bCs/>
                <w:spacing w:val="-4"/>
                <w:sz w:val="27"/>
                <w:szCs w:val="27"/>
              </w:rPr>
              <w:t>Підготовка інформаційних матеріалів щодо ресурсної підтримки суб’єктів господарювання та оприлюднення їх в засобах масової інформації (ярмарки, форуми, конференції)</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6954" w:leader="none"/>
              </w:tabs>
              <w:suppressAutoHyphens w:val="true"/>
              <w:ind w:firstLine="567"/>
              <w:jc w:val="both"/>
              <w:textAlignment w:val="baseline"/>
              <w:rPr>
                <w:rFonts w:cs="Arial"/>
              </w:rPr>
            </w:pPr>
            <w:r>
              <w:rPr>
                <w:rFonts w:cs="Times New Roman" w:ascii="Times New Roman" w:hAnsi="Times New Roman"/>
                <w:sz w:val="27"/>
                <w:szCs w:val="27"/>
              </w:rPr>
              <w:t xml:space="preserve">Виконавчі органи міської ради та державні органи здійснювали постійну підготовку актуальних інформаційних матеріалів для суб’єктів підприємництва, які поширювались на офіційному сайті Луцької міської ради, сайтах державних органів, на сторінках соціальної мережі  «Фейсбук», в друкованих ЗМІ. Постійно оновлювалась інформація на офіційному сайті міської ради в розділі «Інформація для суб’єктів підприємництва» щодо місцевих податків і зборів, неподаткових платежів, адміністративних послуг, дозвільних документів, нового у законодавстві, тощо. </w:t>
            </w:r>
          </w:p>
        </w:tc>
      </w:tr>
      <w:tr>
        <w:trPr>
          <w:trHeight w:val="7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ascii="Times New Roman" w:hAnsi="Times New Roman" w:cs="Times New Roman"/>
                <w:b/>
                <w:b/>
                <w:bCs/>
                <w:sz w:val="27"/>
                <w:szCs w:val="27"/>
              </w:rPr>
            </w:pPr>
            <w:r>
              <w:rPr>
                <w:rFonts w:cs="Times New Roman" w:ascii="Times New Roman" w:hAnsi="Times New Roman"/>
                <w:sz w:val="27"/>
                <w:szCs w:val="27"/>
              </w:rPr>
              <w:t>Проведення повного аналізу регуляторних актів місцевого самоврядування на відповідність чинному законодавству та з метою подальшого внесення змін (відміною) регуляторних актів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6660" w:leader="none"/>
              </w:tabs>
              <w:suppressAutoHyphens w:val="true"/>
              <w:ind w:firstLine="709"/>
              <w:jc w:val="both"/>
              <w:textAlignment w:val="baseline"/>
              <w:rPr>
                <w:rFonts w:cs="Arial"/>
                <w:spacing w:val="-4"/>
              </w:rPr>
            </w:pPr>
            <w:r>
              <w:rPr>
                <w:rFonts w:cs="Times New Roman" w:ascii="Times New Roman" w:hAnsi="Times New Roman"/>
                <w:spacing w:val="-4"/>
                <w:sz w:val="27"/>
                <w:szCs w:val="27"/>
              </w:rPr>
              <w:t>Відповідно до ст. 7 Закону України «Про засади державної регуляторної політики у сфері господарської діяльності» затверджено плани діяльності з підготовки проєктів регуляторних актів на 2020  рік, а саме: рішенням міської ради від 06.11.2019 № 677-1 (з доповненнями та змінами від 21.01.2020 № 35-1, від 19.02.2020 № 101-1) та рішенням виконавчого комітету міської ради від 27.11.2019 № 66/63 (з доповненнями та змінами від 29.01.2020 № 69-113, 29.07.2020 № 89/22).</w:t>
            </w:r>
          </w:p>
          <w:p>
            <w:pPr>
              <w:pStyle w:val="Normal"/>
              <w:tabs>
                <w:tab w:val="clear" w:pos="709"/>
                <w:tab w:val="left" w:pos="6660" w:leader="none"/>
              </w:tabs>
              <w:suppressAutoHyphens w:val="true"/>
              <w:ind w:firstLine="709"/>
              <w:jc w:val="both"/>
              <w:textAlignment w:val="baseline"/>
              <w:rPr>
                <w:rFonts w:cs="Arial"/>
                <w:spacing w:val="-4"/>
              </w:rPr>
            </w:pPr>
            <w:r>
              <w:rPr>
                <w:rFonts w:cs="Times New Roman" w:ascii="Times New Roman" w:hAnsi="Times New Roman"/>
                <w:spacing w:val="-4"/>
                <w:sz w:val="27"/>
                <w:szCs w:val="27"/>
              </w:rPr>
              <w:t>У 2020 році було проведено 7 засідань головної постійної комісії, на яких розглянуто 11 проєктів рішень на відповідність Закону України «Про засади державної регуляторної політики у сфері господарської діяльності», про що складено відповідні протоколи.</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Протягом звітного періоду було прийнято 9 регуляторних актів, які пройшли повну регуляторну процедуру відповідно до Закону України «Про засади державної регуляторної політики у сфері господарської діяльності», а саме:</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порядок розміщення зовнішньої реклами на території Луцької міської територіальної громади» (рішення виконавчого комітету від 19.02.2020 № 96);</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затвердження схем розміщення наземних засобів зовнішньої реклами на Київському майдані, проспектах Волі, Василя Мойсея, Перемоги, Президента Грушевського, вулиці Винниченка міста Луцька» (рішення виконавчого комітету від 06.07.2020 № 331-1);</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затвердження форми Договору на перевезення пасажирів автомобільним транспортом у м. Луцьку, умови якого обов’язкові для виконання» (рішення виконавчого комітету від 23.07.2020 № 369-1);</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встановлення ставок транспортного податку» (рішення міської ради від 10.07.2020 № 86/4);</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встановлення ставок туристичного збору» (рішення міської ради від 10.07.2020 № 86/5);</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встановлення ставок земельного податку» (рішення міської ради від 10.07.2020 № 86/2);</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встановлення збору за місця паркування транспортних засобів»  (рішення міської ради від 10.07.2020 № 86/3);</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встановлення ставок із сплати податку на нерухоме майно, відмінне від земельної ділянки» (рішення міської ради  від 10.07.2020 № 87/3);</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встановлення ставок єдиного податку»  (рішення міської ради від 10.07.2020 № 87/2) .</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Усі прийняті регуляторні акти було оприлюднено на офіційному сайті міської ради в розділі «Регуляторна політика» та надруковано у газеті «Луцький замок».</w:t>
            </w:r>
          </w:p>
          <w:p>
            <w:pPr>
              <w:pStyle w:val="Normal"/>
              <w:tabs>
                <w:tab w:val="clear" w:pos="709"/>
                <w:tab w:val="left" w:pos="6660" w:leader="none"/>
              </w:tabs>
              <w:suppressAutoHyphens w:val="true"/>
              <w:ind w:firstLine="709"/>
              <w:jc w:val="both"/>
              <w:textAlignment w:val="baseline"/>
              <w:rPr>
                <w:rFonts w:cs="Arial"/>
                <w:spacing w:val="-4"/>
              </w:rPr>
            </w:pPr>
            <w:r>
              <w:rPr>
                <w:rFonts w:cs="Times New Roman" w:ascii="Times New Roman" w:hAnsi="Times New Roman"/>
                <w:spacing w:val="-4"/>
                <w:sz w:val="27"/>
                <w:szCs w:val="27"/>
              </w:rPr>
              <w:t xml:space="preserve">Відповідно до ст. 34 Закону України «Про засади державної регуляторних політики у сфері господарської діяльності» кожен проєкт регуляторного акта (рішення Луцької міської ради ), подавався до уповноваженого органу – Державної регуляторної служби України для надання експертного висновку. </w:t>
            </w:r>
          </w:p>
          <w:p>
            <w:pPr>
              <w:pStyle w:val="Normal"/>
              <w:tabs>
                <w:tab w:val="clear" w:pos="709"/>
                <w:tab w:val="left" w:pos="6660" w:leader="none"/>
              </w:tabs>
              <w:suppressAutoHyphens w:val="true"/>
              <w:ind w:firstLine="709"/>
              <w:jc w:val="both"/>
              <w:textAlignment w:val="baseline"/>
              <w:rPr>
                <w:rFonts w:cs="Arial"/>
                <w:spacing w:val="-4"/>
              </w:rPr>
            </w:pPr>
            <w:r>
              <w:rPr>
                <w:rFonts w:cs="Times New Roman" w:ascii="Times New Roman" w:hAnsi="Times New Roman"/>
                <w:spacing w:val="-4"/>
                <w:sz w:val="27"/>
                <w:szCs w:val="27"/>
                <w:highlight w:val="white"/>
                <w:lang w:eastAsia="uk-UA"/>
              </w:rPr>
              <w:t>У 2020 році затверджено план діяльності з підготовки проєктів регуляторних актів на 2021 рік (рішення Луцької міської ради від 17.12.2020 № 1/19 «Про затвердження плану діяльності з підготовки проєктів регуляторних актів на 2021 рік», рішення виконавчого комітету від 20.01.2021 № 3-1 “</w:t>
            </w:r>
            <w:r>
              <w:rPr>
                <w:rFonts w:cs="Times New Roman" w:ascii="Times New Roman" w:hAnsi="Times New Roman"/>
                <w:spacing w:val="-4"/>
                <w:sz w:val="27"/>
                <w:szCs w:val="27"/>
                <w:highlight w:val="white"/>
              </w:rPr>
              <w:t xml:space="preserve">Про план діяльності з підготовки </w:t>
            </w:r>
            <w:r>
              <w:rPr>
                <w:rFonts w:cs="Times New Roman" w:ascii="Times New Roman" w:hAnsi="Times New Roman"/>
                <w:spacing w:val="-4"/>
                <w:sz w:val="27"/>
                <w:szCs w:val="27"/>
              </w:rPr>
              <w:t>проєктів регуляторних актів на 2021 рік).</w:t>
            </w:r>
          </w:p>
          <w:p>
            <w:pPr>
              <w:pStyle w:val="Normal"/>
              <w:tabs>
                <w:tab w:val="clear" w:pos="709"/>
                <w:tab w:val="left" w:pos="6660" w:leader="none"/>
              </w:tabs>
              <w:suppressAutoHyphens w:val="true"/>
              <w:ind w:firstLine="567"/>
              <w:jc w:val="both"/>
              <w:textAlignment w:val="baseline"/>
              <w:rPr>
                <w:rFonts w:cs="Arial"/>
                <w:spacing w:val="-4"/>
              </w:rPr>
            </w:pPr>
            <w:r>
              <w:rPr>
                <w:rFonts w:cs="Times New Roman" w:ascii="Times New Roman" w:hAnsi="Times New Roman"/>
                <w:spacing w:val="-4"/>
                <w:sz w:val="27"/>
                <w:szCs w:val="27"/>
              </w:rPr>
              <w:t>З метою забезпечення дотримання прозорості виконання Закону України «Про засади державної регуляторної політики у сфері господарської діяльності» на офіційному сайті Луцької міської ради в розділах «Регуляторна політика», «Прозорість влади» –  «Відкриті дані» розміщено плани з підготовки регуляторних актів, переліки проєктів регуляторних актів та аналізи їх регуляторного впливу, перелік прийнятих регуляторних актів, звіти про відстеження результативності регуляторних актів та інформація для розробників регуляторних актів.</w:t>
            </w:r>
          </w:p>
          <w:p>
            <w:pPr>
              <w:pStyle w:val="Normal"/>
              <w:suppressAutoHyphens w:val="true"/>
              <w:ind w:firstLine="567"/>
              <w:jc w:val="both"/>
              <w:textAlignment w:val="baseline"/>
              <w:rPr>
                <w:rFonts w:cs="Arial"/>
                <w:spacing w:val="-4"/>
              </w:rPr>
            </w:pPr>
            <w:r>
              <w:rPr>
                <w:rFonts w:cs="Times New Roman" w:ascii="Times New Roman" w:hAnsi="Times New Roman"/>
                <w:spacing w:val="-4"/>
                <w:sz w:val="27"/>
                <w:szCs w:val="27"/>
              </w:rPr>
              <w:t>Луцька міська рада за допомогою платформи електронної демократії «DEM-консультації з громадськістю» постійно вивчає думку громадян щодо реалізації ряду нормативно-правових актів. Метою є консультація з громадськістю та врахування пропозицій при підготовці різного ряду документів, які впливатимуть на життя лучан.</w:t>
            </w:r>
          </w:p>
          <w:p>
            <w:pPr>
              <w:pStyle w:val="Normal"/>
              <w:suppressAutoHyphens w:val="true"/>
              <w:ind w:firstLine="567"/>
              <w:jc w:val="both"/>
              <w:textAlignment w:val="baseline"/>
              <w:rPr>
                <w:rFonts w:cs="Arial"/>
              </w:rPr>
            </w:pPr>
            <w:r>
              <w:rPr>
                <w:rFonts w:cs="Times New Roman" w:ascii="Times New Roman" w:hAnsi="Times New Roman"/>
                <w:spacing w:val="-4"/>
                <w:sz w:val="27"/>
                <w:szCs w:val="27"/>
              </w:rPr>
              <w:t>Відповідно до вимог Закону України «Про засади державної регуляторної політики у сфері господарської діяльності» протягом року проводились відстеження результативності дії  регуляторних актів.</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Використання та розвиток новітніх вебплатформ у сфері підприємництва, зокрема щодо системи публічних закупівель «Prozorro»</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Луцьку міську територіальну громаду приєднано до Платформи ефективного регулювання –  безкоштовного інфо-сервісу «StartBusinesscChallenge» щодо відкриття власної справи. На місцевому рівні локалізовано 83 кейси щодо започаткування бізнесу, розміщено інформацію про Платформу на офіційному сайті Луцької міської ради (https://www.lutskrada.gov.ua/pages/informatsiia-dlia-sub-iektiv-pidpryiemnytstva), на сторінці управління розвитку підприємництва та реклами у соціальній мережі «Фейсбук».</w:t>
            </w:r>
          </w:p>
          <w:p>
            <w:pPr>
              <w:pStyle w:val="Normal"/>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Суб’єкти господарювання могли скористатись сервісами системи державних закупівель Prozorro (www.smarttender.biz), Національної онлайн-платформи «Дія. Бізнес» Міністерства цифрової трансформації України, Порталу для підприємців, заснованого Мінекономіки спільно з Офісом розвитку малого і середнього підприємництва (SMEDO) (http://sme.gov.ua/covid19/). Актуальність відкритих платформ у сприянні реалізації продукції (робіт, послуг) набула особливого значення у період карантинних заходів: соціальна платформа підтримки виробників сільськогосподарської продукції «Відкритий ринок» (www.rynok.in.ua), комерційні платформи, групи продажу в соціальних мережах.</w:t>
            </w:r>
          </w:p>
          <w:p>
            <w:pPr>
              <w:pStyle w:val="Normal"/>
              <w:suppressAutoHyphens w:val="true"/>
              <w:snapToGrid w:val="false"/>
              <w:ind w:firstLine="567"/>
              <w:jc w:val="both"/>
              <w:textAlignment w:val="baseline"/>
              <w:rPr>
                <w:rFonts w:cs="Arial"/>
              </w:rPr>
            </w:pPr>
            <w:r>
              <w:rPr>
                <w:rFonts w:cs="Arial"/>
              </w:rPr>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855" w:leader="none"/>
              </w:tabs>
              <w:suppressAutoHyphens w:val="true"/>
              <w:jc w:val="both"/>
              <w:textAlignment w:val="baseline"/>
              <w:rPr>
                <w:rFonts w:cs="Arial"/>
              </w:rPr>
            </w:pPr>
            <w:r>
              <w:rPr>
                <w:rFonts w:cs="Times New Roman" w:ascii="Times New Roman" w:hAnsi="Times New Roman"/>
                <w:sz w:val="27"/>
                <w:szCs w:val="27"/>
              </w:rPr>
              <w:t>Проведення спільно з Луцьким міським центром зайнятості заходів освітнього характеру для учнів, студентів, спрямованих на розширення знань з економіки, організації самозайнятості та ознайомлення з роботою успішних підприємств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eastAsia="Times New Roman" w:cs="Times New Roman" w:ascii="Times New Roman" w:hAnsi="Times New Roman"/>
                <w:sz w:val="27"/>
                <w:szCs w:val="27"/>
              </w:rPr>
              <w:t xml:space="preserve">Центром розвитку підприємництва Луцького міського центру зайнятості надається систематично організаційна та консультаційна підтримка учнівській та студентській молоді, яка спрямована на розширення знань з організації самозайнятості та ознайомлення з роботою успішних підприємств. Всього проведено 50 заходів освітнього характеру для 1390 осіб. </w:t>
            </w:r>
          </w:p>
          <w:p>
            <w:pPr>
              <w:pStyle w:val="Normal"/>
              <w:suppressAutoHyphens w:val="true"/>
              <w:ind w:firstLine="567"/>
              <w:jc w:val="both"/>
              <w:textAlignment w:val="baseline"/>
              <w:rPr>
                <w:rFonts w:cs="Arial"/>
              </w:rPr>
            </w:pPr>
            <w:r>
              <w:rPr>
                <w:rFonts w:eastAsia="Times New Roman" w:cs="Times New Roman" w:ascii="Times New Roman" w:hAnsi="Times New Roman"/>
                <w:sz w:val="27"/>
                <w:szCs w:val="27"/>
              </w:rPr>
              <w:t xml:space="preserve">Департаментом сім'ї, молоді та спорту Луцької міської ради спільно з фахівцями Луцького міського центру зайнятості проведено 5 онлайн заходів в рамках програм «Skills Lab: власна справа» та "Skills Lab: успішна кар’єра» для 130 осіб.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855" w:leader="none"/>
              </w:tabs>
              <w:suppressAutoHyphens w:val="true"/>
              <w:snapToGrid w:val="false"/>
              <w:jc w:val="both"/>
              <w:textAlignment w:val="baseline"/>
              <w:rPr>
                <w:rFonts w:ascii="Times New Roman" w:hAnsi="Times New Roman" w:cs="Times New Roman"/>
                <w:sz w:val="27"/>
                <w:szCs w:val="27"/>
              </w:rPr>
            </w:pPr>
            <w:r>
              <w:rPr>
                <w:rFonts w:cs="Times New Roman" w:ascii="Times New Roman" w:hAnsi="Times New Roman"/>
                <w:sz w:val="27"/>
                <w:szCs w:val="27"/>
              </w:rPr>
              <w:t>Залучення суб’єктів підприємництва Луцької міської територіальної громади до участі у реалізації соціальних проєктів, проєктів благоустрою тощо</w:t>
            </w:r>
          </w:p>
          <w:p>
            <w:pPr>
              <w:pStyle w:val="Normal"/>
              <w:tabs>
                <w:tab w:val="clear" w:pos="709"/>
                <w:tab w:val="left" w:pos="855" w:leader="none"/>
              </w:tabs>
              <w:suppressAutoHyphens w:val="true"/>
              <w:snapToGrid w:val="false"/>
              <w:jc w:val="both"/>
              <w:textAlignment w:val="baseline"/>
              <w:rPr>
                <w:rFonts w:ascii="Times New Roman" w:hAnsi="Times New Roman" w:cs="Times New Roman"/>
                <w:b/>
                <w:b/>
                <w:bCs/>
                <w:sz w:val="27"/>
                <w:szCs w:val="27"/>
                <w:u w:val="single"/>
              </w:rPr>
            </w:pPr>
            <w:r>
              <w:rPr>
                <w:rFonts w:cs="Times New Roman" w:ascii="Times New Roman" w:hAnsi="Times New Roman"/>
                <w:b/>
                <w:bCs/>
                <w:sz w:val="27"/>
                <w:szCs w:val="27"/>
                <w:u w:val="single"/>
              </w:rPr>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10"/>
              <w:jc w:val="both"/>
              <w:textAlignment w:val="baseline"/>
              <w:rPr>
                <w:rFonts w:cs="Arial"/>
              </w:rPr>
            </w:pPr>
            <w:r>
              <w:rPr>
                <w:rFonts w:cs="Times New Roman" w:ascii="Times New Roman" w:hAnsi="Times New Roman"/>
                <w:sz w:val="27"/>
                <w:szCs w:val="27"/>
              </w:rPr>
              <w:t>Протягом звітного року продовжено активну співпрацю з представниками підприємницького середовища міста щодо участі бізнесу у благодійних ініціативах міської влади. Зокрема, активну участь підприємці міста брали у реалізації Новорічних та Різдвяних заходів, а саме: у загальноміському проєкті «Вулиця Різдвяних янголів». Власники магазинів, кафе, офісів святково прикрашали та оформляли вітрини своїх закладів розташованих на центральних вулицях міста.</w:t>
            </w:r>
            <w:r>
              <w:rPr>
                <w:rFonts w:eastAsia="Times New Roman" w:cs="Times New Roman" w:ascii="Times New Roman" w:hAnsi="Times New Roman"/>
                <w:sz w:val="27"/>
                <w:szCs w:val="27"/>
              </w:rPr>
              <w:t xml:space="preserve"> </w:t>
            </w:r>
            <w:r>
              <w:rPr>
                <w:rFonts w:cs="Times New Roman" w:ascii="Times New Roman" w:hAnsi="Times New Roman"/>
                <w:sz w:val="27"/>
                <w:szCs w:val="27"/>
              </w:rPr>
              <w:t>Запровадження карантинних умов спричинило зміни щодо кількості проведення запланованих заходів, проте активна робота з суб’єктами підприємництва проводилась і в таких умовах, а саме:</w:t>
            </w:r>
          </w:p>
          <w:p>
            <w:pPr>
              <w:pStyle w:val="Normal"/>
              <w:suppressAutoHyphens w:val="true"/>
              <w:ind w:firstLine="510"/>
              <w:jc w:val="both"/>
              <w:textAlignment w:val="baseline"/>
              <w:rPr>
                <w:rFonts w:cs="Arial"/>
              </w:rPr>
            </w:pPr>
            <w:r>
              <w:rPr>
                <w:rFonts w:cs="Times New Roman" w:ascii="Times New Roman" w:hAnsi="Times New Roman"/>
                <w:sz w:val="27"/>
                <w:szCs w:val="27"/>
              </w:rPr>
              <w:t>- ТзОВ «Євро Альянс» (мережа кафе ПАБ «Карабас Барабас») під час дії карантинних обмежень з березня до травня місяців забезпечувало харчуванням 54 особи на 9-ти пунктах (КПП) на виїздах з міста;</w:t>
            </w:r>
          </w:p>
          <w:p>
            <w:pPr>
              <w:pStyle w:val="Normal"/>
              <w:suppressAutoHyphens w:val="true"/>
              <w:ind w:firstLine="510"/>
              <w:jc w:val="both"/>
              <w:textAlignment w:val="baseline"/>
              <w:rPr>
                <w:rFonts w:cs="Arial"/>
              </w:rPr>
            </w:pPr>
            <w:r>
              <w:rPr>
                <w:rFonts w:cs="Times New Roman" w:ascii="Times New Roman" w:hAnsi="Times New Roman"/>
                <w:sz w:val="27"/>
                <w:szCs w:val="27"/>
              </w:rPr>
              <w:t>- відповідно до розпорядження міського голови від 23.03.2020 № 98 «</w:t>
            </w:r>
            <w:r>
              <w:rPr>
                <w:rFonts w:cs="Times New Roman" w:ascii="Times New Roman" w:hAnsi="Times New Roman"/>
                <w:sz w:val="27"/>
                <w:szCs w:val="28"/>
              </w:rPr>
              <w:t xml:space="preserve">Про тимчасовий </w:t>
            </w:r>
            <w:r>
              <w:rPr>
                <w:rFonts w:cs="Times New Roman" w:ascii="Times New Roman" w:hAnsi="Times New Roman"/>
                <w:sz w:val="27"/>
                <w:szCs w:val="27"/>
              </w:rPr>
              <w:t>оперативний центр щодо забезпечення комунікації з громадянами на час карантинного режиму, пов’язаного з поширенням</w:t>
            </w:r>
            <w:r>
              <w:rPr>
                <w:rFonts w:cs="Arial"/>
                <w:szCs w:val="28"/>
              </w:rPr>
              <w:t xml:space="preserve"> </w:t>
            </w:r>
            <w:r>
              <w:rPr>
                <w:rFonts w:cs="Times New Roman" w:ascii="Times New Roman" w:hAnsi="Times New Roman"/>
                <w:sz w:val="27"/>
                <w:szCs w:val="28"/>
              </w:rPr>
              <w:t>коронавірусу COVID-19</w:t>
            </w:r>
            <w:r>
              <w:rPr>
                <w:rFonts w:cs="Times New Roman" w:ascii="Times New Roman" w:hAnsi="Times New Roman"/>
                <w:sz w:val="27"/>
                <w:szCs w:val="27"/>
              </w:rPr>
              <w:t>» з 24 березня до 31 травня цього року при виконавчому комітеті міської ради працював тимчасовий оперативний центр, який створений з метою забезпечення оперативної комунікації з населенням Луцької об’єднаної територіальної громади на час карантинного режиму, пов’язаного з поширенням коронавірусу COVID -19, організації адресної допомоги окремим категоріям громадян.</w:t>
            </w:r>
          </w:p>
          <w:p>
            <w:pPr>
              <w:pStyle w:val="Normal"/>
              <w:suppressAutoHyphens w:val="true"/>
              <w:ind w:firstLine="510"/>
              <w:jc w:val="both"/>
              <w:textAlignment w:val="baseline"/>
              <w:rPr>
                <w:rFonts w:cs="Arial"/>
              </w:rPr>
            </w:pPr>
            <w:r>
              <w:rPr>
                <w:rFonts w:cs="Times New Roman" w:ascii="Times New Roman" w:hAnsi="Times New Roman"/>
                <w:sz w:val="27"/>
                <w:szCs w:val="27"/>
              </w:rPr>
              <w:t>Для формування адресної допомоги продуктовими наборами мешканцям міста, долучилися такі суб’єкти підприємництва: волинська фондова біржа, мережа продовольчих магазинів АТБ -Маркет, магазини торгової мережі ТзОВ «Гіппо» (мережа гуртівень «ПАККО», супермаркети «Вопак»), магазини торгівельної мережі «Наш край», магазин «Домашній» та фізичні особи-підприємці міста.</w:t>
            </w:r>
          </w:p>
          <w:p>
            <w:pPr>
              <w:pStyle w:val="Normal"/>
              <w:suppressAutoHyphens w:val="true"/>
              <w:ind w:firstLine="510"/>
              <w:jc w:val="both"/>
              <w:textAlignment w:val="baseline"/>
              <w:rPr>
                <w:rFonts w:cs="Arial"/>
              </w:rPr>
            </w:pPr>
            <w:r>
              <w:rPr>
                <w:rFonts w:cs="Times New Roman" w:ascii="Times New Roman" w:hAnsi="Times New Roman"/>
                <w:sz w:val="27"/>
                <w:szCs w:val="27"/>
              </w:rPr>
              <w:t xml:space="preserve">Довідково: операторами оперативного центру прийнято 3 285 звернень. З них: 2 913 (88,7%) – прохання у забезпеченні продуктовим набором, 372 (11,3%) – консультації різного характеру (отримання інформації щодо ремонту побутової техніки під час карантину, надання контактних телефонів продуктових та продовольчих магазинів для замовлення доставки товарів, скарги на порушення карантинного режиму, проведення дезінфекції під’їздів будинків та дворів, роботи транспорту, запису до сімейного лікаря тощо).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ascii="Times New Roman" w:hAnsi="Times New Roman" w:cs="Times New Roman"/>
                <w:bCs/>
                <w:sz w:val="27"/>
                <w:szCs w:val="27"/>
              </w:rPr>
            </w:pPr>
            <w:r>
              <w:rPr>
                <w:rFonts w:cs="Times New Roman" w:ascii="Times New Roman" w:hAnsi="Times New Roman"/>
                <w:bCs/>
                <w:sz w:val="27"/>
                <w:szCs w:val="27"/>
              </w:rPr>
            </w:r>
          </w:p>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spacing w:before="0" w:after="26"/>
              <w:jc w:val="both"/>
              <w:textAlignment w:val="baseline"/>
              <w:rPr>
                <w:rFonts w:cs="Arial"/>
              </w:rPr>
            </w:pPr>
            <w:r>
              <w:rPr>
                <w:rFonts w:cs="Times New Roman" w:ascii="Times New Roman" w:hAnsi="Times New Roman"/>
                <w:sz w:val="27"/>
                <w:szCs w:val="27"/>
              </w:rPr>
              <w:t>Проведення організаційно-освітніх заходів, спрямованих на підвищення фахового рівня знань: семінарів, навчань, тренінгів для суб’єктів господарювання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75"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Організовано 2 інформаційні семінари для бізнесу щодо тендерного законодавства та відкриття власної справи для 50 осіб. На 4-х розширених засіданнях Координаційної ради з питань розвитку малого та середнього підприємництва при Луцькій міській раді подавався навчальний матеріал для бізнесу з питань діяльності, змін до чинного законодавства. Надано сприяння щодо участі суб’єктів бізнесу у всеукраїнському вебінарі «Рада бізнес-омбудсмена – реальні кейси захисту бізнесу у державних органах» щодо ознайомлення з інструментами представництва та захисту бізнесу. Центром розвитку підприємництва Луцького міського центру зайнятості проведено 22 навчальних заходи для 274 суб’єктів підприємництва. ГУ ДПС у Волинській області проведено 33 семінари та практикуми для підприємців –  платників податків. </w:t>
            </w:r>
          </w:p>
        </w:tc>
      </w:tr>
      <w:tr>
        <w:trPr>
          <w:trHeight w:val="267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spacing w:val="-8"/>
              </w:rPr>
            </w:pPr>
            <w:r>
              <w:rPr>
                <w:rFonts w:cs="Times New Roman" w:ascii="Times New Roman" w:hAnsi="Times New Roman"/>
                <w:spacing w:val="-8"/>
                <w:sz w:val="27"/>
                <w:szCs w:val="27"/>
              </w:rPr>
              <w:t>Забезпечення високого правового рівня захисту прав споживачів, проведення консультативно-роз’яснювальної роботи з питань здійснення господарської діяльності у сфері торгівлі та послуг.</w:t>
            </w:r>
          </w:p>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pacing w:val="-8"/>
                <w:sz w:val="27"/>
                <w:szCs w:val="27"/>
              </w:rPr>
              <w:t>Здійснення контролю за дотриманням законодавства щодо захисту прав споживачів.</w:t>
            </w:r>
            <w:r>
              <w:rPr>
                <w:rFonts w:cs="Times New Roman" w:ascii="Times New Roman" w:hAnsi="Times New Roman"/>
                <w:sz w:val="27"/>
                <w:szCs w:val="27"/>
              </w:rPr>
              <w:t xml:space="preserve">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464"/>
              <w:jc w:val="both"/>
              <w:textAlignment w:val="baseline"/>
              <w:rPr>
                <w:rFonts w:cs="Arial"/>
              </w:rPr>
            </w:pPr>
            <w:r>
              <w:rPr>
                <w:rFonts w:cs="Times New Roman" w:ascii="Times New Roman" w:hAnsi="Times New Roman"/>
                <w:sz w:val="27"/>
                <w:szCs w:val="27"/>
              </w:rPr>
              <w:t>Протягом 2020 року головним управлінням Держпродспоживслужби у Волинській області перевірено 76 об`єктів торгівлі та надання послуг у м. Луцьку та населених пунктах Прилуцького старостинського округу. За результатами контролюючих заходів 20 суб’єктам господарювання видано приписи щодо усунення встановлених порушень у сфері захисту споживачів. Від споживачів м. Луцька та населених пунктів Прилуцького старостинського округу до державного органу надійшло 100 заяв, скарг та звернень. За результатами розгляду скарг споживачам повернено коштів на загальну суму понад 85,0 тис. гривень. Впродовж 2020 року управлінням Держпродспоживслужби на особистому прийомі та засобами дистанційного зв’язку споживачам надано 156 консультацій. Управлінням розвитку підприємництва та реклами постійно надавались індивідуальні консультації з питань захисту прав споживачів (всього протягом року надано 105 консультацій).</w:t>
            </w:r>
          </w:p>
        </w:tc>
      </w:tr>
      <w:tr>
        <w:trPr>
          <w:trHeight w:val="7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ascii="Times New Roman" w:hAnsi="Times New Roman" w:cs="Times New Roman"/>
                <w:sz w:val="27"/>
                <w:szCs w:val="27"/>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795" w:leader="none"/>
              </w:tabs>
              <w:suppressAutoHyphens w:val="true"/>
              <w:jc w:val="both"/>
              <w:textAlignment w:val="baseline"/>
              <w:rPr>
                <w:rFonts w:cs="Arial"/>
              </w:rPr>
            </w:pPr>
            <w:r>
              <w:rPr>
                <w:rFonts w:cs="Times New Roman" w:ascii="Times New Roman" w:hAnsi="Times New Roman"/>
                <w:sz w:val="27"/>
                <w:szCs w:val="27"/>
              </w:rPr>
              <w:t>Посилення контролю за якістю товарів і послуг, санітарно-гігієнічними умовами їх продажу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Згідно з інформацією Головного управління Держпродспоживслужби у Волинській області протягом 2020 року у місті Луцьку проведено 15 заходів державного нагляду (контролю) за дотриманням законодавства у сфері безпечності та якості харчових продуктів. У с. Зміїнець було здійснено 3 позапланових інспектування. За результатами проведених заходів зроблено 7 письмових попереджень. У м. Луцьку перевірено 1755 об’єктів торгівлі та сфери послуг щодо дотримання обмежувальних протиепідемічних заходів, було складено 200 протоколів, сума штрафних санкцій становила 24,3 тис. гривень.</w:t>
            </w:r>
          </w:p>
        </w:tc>
      </w:tr>
      <w:tr>
        <w:trPr>
          <w:trHeight w:val="258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10.</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виставок, ярмарків товарів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Протягом року періодично функціонував ярмарок народних промислів на Театральному майдані (вул. Лесі Українки), який значно розширювався у період Новорічних та Різдвяних свят.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На початку літнього періоду було проведено 7 ярмарків меду та продукції бджільництва. Для проведення щотижневих фермерських ярмарків с/г продукції у Луцьку визначено 2 місця поруч з РАЦСом на просп. Соборності, на парковці на вул. Глушець.</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Розміщено 39 пунктів продажу новорічних ялинок.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зв’язку із запровадженням карантину, з метою запобігання виникнення та поширення коронавірусу COVID-19 у місті Луцьку та Прилуцькому старостинському окрузі ряд заходів, які щорічно відбувалися в нашому місті, було скасовано.</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Розміщення зовнішньої та внутрішньої реклами товарів вітчизняних виробників в закладах торгівлі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464"/>
              <w:jc w:val="both"/>
              <w:textAlignment w:val="baseline"/>
              <w:rPr>
                <w:rFonts w:cs="Arial"/>
              </w:rPr>
            </w:pPr>
            <w:r>
              <w:rPr>
                <w:rFonts w:cs="Times New Roman" w:ascii="Times New Roman" w:hAnsi="Times New Roman"/>
                <w:bCs/>
                <w:sz w:val="27"/>
                <w:szCs w:val="27"/>
              </w:rPr>
              <w:t xml:space="preserve">В закладах торгівлі широко використовувалися рекламні засоби товаровиробників, які покликані стимулювати споживачів до купівлі товарів вітчизняного виробництва (рекламні буклети, рекламні стійки, аудіореклама тощо). На засобах зовнішньої реклами розміщувалася інформація про товари, послуги, акційні знижки. </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Основні показники розвитку підприємництва Луцька у 2017 - 2019 роках</w:t>
      </w:r>
    </w:p>
    <w:p>
      <w:pPr>
        <w:pStyle w:val="Normal"/>
        <w:tabs>
          <w:tab w:val="clear" w:pos="709"/>
          <w:tab w:val="left" w:pos="540" w:leader="none"/>
          <w:tab w:val="left" w:pos="1080" w:leader="none"/>
        </w:tabs>
        <w:suppressAutoHyphens w:val="true"/>
        <w:jc w:val="center"/>
        <w:textAlignment w:val="baseline"/>
        <w:rPr>
          <w:rFonts w:cs="Arial"/>
        </w:rPr>
      </w:pPr>
      <w:r>
        <w:rPr>
          <w:rFonts w:eastAsia="Times New Roman" w:cs="Times New Roman" w:ascii="Times New Roman" w:hAnsi="Times New Roman"/>
          <w:b/>
          <w:sz w:val="27"/>
          <w:szCs w:val="27"/>
        </w:rPr>
        <w:t xml:space="preserve"> </w:t>
      </w:r>
      <w:r>
        <w:rPr>
          <w:rFonts w:cs="Times New Roman" w:ascii="Times New Roman" w:hAnsi="Times New Roman"/>
          <w:b/>
          <w:sz w:val="27"/>
          <w:szCs w:val="27"/>
        </w:rPr>
        <w:t xml:space="preserve">(за останніми даними статистики – грудень 2020 року) </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8222"/>
        <w:gridCol w:w="2816"/>
        <w:gridCol w:w="2431"/>
        <w:gridCol w:w="2406"/>
      </w:tblGrid>
      <w:tr>
        <w:trPr/>
        <w:tc>
          <w:tcPr>
            <w:tcW w:w="8222" w:type="dxa"/>
            <w:vMerge w:val="restart"/>
            <w:tcBorders>
              <w:top w:val="single" w:sz="4" w:space="0" w:color="000000"/>
              <w:left w:val="single" w:sz="4" w:space="0" w:color="000000"/>
              <w:bottom w:val="single" w:sz="6" w:space="0" w:color="000000"/>
            </w:tcBorders>
            <w:shd w:color="auto" w:fill="auto" w:val="clear"/>
            <w:vAlign w:val="center"/>
          </w:tcPr>
          <w:p>
            <w:pPr>
              <w:pStyle w:val="Normal"/>
              <w:suppressAutoHyphens w:val="true"/>
              <w:jc w:val="center"/>
              <w:textAlignment w:val="baseline"/>
              <w:rPr>
                <w:rFonts w:cs="Arial"/>
              </w:rPr>
            </w:pPr>
            <w:r>
              <w:rPr>
                <w:rFonts w:eastAsia="Times New Roman" w:cs="Times New Roman" w:ascii="Times New Roman" w:hAnsi="Times New Roman"/>
                <w:b/>
                <w:bCs/>
                <w:iCs/>
                <w:sz w:val="27"/>
                <w:szCs w:val="27"/>
                <w:lang w:eastAsia="uk-UA"/>
              </w:rPr>
              <w:t>Назва показника</w:t>
            </w:r>
          </w:p>
        </w:tc>
        <w:tc>
          <w:tcPr>
            <w:tcW w:w="765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
                <w:bCs/>
                <w:iCs/>
                <w:sz w:val="27"/>
                <w:szCs w:val="27"/>
                <w:lang w:eastAsia="uk-UA"/>
              </w:rPr>
              <w:t>Значення за роками</w:t>
            </w:r>
          </w:p>
        </w:tc>
      </w:tr>
      <w:tr>
        <w:trPr/>
        <w:tc>
          <w:tcPr>
            <w:tcW w:w="8222" w:type="dxa"/>
            <w:vMerge w:val="continue"/>
            <w:tcBorders>
              <w:top w:val="single" w:sz="4" w:space="0" w:color="000000"/>
              <w:left w:val="single" w:sz="4" w:space="0" w:color="000000"/>
              <w:bottom w:val="single" w:sz="6" w:space="0" w:color="000000"/>
            </w:tcBorders>
            <w:shd w:color="auto" w:fill="auto" w:val="clear"/>
            <w:vAlign w:val="center"/>
          </w:tcPr>
          <w:p>
            <w:pPr>
              <w:pStyle w:val="Normal"/>
              <w:suppressAutoHyphens w:val="true"/>
              <w:snapToGrid w:val="false"/>
              <w:textAlignment w:val="baseline"/>
              <w:rPr>
                <w:rFonts w:ascii="Times New Roman" w:hAnsi="Times New Roman" w:eastAsia="Times New Roman" w:cs="Times New Roman"/>
                <w:sz w:val="26"/>
                <w:szCs w:val="26"/>
                <w:lang w:eastAsia="uk-UA"/>
              </w:rPr>
            </w:pPr>
            <w:r>
              <w:rPr>
                <w:rFonts w:eastAsia="Times New Roman" w:cs="Times New Roman" w:ascii="Times New Roman" w:hAnsi="Times New Roman"/>
                <w:sz w:val="26"/>
                <w:szCs w:val="26"/>
                <w:lang w:eastAsia="uk-UA"/>
              </w:rPr>
            </w:r>
          </w:p>
        </w:tc>
        <w:tc>
          <w:tcPr>
            <w:tcW w:w="281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eastAsia="Times New Roman" w:cs="Times New Roman" w:ascii="Times New Roman" w:hAnsi="Times New Roman"/>
                <w:b/>
                <w:bCs/>
                <w:iCs/>
                <w:sz w:val="27"/>
                <w:szCs w:val="27"/>
                <w:lang w:eastAsia="uk-UA"/>
              </w:rPr>
              <w:t>2017</w:t>
            </w:r>
          </w:p>
        </w:tc>
        <w:tc>
          <w:tcPr>
            <w:tcW w:w="2431"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
                <w:bCs/>
                <w:iCs/>
                <w:sz w:val="27"/>
                <w:szCs w:val="27"/>
                <w:lang w:eastAsia="uk-UA"/>
              </w:rPr>
              <w:t>2018</w:t>
            </w:r>
          </w:p>
        </w:tc>
        <w:tc>
          <w:tcPr>
            <w:tcW w:w="240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eastAsia="Times New Roman" w:cs="Times New Roman" w:ascii="Times New Roman" w:hAnsi="Times New Roman"/>
                <w:b/>
                <w:bCs/>
                <w:iCs/>
                <w:sz w:val="27"/>
                <w:szCs w:val="27"/>
                <w:lang w:eastAsia="uk-UA"/>
              </w:rPr>
              <w:t>2019</w:t>
            </w:r>
          </w:p>
        </w:tc>
      </w:tr>
      <w:tr>
        <w:trPr/>
        <w:tc>
          <w:tcPr>
            <w:tcW w:w="8222"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Кількість суб’єктів підприємництва, одиниць:</w:t>
              <w:br/>
              <w:t>- юридичних осіб;</w:t>
              <w:br/>
              <w:t>- фізичних осіб-підприємців</w:t>
            </w:r>
          </w:p>
        </w:tc>
        <w:tc>
          <w:tcPr>
            <w:tcW w:w="281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14 469</w:t>
              <w:br/>
              <w:t>2 745</w:t>
              <w:br/>
              <w:t>11 724</w:t>
            </w:r>
          </w:p>
        </w:tc>
        <w:tc>
          <w:tcPr>
            <w:tcW w:w="2431"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12 992</w:t>
              <w:br/>
              <w:t>2 849</w:t>
              <w:br/>
              <w:t>10 143</w:t>
            </w:r>
          </w:p>
        </w:tc>
        <w:tc>
          <w:tcPr>
            <w:tcW w:w="240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14 050</w:t>
              <w:br/>
              <w:t>3 094</w:t>
              <w:br/>
              <w:t>10 956</w:t>
            </w:r>
          </w:p>
        </w:tc>
      </w:tr>
      <w:tr>
        <w:trPr/>
        <w:tc>
          <w:tcPr>
            <w:tcW w:w="8222"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both"/>
              <w:textAlignment w:val="baseline"/>
              <w:rPr>
                <w:rFonts w:cs="Arial"/>
              </w:rPr>
            </w:pPr>
            <w:r>
              <w:rPr>
                <w:rFonts w:eastAsia="Times New Roman" w:cs="Times New Roman" w:ascii="Times New Roman" w:hAnsi="Times New Roman"/>
                <w:sz w:val="27"/>
                <w:szCs w:val="27"/>
                <w:lang w:eastAsia="uk-UA"/>
              </w:rPr>
              <w:t>Питома вага МСП у загальній кількості cуб’єктів</w:t>
              <w:br/>
              <w:t>підприємництва, одиниць</w:t>
            </w:r>
          </w:p>
        </w:tc>
        <w:tc>
          <w:tcPr>
            <w:tcW w:w="281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 xml:space="preserve">99,96 % </w:t>
            </w:r>
          </w:p>
        </w:tc>
        <w:tc>
          <w:tcPr>
            <w:tcW w:w="2431"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 xml:space="preserve">99,94 % </w:t>
            </w:r>
          </w:p>
        </w:tc>
        <w:tc>
          <w:tcPr>
            <w:tcW w:w="240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99,96 %</w:t>
            </w:r>
          </w:p>
        </w:tc>
      </w:tr>
      <w:tr>
        <w:trPr/>
        <w:tc>
          <w:tcPr>
            <w:tcW w:w="8222"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Кількість зайнятих працівників, тис. осіб:</w:t>
              <w:br/>
              <w:t>- у юридичних осіб:</w:t>
              <w:br/>
              <w:t>- у фізичних осіб-підприємців:</w:t>
            </w:r>
          </w:p>
        </w:tc>
        <w:tc>
          <w:tcPr>
            <w:tcW w:w="281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71,8</w:t>
              <w:br/>
              <w:t>50,8</w:t>
              <w:br/>
              <w:t>21,0</w:t>
            </w:r>
          </w:p>
        </w:tc>
        <w:tc>
          <w:tcPr>
            <w:tcW w:w="2431"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75,9</w:t>
              <w:br/>
              <w:t>54,7</w:t>
              <w:br/>
              <w:t>21,2</w:t>
            </w:r>
          </w:p>
        </w:tc>
        <w:tc>
          <w:tcPr>
            <w:tcW w:w="240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80,4</w:t>
              <w:br/>
              <w:t>57,6</w:t>
              <w:br/>
              <w:t>22,8</w:t>
            </w:r>
          </w:p>
        </w:tc>
      </w:tr>
      <w:tr>
        <w:trPr/>
        <w:tc>
          <w:tcPr>
            <w:tcW w:w="8222"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NewRomanPSMT" w:ascii="TimesNewRomanPSMT" w:hAnsi="TimesNewRomanPSMT"/>
                <w:sz w:val="26"/>
                <w:lang w:eastAsia="uk-UA"/>
              </w:rPr>
              <w:t>Обсяг реалізованої продукції (товарів, послуг) без ПДВ,</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млн. грн:</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 юридичними особами</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 фізичними особами-підприємцями</w:t>
            </w:r>
          </w:p>
        </w:tc>
        <w:tc>
          <w:tcPr>
            <w:tcW w:w="281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textAlignment w:val="baseline"/>
              <w:rPr>
                <w:rFonts w:cs="Arial"/>
              </w:rPr>
            </w:pPr>
            <w:r>
              <w:rPr>
                <w:rFonts w:cs="Arial"/>
              </w:rPr>
            </w:r>
          </w:p>
          <w:p>
            <w:pPr>
              <w:pStyle w:val="Normal"/>
              <w:suppressAutoHyphens w:val="true"/>
              <w:textAlignment w:val="baseline"/>
              <w:rPr>
                <w:rFonts w:cs="Arial"/>
              </w:rPr>
            </w:pPr>
            <w:r>
              <w:rPr>
                <w:rFonts w:eastAsia="Times New Roman" w:cs="TimesNewRomanPSMT" w:ascii="TimesNewRomanPSMT" w:hAnsi="TimesNewRomanPSMT"/>
                <w:sz w:val="26"/>
                <w:lang w:eastAsia="uk-UA"/>
              </w:rPr>
              <w:t>121 054,6</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115 785,6</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5 269,0</w:t>
            </w:r>
          </w:p>
        </w:tc>
        <w:tc>
          <w:tcPr>
            <w:tcW w:w="2431"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textAlignment w:val="baseline"/>
              <w:rPr>
                <w:rFonts w:cs="Arial"/>
              </w:rPr>
            </w:pPr>
            <w:r>
              <w:rPr>
                <w:rFonts w:cs="Arial"/>
              </w:rPr>
            </w:r>
          </w:p>
          <w:p>
            <w:pPr>
              <w:pStyle w:val="Normal"/>
              <w:suppressAutoHyphens w:val="true"/>
              <w:textAlignment w:val="baseline"/>
              <w:rPr>
                <w:rFonts w:cs="Arial"/>
              </w:rPr>
            </w:pPr>
            <w:r>
              <w:rPr>
                <w:rFonts w:eastAsia="Times New Roman" w:cs="TimesNewRomanPSMT" w:ascii="TimesNewRomanPSMT" w:hAnsi="TimesNewRomanPSMT"/>
                <w:sz w:val="26"/>
                <w:lang w:eastAsia="uk-UA"/>
              </w:rPr>
              <w:t>134 880,7</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128 746,8</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6 133,9</w:t>
            </w:r>
          </w:p>
        </w:tc>
        <w:tc>
          <w:tcPr>
            <w:tcW w:w="240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snapToGrid w:val="false"/>
              <w:textAlignment w:val="baseline"/>
              <w:rPr>
                <w:rFonts w:cs="Arial"/>
              </w:rPr>
            </w:pPr>
            <w:r>
              <w:rPr>
                <w:rFonts w:cs="Arial"/>
              </w:rPr>
            </w:r>
          </w:p>
          <w:p>
            <w:pPr>
              <w:pStyle w:val="Normal"/>
              <w:suppressAutoHyphens w:val="true"/>
              <w:textAlignment w:val="baseline"/>
              <w:rPr>
                <w:rFonts w:cs="Arial"/>
              </w:rPr>
            </w:pPr>
            <w:r>
              <w:rPr>
                <w:rFonts w:eastAsia="Times New Roman" w:cs="TimesNewRomanPSMT" w:ascii="TimesNewRomanPSMT" w:hAnsi="TimesNewRomanPSMT"/>
                <w:sz w:val="26"/>
                <w:lang w:eastAsia="uk-UA"/>
              </w:rPr>
              <w:t>145 157,7</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138 523,7</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6634,0</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1.3 Інвестиційна діяльність</w:t>
      </w:r>
    </w:p>
    <w:tbl>
      <w:tblPr>
        <w:tblW w:w="15875"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7"/>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textAlignment w:val="baseline"/>
              <w:rPr>
                <w:rFonts w:cs="Arial"/>
              </w:rPr>
            </w:pPr>
            <w:r>
              <w:rPr>
                <w:rFonts w:cs="Times New Roman" w:ascii="Times New Roman" w:hAnsi="Times New Roman"/>
                <w:sz w:val="27"/>
                <w:szCs w:val="27"/>
              </w:rPr>
              <w:t>Завершення реалізації спільного з Європейським банком реконструкції та розвитку «Проєкту реконструкції системи централізованого теплопостачання у м. Луцьк»</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Проєкт реконструкції системи централізованого теплопостачання у м. Луцьк » перебуває на завершальному етапі.</w:t>
            </w:r>
            <w:r>
              <w:rPr>
                <w:rFonts w:eastAsia="Times New Roman" w:cs="Times New Roman" w:ascii="Times New Roman" w:hAnsi="Times New Roman"/>
                <w:sz w:val="27"/>
                <w:szCs w:val="27"/>
              </w:rPr>
              <w:t xml:space="preserve"> Починаючи з 2018 року залучено 4,62 млн євро кредиту та 1,3 млн євро гранту.</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xml:space="preserve">За контрактом № 1 </w:t>
            </w:r>
            <w:r>
              <w:rPr>
                <w:rFonts w:eastAsia="TimesNewRomanPS-BoldMT" w:cs="Times New Roman" w:ascii="Times New Roman" w:hAnsi="Times New Roman"/>
                <w:bCs/>
                <w:sz w:val="28"/>
                <w:szCs w:val="28"/>
              </w:rPr>
              <w:t>«</w:t>
            </w:r>
            <w:r>
              <w:rPr>
                <w:rFonts w:eastAsia="TimesNewRomanPS-BoldMT" w:cs="Times New Roman" w:ascii="Times New Roman" w:hAnsi="Times New Roman"/>
                <w:sz w:val="27"/>
                <w:szCs w:val="27"/>
              </w:rPr>
              <w:t>Нові теплові пункти у житлових будинках</w:t>
            </w:r>
            <w:r>
              <w:rPr>
                <w:rFonts w:cs="Times New Roman" w:ascii="Times New Roman" w:hAnsi="Times New Roman"/>
                <w:sz w:val="27"/>
                <w:szCs w:val="27"/>
              </w:rPr>
              <w:t>»</w:t>
            </w:r>
            <w:r>
              <w:rPr>
                <w:rFonts w:eastAsia="TimesNewRomanPS-BoldMT" w:cs="Times New Roman" w:ascii="Times New Roman" w:hAnsi="Times New Roman"/>
                <w:sz w:val="27"/>
                <w:szCs w:val="27"/>
              </w:rPr>
              <w:t xml:space="preserve"> (станом на кінець звітного періоду одержано</w:t>
            </w:r>
            <w:r>
              <w:rPr>
                <w:rFonts w:cs="Times New Roman" w:ascii="Times New Roman" w:hAnsi="Times New Roman"/>
                <w:sz w:val="27"/>
                <w:szCs w:val="27"/>
              </w:rPr>
              <w:t xml:space="preserve"> 160 ІТП з 254 ( 53%) від усієї кількості, змонтовано 82 підстанції, передано в монтаж 88 ІТП.</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xml:space="preserve">28 квітня 2020 отримано четверту вибірку коштів та здійснено розрахунки з Підрядником за Контрактом </w:t>
            </w:r>
            <w:r>
              <w:rPr>
                <w:rFonts w:eastAsia="TimesNewRomanPS-BoldMT" w:cs="Times New Roman" w:ascii="Times New Roman" w:hAnsi="Times New Roman"/>
                <w:sz w:val="27"/>
                <w:szCs w:val="27"/>
              </w:rPr>
              <w:t>№ 2b «Заміна котлів (реконструкція котелень)».</w:t>
            </w:r>
            <w:r>
              <w:rPr>
                <w:rFonts w:eastAsia="Times New Roman" w:cs="Times New Roman" w:ascii="Times New Roman" w:hAnsi="Times New Roman"/>
                <w:sz w:val="27"/>
                <w:szCs w:val="27"/>
              </w:rPr>
              <w:t xml:space="preserve"> </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xml:space="preserve">Лот </w:t>
            </w:r>
            <w:r>
              <w:rPr>
                <w:rFonts w:eastAsia="TimesNewRomanPS-BoldMT" w:cs="Times New Roman" w:ascii="Times New Roman" w:hAnsi="Times New Roman"/>
                <w:sz w:val="27"/>
                <w:szCs w:val="27"/>
              </w:rPr>
              <w:t>№ 3а «Модернізація котелень</w:t>
            </w:r>
            <w:r>
              <w:rPr>
                <w:rFonts w:eastAsia="TimesNewRomanPS-BoldMT" w:cs="Times New Roman" w:ascii="Times New Roman" w:hAnsi="Times New Roman"/>
                <w:sz w:val="27"/>
                <w:szCs w:val="27"/>
                <w:lang w:val="ru-RU"/>
              </w:rPr>
              <w:t xml:space="preserve"> </w:t>
            </w:r>
            <w:r>
              <w:rPr>
                <w:rFonts w:eastAsia="TimesNewRomanPS-BoldMT" w:cs="Times New Roman" w:ascii="Times New Roman" w:hAnsi="Times New Roman"/>
                <w:sz w:val="27"/>
                <w:szCs w:val="27"/>
              </w:rPr>
              <w:t>–</w:t>
            </w:r>
            <w:r>
              <w:rPr>
                <w:rFonts w:eastAsia="TimesNewRomanPS-BoldMT" w:cs="Times New Roman" w:ascii="Times New Roman" w:hAnsi="Times New Roman"/>
                <w:sz w:val="27"/>
                <w:szCs w:val="27"/>
                <w:lang w:val="ru-RU"/>
              </w:rPr>
              <w:t xml:space="preserve"> </w:t>
            </w:r>
            <w:r>
              <w:rPr>
                <w:rFonts w:eastAsia="TimesNewRomanPS-BoldMT" w:cs="Times New Roman" w:ascii="Times New Roman" w:hAnsi="Times New Roman"/>
                <w:sz w:val="27"/>
                <w:szCs w:val="27"/>
              </w:rPr>
              <w:t>заміна пальників у 18 водогрійних котлах»: розпочато підготовку проєктно-кошторисної документації.</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xml:space="preserve">Лот </w:t>
            </w:r>
            <w:r>
              <w:rPr>
                <w:rFonts w:eastAsia="TimesNewRomanPS-BoldMT" w:cs="Times New Roman" w:ascii="Times New Roman" w:hAnsi="Times New Roman"/>
                <w:sz w:val="27"/>
                <w:szCs w:val="27"/>
              </w:rPr>
              <w:t>№ 3b «Модернізація котелень</w:t>
            </w:r>
            <w:r>
              <w:rPr>
                <w:rFonts w:eastAsia="TimesNewRomanPS-BoldMT" w:cs="Times New Roman" w:ascii="Times New Roman" w:hAnsi="Times New Roman"/>
                <w:sz w:val="27"/>
                <w:szCs w:val="27"/>
                <w:lang w:val="ru-RU"/>
              </w:rPr>
              <w:t xml:space="preserve"> </w:t>
            </w:r>
            <w:r>
              <w:rPr>
                <w:rFonts w:eastAsia="TimesNewRomanPS-BoldMT" w:cs="Times New Roman" w:ascii="Times New Roman" w:hAnsi="Times New Roman"/>
                <w:sz w:val="27"/>
                <w:szCs w:val="27"/>
              </w:rPr>
              <w:t>–</w:t>
            </w:r>
            <w:r>
              <w:rPr>
                <w:rFonts w:eastAsia="TimesNewRomanPS-BoldMT" w:cs="Times New Roman" w:ascii="Times New Roman" w:hAnsi="Times New Roman"/>
                <w:sz w:val="27"/>
                <w:szCs w:val="27"/>
                <w:lang w:val="ru-RU"/>
              </w:rPr>
              <w:t xml:space="preserve"> </w:t>
            </w:r>
            <w:r>
              <w:rPr>
                <w:rFonts w:eastAsia="TimesNewRomanPS-BoldMT" w:cs="Times New Roman" w:ascii="Times New Roman" w:hAnsi="Times New Roman"/>
                <w:sz w:val="27"/>
                <w:szCs w:val="27"/>
              </w:rPr>
              <w:t xml:space="preserve">заміна великих насосів»: 15.12.2020 відбувся другий етап відкриття тендерних пропозицій, який було проведено в електронній формі за допомогою </w:t>
            </w:r>
            <w:r>
              <w:rPr>
                <w:rFonts w:eastAsia="TimesNewRomanPS-BoldMT" w:cs="Times New Roman" w:ascii="Times New Roman" w:hAnsi="Times New Roman"/>
                <w:sz w:val="27"/>
                <w:szCs w:val="28"/>
                <w:shd w:fill="FFFFFF" w:val="clear"/>
              </w:rPr>
              <w:t xml:space="preserve">Huddle (захищений портал для хмарної співпраці, що використовується ЄБРР). </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Лот</w:t>
            </w:r>
            <w:r>
              <w:rPr>
                <w:rFonts w:eastAsia="TimesNewRomanPS-BoldMT" w:cs="Times New Roman" w:ascii="Times New Roman" w:hAnsi="Times New Roman"/>
                <w:sz w:val="27"/>
                <w:szCs w:val="27"/>
              </w:rPr>
              <w:t xml:space="preserve"> № 3c «Модернізація центральних теплових пунктів»: підготовлено </w:t>
            </w:r>
            <w:r>
              <w:rPr>
                <w:rFonts w:cs="Times New Roman" w:ascii="Times New Roman" w:hAnsi="Times New Roman"/>
                <w:sz w:val="27"/>
                <w:szCs w:val="27"/>
              </w:rPr>
              <w:t>тендерну документацію</w:t>
            </w:r>
            <w:r>
              <w:rPr>
                <w:rFonts w:eastAsia="TimesNewRomanPS-BoldMT" w:cs="Times New Roman" w:ascii="Times New Roman" w:hAnsi="Times New Roman"/>
                <w:sz w:val="27"/>
                <w:szCs w:val="28"/>
                <w:shd w:fill="FFFFFF" w:val="clear"/>
              </w:rPr>
              <w:t xml:space="preserve"> та відправлено на погодження Банком через ECEPP (Портал електронних закупівель клієнтів ЄБРР).</w:t>
            </w:r>
          </w:p>
          <w:p>
            <w:pPr>
              <w:pStyle w:val="Normal"/>
              <w:suppressAutoHyphens w:val="true"/>
              <w:snapToGrid w:val="false"/>
              <w:ind w:firstLine="510"/>
              <w:jc w:val="both"/>
              <w:textAlignment w:val="baseline"/>
              <w:rPr>
                <w:rFonts w:cs="Arial"/>
              </w:rPr>
            </w:pPr>
            <w:r>
              <w:rPr>
                <w:rFonts w:eastAsia="TimesNewRomanPS-BoldMT" w:cs="Times New Roman" w:ascii="Times New Roman" w:hAnsi="Times New Roman"/>
                <w:sz w:val="27"/>
                <w:szCs w:val="27"/>
              </w:rPr>
              <w:t>Лот № 7 «Система моніторингу та диспетч</w:t>
            </w:r>
            <w:r>
              <w:rPr>
                <w:rFonts w:eastAsia="TimesNewRomanPS-BoldMT" w:cs="Times New Roman" w:ascii="Times New Roman" w:hAnsi="Times New Roman"/>
                <w:sz w:val="27"/>
                <w:szCs w:val="27"/>
                <w:lang w:val="ru-RU"/>
              </w:rPr>
              <w:t>е</w:t>
            </w:r>
            <w:r>
              <w:rPr>
                <w:rFonts w:eastAsia="TimesNewRomanPS-BoldMT" w:cs="Times New Roman" w:ascii="Times New Roman" w:hAnsi="Times New Roman"/>
                <w:sz w:val="27"/>
                <w:szCs w:val="27"/>
              </w:rPr>
              <w:t>ризації (SCADA)»: з</w:t>
            </w:r>
            <w:r>
              <w:rPr>
                <w:rFonts w:cs="Times New Roman" w:ascii="Times New Roman" w:hAnsi="Times New Roman"/>
                <w:sz w:val="27"/>
                <w:szCs w:val="27"/>
              </w:rPr>
              <w:t xml:space="preserve">авершено збір вихідних даних та розпочато підготовку тендерної документації. </w:t>
            </w:r>
          </w:p>
          <w:p>
            <w:pPr>
              <w:pStyle w:val="Normal"/>
              <w:suppressAutoHyphens w:val="true"/>
              <w:snapToGrid w:val="false"/>
              <w:ind w:firstLine="510"/>
              <w:jc w:val="both"/>
              <w:textAlignment w:val="baseline"/>
              <w:rPr>
                <w:rFonts w:cs="Arial"/>
              </w:rPr>
            </w:pPr>
            <w:r>
              <w:rPr>
                <w:rFonts w:eastAsia="TimesNewRomanPS-BoldMT" w:cs="Times New Roman" w:ascii="Times New Roman" w:hAnsi="Times New Roman"/>
                <w:sz w:val="27"/>
                <w:szCs w:val="27"/>
              </w:rPr>
              <w:t>Всього з початку 2020 року в рамках проєкту отримано 548,3 тис. євро грантових та                   2 738,42 тис. євро кредитних коштів.</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2.</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both"/>
              <w:textAlignment w:val="baseline"/>
              <w:rPr>
                <w:rFonts w:cs="Arial"/>
                <w:spacing w:val="-4"/>
              </w:rPr>
            </w:pPr>
            <w:r>
              <w:rPr>
                <w:rFonts w:cs="Times New Roman" w:ascii="Times New Roman" w:hAnsi="Times New Roman"/>
                <w:spacing w:val="-4"/>
                <w:sz w:val="27"/>
                <w:szCs w:val="27"/>
              </w:rPr>
              <w:t>Завершення реалізації проєкту «Оновлення інфраструктури електротранспорту міста Луцька Волинської області» в рамках спільного з Європейським інвестиційним банком проєкту «Міський громадський транспорт України»</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10"/>
              <w:jc w:val="both"/>
              <w:textAlignment w:val="baseline"/>
              <w:rPr>
                <w:rFonts w:cs="Arial"/>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 xml:space="preserve">В рамках спільної з Європейським інвестиційним банком «Міський громадський транспорт України» </w:t>
            </w:r>
            <w:r>
              <w:rPr>
                <w:rFonts w:cs="Times New Roman" w:ascii="Times New Roman" w:hAnsi="Times New Roman"/>
                <w:bCs/>
                <w:sz w:val="27"/>
                <w:szCs w:val="27"/>
                <w:shd w:fill="FFFFFF" w:val="clear"/>
              </w:rPr>
              <w:t xml:space="preserve">реалізується підпроєкт «Оновлення інфраструктури електротранспорту міста Луцька Волинської області», який передбачає отримання </w:t>
            </w:r>
            <w:r>
              <w:rPr>
                <w:rFonts w:cs="Times New Roman" w:ascii="Times New Roman" w:hAnsi="Times New Roman"/>
                <w:sz w:val="27"/>
                <w:szCs w:val="27"/>
              </w:rPr>
              <w:t>4 916,0 тис. євро кредитних коштів.</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2020 року в рамках проєкту завершено проведення тендерних процедур закупівлі «Поставка 29 нових 12-метрових низькопідлогових тролейбусів, включаючи набір запасних частин та витратних матеріалів, набір обладнання та інструментів для обслуговування, ремонту та супутніх послуг».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27 квітня 2020 року з Дочірнім підприємством «Автоскладальний завод № 1» Публічного акціонерного товариства Автомобільна компанія «Богдан Моторс» підписано договір на постачання тролейбусів. Станом на 01.01.2021 отримано 2 одиниці рухомого складу з 29. Решту тролейбусів планується постачальником відвантажити у 2021 році.</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На 31.12.2020 отримано три транші позики загальною сумою 1,7 млн євро або 55,87 млн грн.</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1080" w:leader="none"/>
              </w:tabs>
              <w:suppressAutoHyphens w:val="true"/>
              <w:jc w:val="both"/>
              <w:textAlignment w:val="baseline"/>
              <w:rPr>
                <w:rFonts w:cs="Arial"/>
              </w:rPr>
            </w:pPr>
            <w:r>
              <w:rPr>
                <w:rFonts w:cs="Times New Roman" w:ascii="Times New Roman" w:hAnsi="Times New Roman"/>
                <w:bCs/>
                <w:sz w:val="27"/>
                <w:szCs w:val="27"/>
              </w:rPr>
              <w:t>Поглиблення існуючих контактів та налагодження нових зв’язків з міжнародними фінансовими організаціями та донорами (Європейський банк реконструкції та розвитку, Європейський інвестиційний банк, Світовий банк, GIZ та ін.).</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70" w:leader="none"/>
              </w:tabs>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Протягом року тривала співпраця з міжнародними фінансовими організаціями. </w:t>
            </w:r>
          </w:p>
          <w:p>
            <w:pPr>
              <w:pStyle w:val="Normal"/>
              <w:tabs>
                <w:tab w:val="clear" w:pos="709"/>
                <w:tab w:val="left" w:pos="570" w:leader="none"/>
              </w:tabs>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На стадії завершення реалізації перебуває спільний з Європейським банком реконструкції та розвитку «Проєкт реконструкції системи централізованого теплопостачання у м. Луцьк». Спільно з Європейським інвестиційним банком успішно реалізується підпроєкт «Оновлення інфраструктури електротранспорту міста Луцька Волинської області» в рамках проєкту «Міський громадський транспорт України». Міністерством інфраструктури України затверджено заявку міської громади на участь у проєкті «Міський громадський транспорт України ІІ» на закупівлю 30 додаткових тролейбусів. На етапі підготовки до підписання субкредитної угоди перебуває проєкт «Модернізація системи водопостачання та водовідведення м. Луцьк». </w:t>
            </w:r>
          </w:p>
          <w:p>
            <w:pPr>
              <w:pStyle w:val="Normal"/>
              <w:tabs>
                <w:tab w:val="clear" w:pos="709"/>
                <w:tab w:val="left" w:pos="570" w:leader="none"/>
              </w:tabs>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Триває співпраця з NEFCO: Наразі у гарячій фазі реалізація проєкту «Енергоефективність в громадських будівлях міста Луцька», напрацьовується наступний проєкт у галузі водопостачання та водовідведення. Ним передбачається заміна технологічного обладнання на 43 підвищувальних станціях, розташованих у місті: заміна насосного обладнання, запірної арматури, диспетчеризація, організація обліку води та електричної енергії,  організація комерційного обліку водопостачання в багатоквартирних житлових будинках, технічне переоснащення каналізаційних насосних станцій. Загальна вартість проєкту становитиме 1,8 млн євро. Кредит: 1,6 млн євро, грант: 0,2 млн євро.</w:t>
            </w:r>
          </w:p>
          <w:p>
            <w:pPr>
              <w:pStyle w:val="Normal"/>
              <w:tabs>
                <w:tab w:val="clear" w:pos="709"/>
                <w:tab w:val="left" w:pos="570" w:leader="none"/>
              </w:tabs>
              <w:suppressAutoHyphens w:val="true"/>
              <w:snapToGrid w:val="false"/>
              <w:ind w:firstLine="624"/>
              <w:jc w:val="both"/>
              <w:textAlignment w:val="baseline"/>
              <w:rPr>
                <w:rFonts w:cs="Arial"/>
              </w:rPr>
            </w:pPr>
            <w:r>
              <w:rPr>
                <w:rFonts w:cs="Times New Roman" w:ascii="Times New Roman" w:hAnsi="Times New Roman"/>
                <w:sz w:val="27"/>
                <w:szCs w:val="27"/>
              </w:rPr>
              <w:t>Разом з тим місто співпрацює з багатьма міжнародними організаціями – консультантами (Rambol, Egis, Sweco та інші). Дані компанії надають технічну підтримку під час реалізації міжнародних проєктів.</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both"/>
              <w:textAlignment w:val="baseline"/>
              <w:rPr>
                <w:rFonts w:cs="Arial"/>
              </w:rPr>
            </w:pPr>
            <w:r>
              <w:rPr>
                <w:rFonts w:cs="Times New Roman" w:ascii="Times New Roman" w:hAnsi="Times New Roman"/>
                <w:sz w:val="27"/>
                <w:szCs w:val="27"/>
              </w:rPr>
              <w:t>Реалізація частини інфраструктурних заходів проєкту «Модернізація системи водопостачання та водовідведення м. Луцьк» в рамках спільного з Європейським інвестиційним банком проєкту «Програма розвитку муніципальної інфраструктури України»</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10"/>
              <w:jc w:val="both"/>
              <w:textAlignment w:val="baseline"/>
              <w:rPr>
                <w:rFonts w:cs="Arial"/>
              </w:rPr>
            </w:pPr>
            <w:r>
              <w:rPr>
                <w:rFonts w:cs="Times New Roman" w:ascii="Times New Roman" w:hAnsi="Times New Roman"/>
                <w:bCs/>
                <w:sz w:val="27"/>
                <w:szCs w:val="27"/>
                <w:highlight w:val="white"/>
              </w:rPr>
              <w:t xml:space="preserve">Проєктом передбачено отримання понад 13,9 млн євро на комплексне оновлення та </w:t>
            </w:r>
            <w:r>
              <w:rPr>
                <w:rFonts w:cs="Times New Roman" w:ascii="Times New Roman" w:hAnsi="Times New Roman"/>
                <w:sz w:val="27"/>
                <w:szCs w:val="27"/>
                <w:highlight w:val="white"/>
              </w:rPr>
              <w:t xml:space="preserve">модернізацію технологічної системи водопідготовки, реконструкцію каналізаційних очисних споруд та заміну зношеної техніки на нову. </w:t>
            </w:r>
            <w:r>
              <w:rPr>
                <w:rFonts w:cs="Times New Roman" w:ascii="Times New Roman" w:hAnsi="Times New Roman"/>
                <w:sz w:val="27"/>
                <w:szCs w:val="27"/>
              </w:rPr>
              <w:t>Фінансування даного проєкту здійснюватиметься шляхом укладення субкредитної угоди з МФУ (</w:t>
            </w:r>
            <w:r>
              <w:rPr>
                <w:rFonts w:cs="Times New Roman" w:ascii="Times New Roman" w:hAnsi="Times New Roman"/>
                <w:sz w:val="27"/>
                <w:szCs w:val="27"/>
                <w:highlight w:val="white"/>
              </w:rPr>
              <w:t>80% за рахунок коштів ЄІБ та 20% за рахунок КП «</w:t>
            </w:r>
            <w:r>
              <w:rPr>
                <w:rFonts w:cs="Times New Roman" w:ascii="Times New Roman" w:hAnsi="Times New Roman"/>
                <w:bCs/>
                <w:sz w:val="27"/>
                <w:szCs w:val="27"/>
                <w:highlight w:val="white"/>
              </w:rPr>
              <w:t>Луцькводоканал»</w:t>
            </w:r>
            <w:r>
              <w:rPr>
                <w:rFonts w:cs="Times New Roman" w:ascii="Times New Roman" w:hAnsi="Times New Roman"/>
                <w:sz w:val="27"/>
                <w:szCs w:val="27"/>
              </w:rPr>
              <w:t xml:space="preserve">). </w:t>
            </w:r>
            <w:r>
              <w:rPr>
                <w:rFonts w:cs="Times New Roman" w:ascii="Times New Roman" w:hAnsi="Times New Roman"/>
                <w:bCs/>
                <w:sz w:val="27"/>
                <w:szCs w:val="27"/>
              </w:rPr>
              <w:t>Підпроєкт включений в остаточний перелік до фінансування Банком. Розроблено ТЕО, яке погоджено групою управління проєктом. Підготовлено звіт з оцінки впливу на довкілля, проведено його громадські обговорення та отримано висновок Міністерства екології та природних ресурсів України.</w:t>
            </w:r>
            <w:r>
              <w:rPr>
                <w:rFonts w:eastAsia="Times New Roman" w:cs="Times New Roman" w:ascii="Times New Roman" w:hAnsi="Times New Roman"/>
                <w:bCs/>
                <w:sz w:val="27"/>
                <w:szCs w:val="27"/>
              </w:rPr>
              <w:t xml:space="preserve"> Проведено оцінку фінансового стану підприємства Міністерством фінансів України з отриманням позитивного висновку.</w:t>
            </w:r>
          </w:p>
          <w:p>
            <w:pPr>
              <w:pStyle w:val="Normal"/>
              <w:suppressAutoHyphens w:val="true"/>
              <w:ind w:firstLine="510"/>
              <w:jc w:val="both"/>
              <w:textAlignment w:val="baseline"/>
              <w:rPr>
                <w:rFonts w:cs="Arial"/>
              </w:rPr>
            </w:pPr>
            <w:r>
              <w:rPr>
                <w:rFonts w:cs="Times New Roman" w:ascii="Times New Roman" w:hAnsi="Times New Roman"/>
                <w:sz w:val="27"/>
                <w:szCs w:val="27"/>
              </w:rPr>
              <w:t xml:space="preserve">Підписано договір на технічну підтримку та залучення консультантів Європейського інвестиційного банку. Складено довгостроковий план інвестицій та узгоджений з банком, а також складено технічну та екологічну документацію, яка узгоджена з банком. </w:t>
            </w:r>
          </w:p>
          <w:p>
            <w:pPr>
              <w:pStyle w:val="Normal"/>
              <w:suppressAutoHyphens w:val="true"/>
              <w:snapToGrid w:val="false"/>
              <w:ind w:firstLine="510"/>
              <w:jc w:val="both"/>
              <w:textAlignment w:val="baseline"/>
              <w:rPr>
                <w:rFonts w:cs="Arial"/>
              </w:rPr>
            </w:pPr>
            <w:r>
              <w:rPr>
                <w:rFonts w:cs="Times New Roman" w:ascii="Times New Roman" w:hAnsi="Times New Roman"/>
                <w:bCs/>
                <w:sz w:val="27"/>
                <w:szCs w:val="27"/>
              </w:rPr>
              <w:t xml:space="preserve">Наразі на підприємстві разом з консультантами банку складається технічне завдання на реалізацію заходів даного проєкту та розробляється план пріоритетних інвестицій на 5 років в рамках проєкту. </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5.</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Ініціювання нового проєкту «Оновлення тролейбусного парку міста Луцька», який стосується оновлення громадського транспорту (передбачає придбання 24 тролейбусів без автономного ходу і 6 тролейбусів з автономним ходом)</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10"/>
              <w:jc w:val="both"/>
              <w:textAlignment w:val="baseline"/>
              <w:rPr>
                <w:rFonts w:cs="Arial"/>
              </w:rPr>
            </w:pPr>
            <w:r>
              <w:rPr>
                <w:rFonts w:cs="Times New Roman" w:ascii="Times New Roman" w:hAnsi="Times New Roman"/>
                <w:sz w:val="27"/>
                <w:szCs w:val="27"/>
              </w:rPr>
              <w:t xml:space="preserve">Міністерство інфраструктури Україні акцептувало заявку Луцької міської територіальної громади на участь у проєкті «Міський громадський транспорт України ІІ», в рамках якого планується придбати додатково 30 одиниць тролейбусів, шість з яких комплектуватимуться електроустановками автономного ходу, що дозволить їм обслуговувати маршрути, на яких відсутня контактна мережа. </w:t>
            </w:r>
            <w:r>
              <w:rPr>
                <w:rFonts w:cs="Times New Roman" w:ascii="Times New Roman" w:hAnsi="Times New Roman"/>
                <w:bCs/>
                <w:sz w:val="27"/>
                <w:szCs w:val="27"/>
              </w:rPr>
              <w:t>Очікується ратифікація відповідної угоди Верховною радою України.</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both"/>
              <w:textAlignment w:val="baseline"/>
              <w:rPr>
                <w:rFonts w:cs="Arial"/>
              </w:rPr>
            </w:pPr>
            <w:r>
              <w:rPr>
                <w:rFonts w:cs="Times New Roman" w:ascii="Times New Roman" w:hAnsi="Times New Roman"/>
                <w:sz w:val="27"/>
                <w:szCs w:val="27"/>
              </w:rPr>
              <w:t>Ініціювання, реалізація та супровід інвестиційних програм та проєктів регіонального розвитку, що можуть реалізовуватись за рахунок коштів, як державного так і місцевого бюджету, а також за рахунок іноземних інвестицій та грантів</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10"/>
              <w:jc w:val="both"/>
              <w:textAlignment w:val="baseline"/>
              <w:rPr>
                <w:rFonts w:cs="Arial"/>
              </w:rPr>
            </w:pPr>
            <w:r>
              <w:rPr>
                <w:rFonts w:eastAsia="Times New Roman" w:cs="Times New Roman" w:ascii="Times New Roman" w:hAnsi="Times New Roman"/>
                <w:bCs/>
                <w:sz w:val="27"/>
                <w:szCs w:val="27"/>
                <w:highlight w:val="white"/>
              </w:rPr>
              <w:t xml:space="preserve"> </w:t>
            </w:r>
            <w:r>
              <w:rPr>
                <w:rFonts w:cs="Times New Roman" w:ascii="Times New Roman" w:hAnsi="Times New Roman"/>
                <w:bCs/>
                <w:sz w:val="27"/>
                <w:szCs w:val="27"/>
                <w:highlight w:val="white"/>
              </w:rPr>
              <w:t xml:space="preserve">Протягом звітного періоду до Волинської обласної державної адміністрації та народних депутатів України регулярно надсилалися звернення щодо об’єктів, які можуть фінансуватися за рахунок субвенцій з державного бюджету та інших джерел. </w:t>
            </w:r>
          </w:p>
          <w:p>
            <w:pPr>
              <w:pStyle w:val="Normal"/>
              <w:suppressAutoHyphens w:val="true"/>
              <w:snapToGrid w:val="false"/>
              <w:ind w:firstLine="510"/>
              <w:jc w:val="both"/>
              <w:textAlignment w:val="baseline"/>
              <w:rPr>
                <w:rFonts w:cs="Arial"/>
              </w:rPr>
            </w:pPr>
            <w:r>
              <w:rPr>
                <w:rFonts w:cs="Times New Roman" w:ascii="Times New Roman" w:hAnsi="Times New Roman"/>
                <w:bCs/>
                <w:sz w:val="27"/>
                <w:szCs w:val="27"/>
                <w:highlight w:val="white"/>
              </w:rPr>
              <w:t>У грудні 2020 року відбулося відкриття закладу дошкільної освіти № 42 у селі Дачне  (будівництво закладу фінансувалось із державного бюджету (замовник – УКБ Волинської ОДА)</w:t>
            </w:r>
            <w:r>
              <w:rPr>
                <w:rFonts w:cs="Times New Roman" w:ascii="Times New Roman" w:hAnsi="Times New Roman"/>
                <w:bCs/>
                <w:sz w:val="27"/>
                <w:szCs w:val="27"/>
                <w:highlight w:val="white"/>
                <w:shd w:fill="FFFF00" w:val="clear"/>
              </w:rPr>
              <w:t xml:space="preserve"> та).</w:t>
            </w:r>
            <w:r>
              <w:rPr>
                <w:rFonts w:cs="Times New Roman" w:ascii="Times New Roman" w:hAnsi="Times New Roman"/>
                <w:bCs/>
                <w:sz w:val="27"/>
                <w:szCs w:val="27"/>
                <w:highlight w:val="white"/>
              </w:rPr>
              <w:t xml:space="preserve"> </w:t>
            </w:r>
          </w:p>
          <w:p>
            <w:pPr>
              <w:pStyle w:val="Normal"/>
              <w:suppressAutoHyphens w:val="true"/>
              <w:snapToGrid w:val="false"/>
              <w:ind w:firstLine="510"/>
              <w:jc w:val="both"/>
              <w:textAlignment w:val="baseline"/>
              <w:rPr>
                <w:rFonts w:cs="Arial"/>
              </w:rPr>
            </w:pPr>
            <w:r>
              <w:rPr>
                <w:rFonts w:cs="Times New Roman" w:ascii="Times New Roman" w:hAnsi="Times New Roman"/>
                <w:bCs/>
                <w:sz w:val="27"/>
                <w:szCs w:val="27"/>
              </w:rPr>
              <w:t xml:space="preserve">Базуючись на пропозиціях виконавчих органів </w:t>
            </w:r>
            <w:r>
              <w:rPr>
                <w:rFonts w:cs="Times New Roman" w:ascii="Times New Roman" w:hAnsi="Times New Roman"/>
                <w:sz w:val="27"/>
                <w:szCs w:val="27"/>
              </w:rPr>
              <w:t>розроблено та подано на конкурс Державного фонду регіонального розвитку у 2020 році сім інвестиційних проєктів загальною потребою у фінансуванні 435 077,3 тис. грн. Очікуване співфінансування з ДФРР становить 333 963,2 тис. грн, з бюджету територіальної громади – 101 114,1 тис. грн, а саме:</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«Реконструкція (пристосування) палацу урочистих подій під філію департаменту «Центр надання адміністративних послуг у місті Луцьку» Луцької міської ради на просп. Соборності, 18 в м. Луцьку»;</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«Реконструкція корпусу № 3 комунального закладу «Луцький навчально-виховний комплекс загальноосвітня школа-інтернат І-ІІІ ступенів – правознавчий ліцей з посиленою фізичною підготовкою Луцької міської ради Волинської області» під дошкільний навчальний заклад на вул. Дубнівська, 32 в м. Луцьку»;</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«Нове будівництво спортивного залу комунального закладу «Луцький навчально-виховний комплекс загальноосвітня школа-інтернат І-ІІІ ступенів – правознавчий ліцей з посиленою фізичною підготовкою Луцької міської ради Волинської області» на вул. Дубнівська, 32 в                          м. Луцьку»;</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«Нове будівництво спортивного залу з перехідною галереєю на вул. Олеся Гончара, 5 в                    м. Луцьк Волинської області»;</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«Реконструкція комунального закладу «Луцька загальноосвітня школа І-ІІІ ступенів № 13» на вул. Чернишевського, 29 в м. Луцьку Волинської області»;</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lang w:eastAsia="ru-RU"/>
              </w:rPr>
              <w:t>«Реконструкція ЗОШ І-ІІІ ступенів на вул. Володимирській, 47а, в с. Забороль Луцького району, Волинської області (коригування)»;</w:t>
            </w:r>
          </w:p>
          <w:p>
            <w:pPr>
              <w:pStyle w:val="Normal"/>
              <w:suppressAutoHyphens w:val="true"/>
              <w:snapToGrid w:val="false"/>
              <w:ind w:firstLine="510"/>
              <w:jc w:val="both"/>
              <w:textAlignment w:val="baseline"/>
              <w:rPr>
                <w:rFonts w:cs="Arial"/>
              </w:rPr>
            </w:pPr>
            <w:r>
              <w:rPr>
                <w:rFonts w:cs="Times New Roman" w:ascii="Times New Roman" w:hAnsi="Times New Roman"/>
                <w:bCs/>
                <w:sz w:val="27"/>
                <w:szCs w:val="27"/>
              </w:rPr>
              <w:t>- «Створення інноваційної моделі інвестування для будівництва сміттєпереробного заводу у Луцькій міській територіальній громаді, впровадження перших етапів», яким передбачено реконструкцію старої частини полігону ТПВ площею 8,8915 га у с. Брище з рекультивацією земельного покриву.</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7.</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Стимулювання виконавчих органів, комунальних підприємств та закладів Луцької міської ради до ініціювання та впровадження інвестиційних проєктів</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 xml:space="preserve">Протягом року проводилося постійне інформування виконавчих органів міської ради, суб’єктів підприємницької діяльності Луцька щодо існуючих можливостей залучення грантових, кредитних коштів, проведення тематичних виставок, конференцій, форумів тощо. </w:t>
            </w:r>
          </w:p>
          <w:p>
            <w:pPr>
              <w:pStyle w:val="Normal"/>
              <w:suppressAutoHyphens w:val="true"/>
              <w:snapToGrid w:val="false"/>
              <w:ind w:firstLine="567"/>
              <w:jc w:val="both"/>
              <w:textAlignment w:val="baseline"/>
              <w:rPr>
                <w:rFonts w:cs="Arial"/>
              </w:rPr>
            </w:pPr>
            <w:r>
              <w:rPr>
                <w:rFonts w:cs="Arial"/>
              </w:rPr>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8.</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Співпраця з місцевим бізнесом щодо залучення на об’єкти приватної власності (території непрацюючих промислових підприємств та неефективно використовуваних земельних ділянок) приватних інвесторів, допомога у формуванні відповідних інвестиційних пропозицій</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624"/>
              <w:jc w:val="both"/>
              <w:textAlignment w:val="baseline"/>
              <w:rPr>
                <w:rFonts w:cs="Arial"/>
              </w:rPr>
            </w:pPr>
            <w:r>
              <w:rPr>
                <w:rFonts w:cs="Times New Roman" w:ascii="Times New Roman" w:hAnsi="Times New Roman"/>
                <w:sz w:val="27"/>
                <w:szCs w:val="27"/>
              </w:rPr>
              <w:t>З метою використання не задіяних виробничих площ та ділянок, що перебувають у приватній власності, проводилися переговори з керівництвом промислових підприємств міста Луцька, зокрема, ПАТ «ЕНКО», ТОВ «НЕО КРОС», ПП «Полгер», ТзОВ «Луцька картонно-паперова фабрика – Україна», ДП «АСЗ №1» АТ «АК «Богдан Моторс» та інших.</w:t>
            </w:r>
          </w:p>
          <w:p>
            <w:pPr>
              <w:pStyle w:val="Normal"/>
              <w:suppressAutoHyphens w:val="true"/>
              <w:ind w:firstLine="567"/>
              <w:jc w:val="both"/>
              <w:textAlignment w:val="baseline"/>
              <w:rPr>
                <w:rFonts w:cs="Arial"/>
              </w:rPr>
            </w:pPr>
            <w:r>
              <w:rPr>
                <w:rFonts w:cs="Times New Roman" w:ascii="Times New Roman" w:hAnsi="Times New Roman"/>
                <w:bCs/>
                <w:sz w:val="27"/>
                <w:szCs w:val="27"/>
              </w:rPr>
              <w:t xml:space="preserve">Перелік вільних виробничих площ та будівель приватної форми власності, призначених для оренди й продажу постійно оновлюється на офіційному сайті міської ради. </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9.</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Залучення приватних інвестицій у будівництво та реконструкцію об’єктів транспортної та інженерної інфраструктури Луцької міської територіальної громади з використанням механізмів державно-приватного партнерства, концесії, енергосервісних контрактів тощо.</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10"/>
              <w:jc w:val="both"/>
              <w:textAlignment w:val="baseline"/>
              <w:rPr>
                <w:rFonts w:cs="Arial"/>
              </w:rPr>
            </w:pPr>
            <w:r>
              <w:rPr>
                <w:rFonts w:cs="Times New Roman" w:ascii="Times New Roman" w:hAnsi="Times New Roman"/>
                <w:bCs/>
                <w:sz w:val="27"/>
                <w:szCs w:val="27"/>
              </w:rPr>
              <w:t>З метою залучення потенційних ЕСКО - інвесторів, на сайті міської ради постійно оновлюється інформаційна база потенційних об’єктів енергосервісу також інформація поширюється через мережу «Фейсбук».</w:t>
            </w: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 xml:space="preserve">В рамках співпраці з ТОВ «ЕСКО ЮА» впроваджено заходи з енергозбереження у дошкільному навчальному закладі (ясла - садок) № 6, закладах дошкільної освіти № 23, № 24, № 35, № 36, дошкільному навчальному закладі (ясла - садок) № 40, загальноосвітніх школах I-III ступенів № 3, № 20, № 12 за схемою енергосервісних контрактів. </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10.</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Вивчення можливості створення індустріального парку на території Прилуцького старостинського округу Луцької міської територіальної громади</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6954" w:leader="none"/>
              </w:tabs>
              <w:suppressAutoHyphens w:val="true"/>
              <w:ind w:firstLine="567"/>
              <w:jc w:val="both"/>
              <w:textAlignment w:val="baseline"/>
              <w:rPr>
                <w:rFonts w:cs="Arial"/>
              </w:rPr>
            </w:pPr>
            <w:r>
              <w:rPr>
                <w:rFonts w:cs="Times New Roman" w:ascii="Times New Roman" w:hAnsi="Times New Roman"/>
                <w:sz w:val="27"/>
                <w:szCs w:val="27"/>
              </w:rPr>
              <w:t>У зв’язку з приєднанням ряду сільських рад до міста і розширенням Луцької міської територіальної громади, з’явилися додаткові можливості для створення індустріального парку на територіях Заборольського, Жидичинського, Іванчицівського, Княгининівського, Прилуцького старостинських округів. Незважаючи на те, що на даний час Луцька міська рада не має можливості розпоряджатися землями приєднаних громад, такі варіанти наразі досліджуються.</w:t>
            </w:r>
          </w:p>
          <w:p>
            <w:pPr>
              <w:pStyle w:val="Normal"/>
              <w:tabs>
                <w:tab w:val="clear" w:pos="709"/>
                <w:tab w:val="left" w:pos="6954" w:leader="none"/>
              </w:tabs>
              <w:suppressAutoHyphens w:val="true"/>
              <w:snapToGrid w:val="false"/>
              <w:ind w:firstLine="510"/>
              <w:jc w:val="both"/>
              <w:textAlignment w:val="baseline"/>
              <w:rPr>
                <w:rFonts w:cs="Arial"/>
              </w:rPr>
            </w:pPr>
            <w:r>
              <w:rPr>
                <w:rFonts w:cs="Times New Roman" w:ascii="Times New Roman" w:hAnsi="Times New Roman"/>
                <w:bCs/>
                <w:sz w:val="27"/>
                <w:szCs w:val="28"/>
              </w:rPr>
              <w:t>Одночасно приватний партнер декларує намір створити індустріальний парк «Екотехнопарк Волинь» в с. Лище Луцького району на території ПАТ «Луцьке авіапідприємство», 30,08 % акцій  якого перебувають у власності Луцької міської ради.</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11.</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Максимальне поширення інформації про інвестиційний потенціал Луцької міської територіальної громади</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10"/>
              <w:jc w:val="both"/>
              <w:textAlignment w:val="baseline"/>
              <w:rPr>
                <w:rFonts w:cs="Arial"/>
              </w:rPr>
            </w:pPr>
            <w:r>
              <w:rPr>
                <w:rFonts w:eastAsia="Times New Roman" w:cs="Times New Roman" w:ascii="Times New Roman" w:hAnsi="Times New Roman"/>
                <w:bCs/>
                <w:sz w:val="27"/>
                <w:szCs w:val="27"/>
              </w:rPr>
              <w:t>Презентаційні матеріали щодо інвестиційного потенціалу Луцької міської територіальної громади регулярно оновлювалися, презентувалися потенційним інвесторам (у 2020 році переважно онлайн), а також публікувалися на сайті міської ради. Постійно оновлювався розділ сайту міської ради «Інформація для інвесторів», відповідні новини поширювалися у мережі «Фейсбук». Щорічно формується та оновлюється Паспорт Луцької міської територіальної громади.</w:t>
            </w:r>
          </w:p>
        </w:tc>
      </w:tr>
      <w:tr>
        <w:trPr>
          <w:trHeight w:val="615" w:hRule="atLeast"/>
        </w:trPr>
        <w:tc>
          <w:tcPr>
            <w:tcW w:w="565" w:type="dxa"/>
            <w:tcBorders>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12.</w:t>
            </w:r>
          </w:p>
        </w:tc>
        <w:tc>
          <w:tcPr>
            <w:tcW w:w="3543" w:type="dxa"/>
            <w:tcBorders>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Налагодження комунікації з українськими та міжнародними консалтинговими компаніями, рейтинговими агентствами щодо дослідження кредитного рейтингу та інвестиційної привабливості Луцької міської територіальної громади</w:t>
            </w:r>
          </w:p>
        </w:tc>
        <w:tc>
          <w:tcPr>
            <w:tcW w:w="11767" w:type="dxa"/>
            <w:tcBorders>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ascii="Times New Roman" w:hAnsi="Times New Roman" w:eastAsia="Times New Roman" w:cs="Times New Roman"/>
                <w:b/>
                <w:b/>
                <w:bCs/>
                <w:sz w:val="27"/>
                <w:szCs w:val="28"/>
              </w:rPr>
            </w:pPr>
            <w:r>
              <w:rPr>
                <w:rFonts w:eastAsia="Times New Roman" w:cs="Times New Roman" w:ascii="Times New Roman" w:hAnsi="Times New Roman"/>
                <w:bCs/>
                <w:sz w:val="27"/>
                <w:szCs w:val="28"/>
              </w:rPr>
              <w:t>Виконавчий комітет Луцької міської ради протягом звітного року регулярно отримував комерційні пропозиції від національних соціологічних компаній та рейтингових агентств щодо створення інвестиційного паспорту ЛМТГ, здійснення оцінок кредитного рейтингу, рівня інвестиційної привабливості тощо. Крім того, опитування громадської думки стосовно різних сфер життєдіяльності здійснювалися й іншими інституціями, відповідно, складались рейтингові оцінки та порівняльні таблиці. Такі дані регулярно оприлюднювалися в локальних ЗМІ, соціальних мережах та на сайті міської ради.</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13.</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Участь у національних та міжнародних форумах, виставках та подібних заходах із залученням суб’єктів господарювання всіх форм власності з метою представлення інвестиційного потенціалу Луцької міської територіальної громади.</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10"/>
              <w:jc w:val="both"/>
              <w:textAlignment w:val="baseline"/>
              <w:rPr>
                <w:rFonts w:cs="Arial"/>
              </w:rPr>
            </w:pPr>
            <w:r>
              <w:rPr>
                <w:rFonts w:cs="Times New Roman" w:ascii="Times New Roman" w:hAnsi="Times New Roman"/>
                <w:bCs/>
                <w:sz w:val="27"/>
                <w:szCs w:val="27"/>
              </w:rPr>
              <w:t>У зв’язку з пандемією коронавірусної хвороби COVID-19, усі масові заходи було скасовано чи перенесено на невизначені строки. Попри це, з метою представлення інвестиційного потенціалу ЛМТГ, суб’єкти підприємницької діяльності інформувалися про проведення різноманітних форумів та виставок, що проводились в онлайн форматі.</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highlight w:val="yellow"/>
        </w:rPr>
      </w:pPr>
      <w:r>
        <w:rPr>
          <w:rFonts w:cs="Times New Roman" w:ascii="Times New Roman" w:hAnsi="Times New Roman"/>
          <w:b/>
          <w:sz w:val="27"/>
          <w:szCs w:val="27"/>
          <w:highlight w:val="yellow"/>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1.4. Проєктна діяльність та співпраця із міжнародними інституціями</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Реалізація проєктів міжнародної технічної допомоги, рекомендованих до фінансування з грантових програм за проектами: «Покращення безпеки транскордонної дорожньої інфраструктури Хелма та Луцька», Програма транскордонного співробітництва Польща – Білорусь – Україна 2014-2020 Європейського інструменту сусідства та партнерства, «Нове життя старого міста: ревіталізація пам’яток історико-культурної спадщини Луцька та Любліна», Програма транскордонного співробітництва Польща-Білорусь-Україна 2014-2020 Європейського інструменту сусідства та партнерства, а також «Екологічна дружба понад кордонами», програма NAKOPA-2017 за підтримки Міністерства економічної співпраці і розвитку ФРН та ін.</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У 2020 році тривала реалізація проєктів, розпочатих у попередні роки:</w:t>
            </w:r>
          </w:p>
          <w:p>
            <w:pPr>
              <w:pStyle w:val="Normal"/>
              <w:suppressAutoHyphens w:val="true"/>
              <w:ind w:firstLine="567"/>
              <w:jc w:val="both"/>
              <w:textAlignment w:val="baseline"/>
              <w:rPr>
                <w:rFonts w:cs="Arial"/>
              </w:rPr>
            </w:pPr>
            <w:r>
              <w:rPr>
                <w:rFonts w:cs="Times New Roman" w:ascii="Times New Roman" w:hAnsi="Times New Roman"/>
                <w:sz w:val="27"/>
                <w:szCs w:val="27"/>
              </w:rPr>
              <w:t>1. «Покращення безпеки транскордонної дорожньої інфраструктури Хелма та Луцька» (Програма транскордонного співробітництва Польща-Білорусь-Україна 2014-2020) у партнерстві з містом Хелм Республіки Польща.</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Реалізовано такі заходи проєкту: </w:t>
            </w:r>
          </w:p>
          <w:p>
            <w:pPr>
              <w:pStyle w:val="Normal"/>
              <w:suppressAutoHyphens w:val="true"/>
              <w:ind w:firstLine="567"/>
              <w:jc w:val="both"/>
              <w:textAlignment w:val="baseline"/>
              <w:rPr>
                <w:rFonts w:cs="Arial"/>
              </w:rPr>
            </w:pPr>
            <w:r>
              <w:rPr>
                <w:rFonts w:cs="Times New Roman" w:ascii="Times New Roman" w:hAnsi="Times New Roman"/>
                <w:sz w:val="27"/>
                <w:szCs w:val="27"/>
              </w:rPr>
              <w:t>- завершено роботи з капітального ремонту вулиці Рівненська (від вулиці Задворецької до вулиці Купріна) в м. Луцьку (виконавець робіт – ТзОВ «Луцькавтодор-сервіс»). У 2020 році завершено роботи із викладення бруківки на тротуарі та велодоріжці, влаштовано верхній шар асфальтобетонної суміші на проїжджій частині вулиці, нанесено розмітку. Загальна сума виконаних робіт у 2020 році становить 4 459,2 тис. грн, вартість робіт з технічного нагляду – 62,6 тис. грн.</w:t>
            </w:r>
          </w:p>
          <w:p>
            <w:pPr>
              <w:pStyle w:val="Normal"/>
              <w:suppressAutoHyphens w:val="true"/>
              <w:ind w:firstLine="567"/>
              <w:jc w:val="both"/>
              <w:textAlignment w:val="baseline"/>
              <w:rPr>
                <w:rFonts w:cs="Arial"/>
              </w:rPr>
            </w:pPr>
            <w:r>
              <w:rPr>
                <w:rFonts w:cs="Times New Roman" w:ascii="Times New Roman" w:hAnsi="Times New Roman"/>
                <w:sz w:val="27"/>
                <w:szCs w:val="27"/>
              </w:rPr>
              <w:t>- завершено роботи з капітального ремонту світлофорних об’єктів у м. Луцьку на 40 об’єктах. Виконавець робіт — КП «Луцьке електротехнічне підприємство - «Луцьксвітло». Загальна вартість виконаних у 2020 році робіт становила 9 118,2 тис. грн, вартість робіт з технічного нагляду – 151,5 тис. грн.</w:t>
            </w:r>
          </w:p>
          <w:p>
            <w:pPr>
              <w:pStyle w:val="Normal"/>
              <w:suppressAutoHyphens w:val="true"/>
              <w:ind w:firstLine="567"/>
              <w:jc w:val="both"/>
              <w:textAlignment w:val="baseline"/>
              <w:rPr>
                <w:rFonts w:cs="Arial"/>
              </w:rPr>
            </w:pPr>
            <w:r>
              <w:rPr>
                <w:rFonts w:cs="Times New Roman" w:ascii="Times New Roman" w:hAnsi="Times New Roman"/>
                <w:sz w:val="27"/>
                <w:szCs w:val="27"/>
              </w:rPr>
              <w:t>- розпочато роботи з реконструкції мереж зовнішнього освітлення на вулиці Конякіна в місті Луцьку. Виконавець робіт — ТОВ «Волинська електротехнічна компанія» здійснив заміну 213 з 246 передбачених проєктом світильників на нові LED. Загальна вартість виконаних у 2020 році робіт становить 1 287, 1 тис. грн, вартість робіт з технічного нагляду — 16,1 тис. грн.</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За результатами проведеної закупівлі замовлено послугу з розробки комплексної системи (схеми) організації дорожнього руху в м. Луцьку (виконавець — Луцький національний технічний університет). Відповідно до умов договору, термін розроблення схеми 12.02.2021. </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Упродовж 2020 року виконавчий комітет Луцької міської ради здійснював заходи з інформування громадськості про хід та результати проєкту. Зокрема, з коштів проєкту було оплачено публікацію 5 статей у газеті «Вісник+К», окрім того заходи проєкту висвітлювалися у публікаціях у місцевих інтернет-ресурсах, у соціальних мережах та на місцевих телеканалах. </w:t>
            </w:r>
          </w:p>
          <w:p>
            <w:pPr>
              <w:pStyle w:val="Normal"/>
              <w:suppressAutoHyphens w:val="true"/>
              <w:ind w:firstLine="567"/>
              <w:jc w:val="both"/>
              <w:textAlignment w:val="baseline"/>
              <w:rPr>
                <w:rFonts w:cs="Arial"/>
              </w:rPr>
            </w:pPr>
            <w:r>
              <w:rPr>
                <w:rFonts w:cs="Times New Roman" w:ascii="Times New Roman" w:hAnsi="Times New Roman"/>
                <w:sz w:val="27"/>
                <w:szCs w:val="27"/>
              </w:rPr>
              <w:t>2. «Нове життя старого міста: ревіталізація пам'яток історико-культурної спадщини Луцька та Любліна» (Програма транскордонного співробітництва Польща-Білорусь-Україна 2014-2020) у партнерстві з містом Люблін Республіки Польща.</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Ремонтно-реставраційні роботи на пам'ятках архітектури: монастир єзуїтів (охоронний                    № 77/3) та оборонна башта (башти князів Чорторийських) з муром (охоронний № 1010) У 2020 році продовжувались ремонтно-реставраційні роботи на пам’ятках та благоустрій прилеглої території. Станом на грудень 2020 року робіт виконано на загальну суму 22 490,3 3 тис. грн (742 021,46 євро), що складає 73,19 % від загального обсягу. </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Реалізовано такі заходи проєкту: </w:t>
            </w:r>
          </w:p>
          <w:p>
            <w:pPr>
              <w:pStyle w:val="Normal"/>
              <w:suppressAutoHyphens w:val="true"/>
              <w:ind w:firstLine="567"/>
              <w:jc w:val="both"/>
              <w:textAlignment w:val="baseline"/>
              <w:rPr>
                <w:rFonts w:cs="Arial"/>
              </w:rPr>
            </w:pPr>
            <w:r>
              <w:rPr>
                <w:rFonts w:cs="Times New Roman" w:ascii="Times New Roman" w:hAnsi="Times New Roman"/>
                <w:sz w:val="27"/>
                <w:szCs w:val="27"/>
              </w:rPr>
              <w:t>- проведено наукові археологічні дослідження на ділянці завалу оборонного муру Окольного замку;</w:t>
            </w:r>
          </w:p>
          <w:p>
            <w:pPr>
              <w:pStyle w:val="Normal"/>
              <w:suppressAutoHyphens w:val="true"/>
              <w:ind w:firstLine="567"/>
              <w:jc w:val="both"/>
              <w:textAlignment w:val="baseline"/>
              <w:rPr>
                <w:rFonts w:cs="Arial"/>
              </w:rPr>
            </w:pPr>
            <w:r>
              <w:rPr>
                <w:rFonts w:cs="Times New Roman" w:ascii="Times New Roman" w:hAnsi="Times New Roman"/>
                <w:sz w:val="27"/>
                <w:szCs w:val="27"/>
              </w:rPr>
              <w:t>- автором проєктно - кошторисної документації ПП «Прайд» розроблено додаткові проєктні рішення для здійснення реставраційного ремонту та забезпечення доступу до новознайдених під час реставраційних робіт підвалів башти Чорторийських та частини південно-західного крила монастиря єзуїтів;</w:t>
            </w:r>
          </w:p>
          <w:p>
            <w:pPr>
              <w:pStyle w:val="Normal"/>
              <w:suppressAutoHyphens w:val="true"/>
              <w:ind w:firstLine="567"/>
              <w:jc w:val="both"/>
              <w:textAlignment w:val="baseline"/>
              <w:rPr>
                <w:rFonts w:cs="Arial"/>
              </w:rPr>
            </w:pPr>
            <w:r>
              <w:rPr>
                <w:rFonts w:cs="Times New Roman" w:ascii="Times New Roman" w:hAnsi="Times New Roman"/>
                <w:sz w:val="27"/>
                <w:szCs w:val="27"/>
              </w:rPr>
              <w:t>- підготовлено технічну специфікацію для проведення закупівель послуг та товарів для облаштування у відреставрованих пам’ятках музею-майстерні лицарства та середньовічних часів.</w:t>
            </w:r>
          </w:p>
          <w:p>
            <w:pPr>
              <w:pStyle w:val="Normal"/>
              <w:suppressAutoHyphens w:val="true"/>
              <w:ind w:firstLine="567"/>
              <w:jc w:val="both"/>
              <w:textAlignment w:val="baseline"/>
              <w:rPr>
                <w:rFonts w:cs="Arial"/>
              </w:rPr>
            </w:pPr>
            <w:r>
              <w:rPr>
                <w:rFonts w:cs="Times New Roman" w:ascii="Times New Roman" w:hAnsi="Times New Roman"/>
                <w:sz w:val="27"/>
                <w:szCs w:val="27"/>
              </w:rPr>
              <w:t>- виготовлено промоційні еко-сумки в кількості 500 шт.</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У 2020 році розроблено сценарій та постановку вуличної вистави «Легенди Трипілля», що передбачено бюджетом проєкту. </w:t>
            </w:r>
          </w:p>
          <w:p>
            <w:pPr>
              <w:pStyle w:val="Normal"/>
              <w:suppressAutoHyphens w:val="true"/>
              <w:ind w:firstLine="567"/>
              <w:jc w:val="both"/>
              <w:textAlignment w:val="baseline"/>
              <w:rPr>
                <w:rFonts w:cs="Arial"/>
              </w:rPr>
            </w:pPr>
            <w:r>
              <w:rPr>
                <w:rFonts w:cs="Times New Roman" w:ascii="Times New Roman" w:hAnsi="Times New Roman"/>
                <w:sz w:val="27"/>
                <w:szCs w:val="27"/>
              </w:rPr>
              <w:t>3. «Використання екологічних і розумних технологій у системі громадського транспорту міста Луцька». Проєкт впроваждується у партнерстві з краєм Ліппе Федеративної Республіки Німеччина (програма NAKOPA-2018 за підтримки Федерального міністерства економічного співробітництва та розвитку Німеччини).</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В рамках реалізації проєкту відбулися такі заходи: </w:t>
            </w:r>
          </w:p>
          <w:p>
            <w:pPr>
              <w:pStyle w:val="Normal"/>
              <w:suppressAutoHyphens w:val="true"/>
              <w:ind w:firstLine="567"/>
              <w:jc w:val="both"/>
              <w:textAlignment w:val="baseline"/>
              <w:rPr>
                <w:rFonts w:cs="Arial"/>
              </w:rPr>
            </w:pPr>
            <w:r>
              <w:rPr>
                <w:rFonts w:cs="Times New Roman" w:ascii="Times New Roman" w:hAnsi="Times New Roman"/>
                <w:sz w:val="27"/>
                <w:szCs w:val="27"/>
              </w:rPr>
              <w:t>- 15 січня 2020 року підписано договір з Луцьким національним технічним університетом на розробку Стратегії розвитку громадського транспорту та транспортної інфраструктури Луцької міської територіальної громади до 2025 року;</w:t>
            </w:r>
          </w:p>
          <w:p>
            <w:pPr>
              <w:pStyle w:val="Normal"/>
              <w:suppressAutoHyphens w:val="true"/>
              <w:ind w:firstLine="567"/>
              <w:jc w:val="both"/>
              <w:textAlignment w:val="baseline"/>
              <w:rPr>
                <w:rFonts w:cs="Arial"/>
              </w:rPr>
            </w:pPr>
            <w:r>
              <w:rPr>
                <w:rFonts w:cs="Times New Roman" w:ascii="Times New Roman" w:hAnsi="Times New Roman"/>
                <w:sz w:val="27"/>
                <w:szCs w:val="27"/>
              </w:rPr>
              <w:t>- 11-14 лютого 2020 року організовано робочий візит делегації Луцької міської ради до краю Ліппе, метою якого було ознайомлення з особливостями функціонування транспортної системи в Ліппе та обміну досвідом;</w:t>
            </w:r>
          </w:p>
          <w:p>
            <w:pPr>
              <w:pStyle w:val="Normal"/>
              <w:suppressAutoHyphens w:val="true"/>
              <w:ind w:firstLine="567"/>
              <w:jc w:val="both"/>
              <w:textAlignment w:val="baseline"/>
              <w:rPr>
                <w:rFonts w:cs="Arial"/>
              </w:rPr>
            </w:pPr>
            <w:r>
              <w:rPr>
                <w:rFonts w:cs="Times New Roman" w:ascii="Times New Roman" w:hAnsi="Times New Roman"/>
                <w:sz w:val="27"/>
                <w:szCs w:val="27"/>
              </w:rPr>
              <w:t>- погоджено із грантодавцем продовження реалізації проєкту до 30.04.2021;</w:t>
            </w:r>
          </w:p>
          <w:p>
            <w:pPr>
              <w:pStyle w:val="Normal"/>
              <w:suppressAutoHyphens w:val="true"/>
              <w:ind w:firstLine="567"/>
              <w:jc w:val="both"/>
              <w:textAlignment w:val="baseline"/>
              <w:rPr>
                <w:rFonts w:cs="Arial"/>
              </w:rPr>
            </w:pPr>
            <w:r>
              <w:rPr>
                <w:rFonts w:cs="Times New Roman" w:ascii="Times New Roman" w:hAnsi="Times New Roman"/>
                <w:sz w:val="27"/>
                <w:szCs w:val="27"/>
              </w:rPr>
              <w:t>- отримано грантові кошти – 217 600 євро (6 541 000 грн);</w:t>
            </w:r>
          </w:p>
          <w:p>
            <w:pPr>
              <w:pStyle w:val="Normal"/>
              <w:suppressAutoHyphens w:val="true"/>
              <w:ind w:firstLine="567"/>
              <w:jc w:val="both"/>
              <w:textAlignment w:val="baseline"/>
              <w:rPr>
                <w:rFonts w:cs="Arial"/>
              </w:rPr>
            </w:pPr>
            <w:r>
              <w:rPr>
                <w:rFonts w:cs="Times New Roman" w:ascii="Times New Roman" w:hAnsi="Times New Roman"/>
                <w:sz w:val="27"/>
                <w:szCs w:val="27"/>
              </w:rPr>
              <w:t>- проведено відкриті торги на:</w:t>
            </w:r>
          </w:p>
          <w:p>
            <w:pPr>
              <w:pStyle w:val="Normal"/>
              <w:suppressAutoHyphens w:val="true"/>
              <w:ind w:firstLine="567"/>
              <w:jc w:val="both"/>
              <w:textAlignment w:val="baseline"/>
              <w:rPr>
                <w:rFonts w:cs="Arial"/>
              </w:rPr>
            </w:pPr>
            <w:r>
              <w:rPr>
                <w:rFonts w:cs="Times New Roman" w:ascii="Times New Roman" w:hAnsi="Times New Roman"/>
                <w:sz w:val="27"/>
                <w:szCs w:val="27"/>
              </w:rPr>
              <w:t>- закупівлю та встановлення 9 «розумних зупинок» для громадського транспорту (5 великих і 4 малих) на суму 3 560,0 тис. грн. Кожна зупинка міститиме: розумне табло, на якому висвітлюватиметься інформація про прибуття громадського транспорту, сонячну батарею, точку для підзарядки телефону, зовнішнє освітлення, смітники для роздільного збору сміття, сітілайт, камеру відеоспостереження;</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 закупівлю та встановлення 22 «розумних табло» з інформацією про рух громадського транспорту на суму 3 150 000 грн. Кожне «розумне табло» міститиме: стійку з табло, на якому висвітлюватиметься інформація про прибуття громадського транспорту, зовнішнє освітлення, смітники для роздільного збору сміття, точку для підзарядки телефону, камеру відеоспостереження. </w:t>
            </w:r>
          </w:p>
          <w:p>
            <w:pPr>
              <w:pStyle w:val="Normal"/>
              <w:suppressAutoHyphens w:val="true"/>
              <w:ind w:firstLine="567"/>
              <w:jc w:val="both"/>
              <w:textAlignment w:val="baseline"/>
              <w:rPr>
                <w:rFonts w:cs="Arial"/>
              </w:rPr>
            </w:pPr>
            <w:r>
              <w:rPr>
                <w:rFonts w:cs="Times New Roman" w:ascii="Times New Roman" w:hAnsi="Times New Roman"/>
                <w:sz w:val="27"/>
                <w:szCs w:val="27"/>
              </w:rPr>
              <w:t>За результатами торгів, укладено договори з підрядником СП ТОВ «МОДЕРН-ЕКСПО».</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Також у 2020 році розпочато роботу щодо реалізації інших заходів проєкту, зокрема:  опрацювання контенту та технічного завдання на розробку сайту, що висвітлюватиме інформацію про громадський транспорт Луцької міської територіальної громади та щодо розробки дизайну і технічного завдання для робіт з фарбування тролейбусів та їх ознакування промоційними закликами. </w:t>
            </w:r>
          </w:p>
        </w:tc>
      </w:tr>
      <w:tr>
        <w:trPr>
          <w:trHeight w:val="2811"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Підготовка та подача проєктних заявок на реалізацію міжнародних і транскордонних проєктів за фінансової підтримки програм: Програма транскордонного співробітництва Польща-Білорусь-Україна 2014‒2020, Програма сприяння та розвитку демократії Міністерства закордонних справ Литовської Республіки, Посольський фонд США зі збереження культурної спадщини та інші, відповідно до оголошених конкурсів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 xml:space="preserve">У 2020 році подано проєктні заявки на наступні конкурси: </w:t>
            </w:r>
          </w:p>
          <w:p>
            <w:pPr>
              <w:pStyle w:val="Normal"/>
              <w:suppressAutoHyphens w:val="true"/>
              <w:ind w:firstLine="567"/>
              <w:jc w:val="both"/>
              <w:textAlignment w:val="baseline"/>
              <w:rPr>
                <w:rFonts w:cs="Arial"/>
              </w:rPr>
            </w:pPr>
            <w:r>
              <w:rPr>
                <w:rFonts w:cs="Times New Roman" w:ascii="Times New Roman" w:hAnsi="Times New Roman"/>
                <w:sz w:val="27"/>
                <w:szCs w:val="27"/>
              </w:rPr>
              <w:t>1. Третій конкурс малих проєктів Програми Польща-Білорусь-Україна 2014-2020:</w:t>
            </w:r>
          </w:p>
          <w:p>
            <w:pPr>
              <w:pStyle w:val="Normal"/>
              <w:suppressAutoHyphens w:val="true"/>
              <w:ind w:firstLine="567"/>
              <w:jc w:val="both"/>
              <w:textAlignment w:val="baseline"/>
              <w:rPr>
                <w:rFonts w:cs="Arial"/>
              </w:rPr>
            </w:pPr>
            <w:r>
              <w:rPr>
                <w:rFonts w:cs="Times New Roman" w:ascii="Times New Roman" w:hAnsi="Times New Roman"/>
                <w:sz w:val="27"/>
                <w:szCs w:val="27"/>
              </w:rPr>
              <w:t>- спільно з Гміною міста Жешув Республіки Польща - проєкт «Промоція природної спадщини міських річок та прибережних територій Жешува та Луцька». Проєкт був затверджений Спільним моніторинговим комітетом Програми до співфінансування з коштів ЄС. У листопаді-грудні 2020 року велася робота щодо контрактування проєкту. Очікується укладення грантового договору у першому кварталі 2021 року.</w:t>
            </w:r>
          </w:p>
          <w:p>
            <w:pPr>
              <w:pStyle w:val="Normal"/>
              <w:suppressAutoHyphens w:val="true"/>
              <w:ind w:firstLine="567"/>
              <w:jc w:val="both"/>
              <w:textAlignment w:val="baseline"/>
              <w:rPr>
                <w:rFonts w:cs="Arial"/>
              </w:rPr>
            </w:pPr>
            <w:r>
              <w:rPr>
                <w:rFonts w:cs="Times New Roman" w:ascii="Times New Roman" w:hAnsi="Times New Roman"/>
                <w:sz w:val="27"/>
                <w:szCs w:val="27"/>
              </w:rPr>
              <w:t>- спільно з містом Люблін Республіки Польща </w:t>
            </w:r>
            <w:r>
              <w:rPr>
                <w:rFonts w:eastAsia="Times New Roman" w:cs="Times New Roman" w:ascii="Times New Roman" w:hAnsi="Times New Roman"/>
                <w:sz w:val="27"/>
                <w:szCs w:val="27"/>
              </w:rPr>
              <w:t>‒</w:t>
            </w:r>
            <w:r>
              <w:rPr>
                <w:rFonts w:cs="Times New Roman" w:ascii="Times New Roman" w:hAnsi="Times New Roman"/>
                <w:sz w:val="27"/>
                <w:szCs w:val="27"/>
              </w:rPr>
              <w:t> проєкт «Таємниці двох веж: просування середньовічних укріплень Луцька та Любліна за допомогою інноваційних технологій». Проєкт був затверджений Спільним моніторинговим комітетом Програми до співфінансування з коштів ЄС. У листопаді-грудні 2020 року велася робота щодо контрактування проєкту. Очікується укладення грантового договору у І кварталі 2021 року.</w:t>
            </w:r>
          </w:p>
          <w:p>
            <w:pPr>
              <w:pStyle w:val="Normal"/>
              <w:suppressAutoHyphens w:val="true"/>
              <w:ind w:firstLine="567"/>
              <w:jc w:val="both"/>
              <w:textAlignment w:val="baseline"/>
              <w:rPr>
                <w:rFonts w:cs="Arial"/>
              </w:rPr>
            </w:pPr>
            <w:r>
              <w:rPr>
                <w:rFonts w:cs="Times New Roman" w:ascii="Times New Roman" w:hAnsi="Times New Roman"/>
                <w:sz w:val="27"/>
                <w:szCs w:val="27"/>
              </w:rPr>
              <w:t>2. Програма Канадського фонду: «Криза як стимул до успіху: розвиток нових компетенцій у жінок, які працюють на ринках, що опинилися в стані рецесії». Результати конкурсу очікуються в 2021 році.</w:t>
            </w:r>
          </w:p>
          <w:p>
            <w:pPr>
              <w:pStyle w:val="Normal"/>
              <w:suppressAutoHyphens w:val="true"/>
              <w:ind w:firstLine="567"/>
              <w:jc w:val="both"/>
              <w:textAlignment w:val="baseline"/>
              <w:rPr>
                <w:rFonts w:cs="Arial"/>
              </w:rPr>
            </w:pPr>
            <w:r>
              <w:rPr>
                <w:rFonts w:cs="Times New Roman" w:ascii="Times New Roman" w:hAnsi="Times New Roman"/>
                <w:sz w:val="27"/>
                <w:szCs w:val="27"/>
              </w:rPr>
              <w:t>3. Конкурс проєктів Представництва ЄС на підтримку громадянського суспільства в Україні     (лот 2 «Підвищення спроможності громадянського суспільства та місцевих органів влади шляхом створення мереж та інновацій»): проєкт «Механізм розвитку громадянського суспільства України: підвищення ролі громадянського суспільства для кращого врядування, прав людини та культури». Результати конкурсу очікуються в 2021 році.</w:t>
            </w:r>
          </w:p>
          <w:p>
            <w:pPr>
              <w:pStyle w:val="Normal"/>
              <w:suppressAutoHyphens w:val="true"/>
              <w:ind w:firstLine="567"/>
              <w:jc w:val="both"/>
              <w:textAlignment w:val="baseline"/>
              <w:rPr>
                <w:rFonts w:cs="Arial"/>
              </w:rPr>
            </w:pPr>
            <w:r>
              <w:rPr>
                <w:rFonts w:cs="Times New Roman" w:ascii="Times New Roman" w:hAnsi="Times New Roman"/>
                <w:sz w:val="27"/>
                <w:szCs w:val="27"/>
              </w:rPr>
              <w:t>4. Конкурс Бюджетної Програми «Державний Фонд Регіонального Розвитку» Міністерства розвитку громад та територій України: проєкт «Створення інноваційної моделі інвестування для будівництва сміттєпереробного заводу у Луцькій МТГ, впровадження перших етапів». Результати конкурсу очікуються в 2021 році.</w:t>
            </w:r>
          </w:p>
          <w:p>
            <w:pPr>
              <w:pStyle w:val="Normal"/>
              <w:suppressAutoHyphens w:val="true"/>
              <w:ind w:firstLine="567"/>
              <w:jc w:val="both"/>
              <w:textAlignment w:val="baseline"/>
              <w:rPr>
                <w:rFonts w:cs="Arial"/>
              </w:rPr>
            </w:pPr>
            <w:r>
              <w:rPr>
                <w:rFonts w:cs="Times New Roman" w:ascii="Times New Roman" w:hAnsi="Times New Roman"/>
                <w:sz w:val="27"/>
                <w:szCs w:val="27"/>
              </w:rPr>
              <w:t>5. Конкурс проєктів GIZ «EU4Business: конкурентоспроможність та інтернаціоналізація малих і середніх підприємств»: проєкт «Створення Луцького автомобільного кластеру як інструменту з посилення потенціалу місцевих МСП під час та після пандемії COVID-19». Результати конкурсу очікуються в 2021 році.</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0" w:leader="none"/>
              </w:tabs>
              <w:suppressAutoHyphens w:val="true"/>
              <w:jc w:val="both"/>
              <w:textAlignment w:val="baseline"/>
              <w:rPr>
                <w:rFonts w:cs="Arial"/>
              </w:rPr>
            </w:pPr>
            <w:r>
              <w:rPr>
                <w:rFonts w:cs="Times New Roman" w:ascii="Times New Roman" w:hAnsi="Times New Roman"/>
                <w:sz w:val="27"/>
                <w:szCs w:val="27"/>
              </w:rPr>
              <w:t>Проведення інформаційно-просвітницьких заходів до Дня Європи за участі запрошених делегацій з дружніх та партнерських міст із-за кордону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У зв’язку з карантинними обмеженнями, запровадженими з метою запобігання поширенню COVID </w:t>
            </w:r>
            <w:r>
              <w:rPr>
                <w:rFonts w:eastAsia="Times New Roman" w:cs="Times New Roman" w:ascii="Times New Roman" w:hAnsi="Times New Roman"/>
                <w:sz w:val="27"/>
                <w:szCs w:val="27"/>
              </w:rPr>
              <w:t>‒</w:t>
            </w:r>
            <w:r>
              <w:rPr>
                <w:rFonts w:cs="Times New Roman" w:ascii="Times New Roman" w:hAnsi="Times New Roman"/>
                <w:sz w:val="27"/>
                <w:szCs w:val="27"/>
              </w:rPr>
              <w:t> 19, проведення заходів до Дня Європи в м. Луцьку за участі запрошених делегацій з дружніх та партнерських міст із </w:t>
            </w:r>
            <w:r>
              <w:rPr>
                <w:rFonts w:eastAsia="Times New Roman" w:cs="Times New Roman" w:ascii="Times New Roman" w:hAnsi="Times New Roman"/>
                <w:sz w:val="27"/>
                <w:szCs w:val="27"/>
              </w:rPr>
              <w:t>‒</w:t>
            </w:r>
            <w:r>
              <w:rPr>
                <w:rFonts w:cs="Times New Roman" w:ascii="Times New Roman" w:hAnsi="Times New Roman"/>
                <w:sz w:val="27"/>
                <w:szCs w:val="27"/>
              </w:rPr>
              <w:t> за кордону було скасовано.</w:t>
            </w:r>
          </w:p>
          <w:p>
            <w:pPr>
              <w:pStyle w:val="Normal"/>
              <w:suppressAutoHyphens w:val="true"/>
              <w:ind w:firstLine="567"/>
              <w:jc w:val="both"/>
              <w:textAlignment w:val="baseline"/>
              <w:rPr>
                <w:rFonts w:ascii="Times New Roman" w:hAnsi="Times New Roman" w:cs="Times New Roman"/>
                <w:sz w:val="27"/>
                <w:szCs w:val="27"/>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 xml:space="preserve">З нагоди святкування на сторінці «Фейсбук» працівниками управління міжнародного співробітництва та проєктної діяльності було проведено онлайн вікторину «Europe Day 2020 Quiz», в якій мали можливість взяти участь всі бажаючі та перевірити свої знання про Європу, Європейський Союз. Також на сторінці «Фейсбук» було висвітлено «світлини </w:t>
            </w:r>
            <w:r>
              <w:rPr>
                <w:rFonts w:eastAsia="Times New Roman" w:cs="Times New Roman" w:ascii="Times New Roman" w:hAnsi="Times New Roman"/>
                <w:sz w:val="27"/>
                <w:szCs w:val="27"/>
              </w:rPr>
              <w:t>‒</w:t>
            </w:r>
            <w:r>
              <w:rPr>
                <w:rFonts w:cs="Times New Roman" w:ascii="Times New Roman" w:hAnsi="Times New Roman"/>
                <w:sz w:val="27"/>
                <w:szCs w:val="27"/>
              </w:rPr>
              <w:t xml:space="preserve"> тиждень спогадів» про те, як відзначали День Європи в Луцьку у попередні роки.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360" w:leader="none"/>
                <w:tab w:val="left" w:pos="900" w:leader="none"/>
              </w:tabs>
              <w:suppressAutoHyphens w:val="true"/>
              <w:jc w:val="both"/>
              <w:textAlignment w:val="baseline"/>
              <w:rPr>
                <w:rFonts w:cs="Arial"/>
                <w:spacing w:val="-6"/>
              </w:rPr>
            </w:pPr>
            <w:r>
              <w:rPr>
                <w:rFonts w:cs="Times New Roman" w:ascii="Times New Roman" w:hAnsi="Times New Roman"/>
                <w:spacing w:val="-6"/>
                <w:sz w:val="27"/>
                <w:szCs w:val="27"/>
              </w:rPr>
              <w:t>Поширення інформації серед потенційних заявників (заклади освіти, охорони здоров’я, підприємства житлово-комунального господарства, громадські організації, представники бізнесу) про актуальні конкурси проєктів, які проводять донорські організації, шляхом публікацій на офіційному сайті міської ради, на сторінці управління міжнародного співробітництва та проєктної діяльності у соціальних мережах, електронної розсилки.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Протягом року постійно здійснювався моніторинг інформаційних ресурсів з метою знаходження актуальних конкурсів, які проводять донорські організації, а також інформування виконавчих органів, комунальних підприємств і закладів шляхом надсилання інформаційних листів, електронної розсилки, поширення інформації на сайті Луцької міської ради та на сторінці управління міжнародного співробітництва та проєктної діяльності у мережі «Фейсбук».</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360" w:leader="none"/>
                <w:tab w:val="left" w:pos="900" w:leader="none"/>
              </w:tabs>
              <w:suppressAutoHyphens w:val="true"/>
              <w:jc w:val="both"/>
              <w:textAlignment w:val="baseline"/>
              <w:rPr>
                <w:rFonts w:cs="Arial"/>
              </w:rPr>
            </w:pPr>
            <w:r>
              <w:rPr>
                <w:rFonts w:cs="Times New Roman" w:ascii="Times New Roman" w:hAnsi="Times New Roman"/>
                <w:sz w:val="27"/>
                <w:szCs w:val="27"/>
              </w:rPr>
              <w:t>Організація прийому іноземних делегацій та дипломатичних представників, організаційний супровід міжнародних зустрічей, що організовують виконавчі органи Луцької міської ради.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У 2020 року було організовано зустрічі за участі іноземних гостей:</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зустріч з офіційною делегацією з міста Замость (Республіка Польща) на чолі з Президентом міста Замость Анджеєм Внуком з метою підписання спільної проєктної заявки на Третій конкурс мікропроєктів Програми Польща </w:t>
            </w:r>
            <w:r>
              <w:rPr>
                <w:rFonts w:eastAsia="Times New Roman" w:cs="Times New Roman" w:ascii="Times New Roman" w:hAnsi="Times New Roman"/>
                <w:sz w:val="27"/>
                <w:szCs w:val="27"/>
                <w:lang w:bidi="ar-SA"/>
              </w:rPr>
              <w:t>‒</w:t>
            </w:r>
            <w:r>
              <w:rPr>
                <w:rFonts w:cs="Times New Roman" w:ascii="Times New Roman" w:hAnsi="Times New Roman"/>
                <w:sz w:val="27"/>
                <w:szCs w:val="27"/>
                <w:lang w:bidi="ar-SA"/>
              </w:rPr>
              <w:t> Білорусь </w:t>
            </w:r>
            <w:r>
              <w:rPr>
                <w:rFonts w:eastAsia="Times New Roman" w:cs="Times New Roman" w:ascii="Times New Roman" w:hAnsi="Times New Roman"/>
                <w:sz w:val="27"/>
                <w:szCs w:val="27"/>
                <w:lang w:bidi="ar-SA"/>
              </w:rPr>
              <w:t>‒</w:t>
            </w:r>
            <w:r>
              <w:rPr>
                <w:rFonts w:cs="Times New Roman" w:ascii="Times New Roman" w:hAnsi="Times New Roman"/>
                <w:sz w:val="27"/>
                <w:szCs w:val="27"/>
                <w:lang w:bidi="ar-SA"/>
              </w:rPr>
              <w:t> Україна 2014-2020 «Луцьк і Замость: міста з минулого для цікавого майбутнього»;</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зустріч з представниками Спеціальної моніторингової місії Організації з безпеки та співробітництва в Європі (ОБСЄ) в Україні;</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зустріч з Генеральним консулом РП в місті Луцьку Вєславом Мазуром та його наступником на посаді Славоміром Місяком;</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зустріч з Надзвичайним та Поважним Послом Французької Республіки в Україні Етьєном де Понсен;</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зустріч з Генеральним консулом РП в Луцьку Славоміром Місяком та віцеконсулом Терезою Хрущ.</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lang w:bidi="ar-SA"/>
              </w:rPr>
              <w:t>6.</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360" w:leader="none"/>
                <w:tab w:val="left" w:pos="900" w:leader="none"/>
              </w:tabs>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Забезпечення участі офіційних делегацій від Луцької міської територіальної громади у міжнародних заходах за кордоном відповідно до офіційних запрошень: тематичні конференції, форуми, виставки, офіційні заходи з нагоди державних свят та локальних подій та ін. </w:t>
            </w:r>
          </w:p>
          <w:p>
            <w:pPr>
              <w:pStyle w:val="Normal"/>
              <w:tabs>
                <w:tab w:val="clear" w:pos="709"/>
                <w:tab w:val="left" w:pos="360" w:leader="none"/>
                <w:tab w:val="left" w:pos="900" w:leader="none"/>
              </w:tabs>
              <w:suppressAutoHyphens w:val="true"/>
              <w:jc w:val="both"/>
              <w:textAlignment w:val="baseline"/>
              <w:rPr>
                <w:rFonts w:cs="Arial"/>
              </w:rPr>
            </w:pPr>
            <w:r>
              <w:rPr>
                <w:rFonts w:cs="Arial"/>
              </w:rPr>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spacing w:val="-6"/>
              </w:rPr>
            </w:pPr>
            <w:r>
              <w:rPr>
                <w:rFonts w:cs="Times New Roman" w:ascii="Times New Roman" w:hAnsi="Times New Roman"/>
                <w:spacing w:val="-6"/>
                <w:sz w:val="27"/>
                <w:szCs w:val="27"/>
                <w:lang w:bidi="ar-SA"/>
              </w:rPr>
              <w:t>У 2020 році організовано ознайомчий візит делегації міста на сміттєпереробні заводи міст Краків (Республіка Польща) та Брно (Чеська Республіка).</w:t>
            </w:r>
            <w:r>
              <w:rPr>
                <w:rFonts w:eastAsia="Times New Roman" w:cs="Times New Roman" w:ascii="Times New Roman" w:hAnsi="Times New Roman"/>
                <w:spacing w:val="-6"/>
                <w:sz w:val="27"/>
                <w:szCs w:val="27"/>
                <w:lang w:bidi="ar-SA"/>
              </w:rPr>
              <w:t xml:space="preserve"> </w:t>
            </w:r>
            <w:r>
              <w:rPr>
                <w:rFonts w:cs="Times New Roman" w:ascii="Times New Roman" w:hAnsi="Times New Roman"/>
                <w:spacing w:val="-6"/>
                <w:sz w:val="27"/>
                <w:szCs w:val="27"/>
                <w:lang w:bidi="ar-SA"/>
              </w:rPr>
              <w:t>Працівники Луцької міської ради та депутати Луцької міської ради також взяли участь в онлайн - Конгресі транскордонного співробітництва Люблін 2020.</w:t>
            </w:r>
          </w:p>
          <w:p>
            <w:pPr>
              <w:pStyle w:val="Normal"/>
              <w:suppressAutoHyphens w:val="true"/>
              <w:snapToGrid w:val="false"/>
              <w:ind w:firstLine="567"/>
              <w:jc w:val="both"/>
              <w:textAlignment w:val="baseline"/>
              <w:rPr>
                <w:rFonts w:cs="Arial"/>
                <w:spacing w:val="-6"/>
              </w:rPr>
            </w:pPr>
            <w:r>
              <w:rPr>
                <w:rFonts w:cs="Times New Roman" w:ascii="Times New Roman" w:hAnsi="Times New Roman"/>
                <w:spacing w:val="-6"/>
                <w:sz w:val="27"/>
                <w:szCs w:val="27"/>
                <w:lang w:bidi="ar-SA"/>
              </w:rPr>
              <w:t>Надано сприяння у впровадженні онлайн-проєкту «Бабусине Різдво», зокрема, здійснено переклад на англійську та польську мови інформації про проєкт та реєстраційної форми на участь, підготовлено та розіслано містам-партнерам і дружнім містам в Польщі, Литві, Німеччині, Грузії, Греції, Румунії, Чехії, Словаччині та Франції листи з відповідною інформацією та запрошенням долучитися до цієї ініціативи.</w:t>
            </w:r>
          </w:p>
          <w:p>
            <w:pPr>
              <w:pStyle w:val="Normal"/>
              <w:suppressAutoHyphens w:val="true"/>
              <w:snapToGrid w:val="false"/>
              <w:ind w:firstLine="567"/>
              <w:jc w:val="both"/>
              <w:textAlignment w:val="baseline"/>
              <w:rPr>
                <w:rFonts w:cs="Arial"/>
              </w:rPr>
            </w:pPr>
            <w:r>
              <w:rPr>
                <w:rFonts w:cs="Times New Roman" w:ascii="Times New Roman" w:hAnsi="Times New Roman"/>
                <w:spacing w:val="-6"/>
                <w:sz w:val="27"/>
                <w:szCs w:val="27"/>
                <w:lang w:bidi="ar-SA"/>
              </w:rPr>
              <w:t>К</w:t>
            </w:r>
            <w:r>
              <w:rPr>
                <w:rFonts w:cs="Times New Roman" w:ascii="Times New Roman" w:hAnsi="Times New Roman"/>
                <w:spacing w:val="-6"/>
                <w:sz w:val="27"/>
                <w:szCs w:val="27"/>
              </w:rPr>
              <w:t xml:space="preserve">оманда проєкту «Нове життя старого міста: ревіталізація пам'яток історико-культурної спадщини Луцька та Любліна» взяла участь у Zoom -  конференції «PBU on the air» Програми Транскордонного Співробітництва Польща-Білорусь-Україна 2014-2020. </w:t>
            </w:r>
            <w:r>
              <w:rPr>
                <w:rFonts w:cs="Times New Roman" w:ascii="Times New Roman" w:hAnsi="Times New Roman"/>
                <w:spacing w:val="-6"/>
                <w:sz w:val="27"/>
                <w:szCs w:val="27"/>
                <w:lang w:bidi="ar-SA"/>
              </w:rPr>
              <w:t>Також у 2020 році працівники Луцької міської ради взяли участь у Першій онлайн-конференції німецько-українських муніципальних партнерств в рамках Конференції муніципальних партнерств з країнами Східної Європи.</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360" w:leader="none"/>
                <w:tab w:val="left" w:pos="900" w:leader="none"/>
              </w:tabs>
              <w:suppressAutoHyphens w:val="true"/>
              <w:jc w:val="both"/>
              <w:textAlignment w:val="baseline"/>
              <w:rPr>
                <w:rFonts w:cs="Arial"/>
                <w:spacing w:val="-4"/>
              </w:rPr>
            </w:pPr>
            <w:r>
              <w:rPr>
                <w:rFonts w:cs="Times New Roman" w:ascii="Times New Roman" w:hAnsi="Times New Roman"/>
                <w:spacing w:val="-4"/>
                <w:sz w:val="27"/>
                <w:szCs w:val="27"/>
              </w:rPr>
              <w:t>Координація міжнародної діяльності виконавчих органів міської ради, надання методичної та організаційної допомоги у здійсненні міждержавних зв’язків.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Працівниками управління міжнародного співробітництва та проєктної діяльності постійно здійснювалась поточна координація і консультування виконавчих органів міської ради під час здійснення ними міжнародної діяльності (</w:t>
            </w:r>
            <w:r>
              <w:rPr>
                <w:rFonts w:cs="Times New Roman" w:ascii="Times New Roman" w:hAnsi="Times New Roman"/>
                <w:sz w:val="27"/>
                <w:szCs w:val="27"/>
                <w:highlight w:val="white"/>
              </w:rPr>
              <w:t>щодо порядку ведення переговорів, онлайн- конференцій, переклад документів тощо).</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360" w:leader="none"/>
                <w:tab w:val="left" w:pos="900" w:leader="none"/>
              </w:tabs>
              <w:suppressAutoHyphens w:val="true"/>
              <w:jc w:val="both"/>
              <w:textAlignment w:val="baseline"/>
              <w:rPr>
                <w:rFonts w:cs="Arial"/>
                <w:spacing w:val="-4"/>
              </w:rPr>
            </w:pPr>
            <w:r>
              <w:rPr>
                <w:rFonts w:cs="Times New Roman" w:ascii="Times New Roman" w:hAnsi="Times New Roman"/>
                <w:spacing w:val="-4"/>
                <w:sz w:val="27"/>
                <w:szCs w:val="27"/>
              </w:rPr>
              <w:t>Забезпечення офіційної ділової комунікації з дипломатичними представництвами іноземних держав та представництвами міжнародних організацій в Україні.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xml:space="preserve">У серпні 2020 року Луцька міська рада отримала гуманітарну допомогу з партнерського міста Сянтань (КНР) для використання під час надання медичної допомоги населенню міста Луцька при лікуванні коронавірусної хвороби COVID-19.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xml:space="preserve">Надано сприяння та організаційну підтримку в оформленні документів для процедури передачі КП «Луцька міська дитяча поліклініка» гуманітарної допомоги у вигляді автомобіля швидкої допомоги від Повітового Староства в Любліні. </w:t>
            </w:r>
          </w:p>
        </w:tc>
      </w:tr>
      <w:tr>
        <w:trPr>
          <w:trHeight w:val="89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360" w:leader="none"/>
                <w:tab w:val="left" w:pos="900" w:leader="none"/>
              </w:tabs>
              <w:suppressAutoHyphens w:val="true"/>
              <w:jc w:val="both"/>
              <w:textAlignment w:val="baseline"/>
              <w:rPr>
                <w:rFonts w:cs="Arial"/>
                <w:spacing w:val="-4"/>
              </w:rPr>
            </w:pPr>
            <w:r>
              <w:rPr>
                <w:rFonts w:cs="Times New Roman" w:ascii="Times New Roman" w:hAnsi="Times New Roman"/>
                <w:spacing w:val="-4"/>
                <w:sz w:val="27"/>
                <w:szCs w:val="27"/>
              </w:rPr>
              <w:t>Ведення англомовної  версії офіційного сайту Луцької міської ради.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hd w:val="clear" w:color="auto" w:fill="FFFFFF"/>
              <w:tabs>
                <w:tab w:val="clear" w:pos="709"/>
                <w:tab w:val="left" w:pos="851" w:leader="none"/>
              </w:tabs>
              <w:suppressAutoHyphens w:val="true"/>
              <w:ind w:firstLine="567"/>
              <w:jc w:val="both"/>
              <w:textAlignment w:val="baseline"/>
              <w:rPr>
                <w:rFonts w:cs="Arial"/>
              </w:rPr>
            </w:pPr>
            <w:r>
              <w:rPr>
                <w:rFonts w:cs="Times New Roman" w:ascii="Times New Roman" w:hAnsi="Times New Roman"/>
                <w:sz w:val="27"/>
                <w:szCs w:val="27"/>
              </w:rPr>
              <w:t xml:space="preserve">Протягом звітного періоду здійснювався переклад інформації про найважливіші події в              місті на англійську мову для публікації на офіційному сайті Луцької міської ради. </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1.5. Управління майном та земельними ресурсами комунальної форми власності</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Стан виконання заходів</w:t>
            </w:r>
          </w:p>
        </w:tc>
      </w:tr>
      <w:tr>
        <w:trPr>
          <w:trHeight w:val="7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ascii="Times New Roman" w:hAnsi="Times New Roman" w:cs="Times New Roman"/>
                <w:spacing w:val="-4"/>
                <w:sz w:val="27"/>
                <w:szCs w:val="27"/>
              </w:rPr>
            </w:pPr>
            <w:r>
              <w:rPr>
                <w:rFonts w:cs="Times New Roman" w:ascii="Times New Roman" w:hAnsi="Times New Roman"/>
                <w:spacing w:val="-4"/>
                <w:sz w:val="27"/>
                <w:szCs w:val="27"/>
              </w:rPr>
              <w:t xml:space="preserve">Надходження коштів до бюджету Луцької міської територіальної громади від оренди нежитлових приміщень у </w:t>
            </w:r>
            <w:r>
              <w:rPr>
                <w:rFonts w:cs="Times New Roman" w:ascii="Times New Roman" w:hAnsi="Times New Roman"/>
                <w:spacing w:val="-4"/>
                <w:sz w:val="27"/>
                <w:szCs w:val="27"/>
                <w:shd w:fill="FFFFFF" w:val="clear"/>
              </w:rPr>
              <w:t>розмірі 5,0 млн грн; (</w:t>
            </w:r>
            <w:r>
              <w:rPr>
                <w:rFonts w:cs="Times New Roman" w:ascii="Times New Roman" w:hAnsi="Times New Roman"/>
                <w:spacing w:val="-4"/>
                <w:sz w:val="27"/>
                <w:szCs w:val="27"/>
              </w:rPr>
              <w:t xml:space="preserve">укладено 392 договори оренди нежитлових приміщень, що передані в оренду чи інше право користування) </w:t>
            </w:r>
          </w:p>
          <w:p>
            <w:pPr>
              <w:pStyle w:val="Normal"/>
              <w:widowControl w:val="false"/>
              <w:suppressAutoHyphens w:val="true"/>
              <w:jc w:val="both"/>
              <w:textAlignment w:val="baseline"/>
              <w:rPr>
                <w:rFonts w:ascii="Times New Roman" w:hAnsi="Times New Roman" w:cs="Times New Roman"/>
                <w:spacing w:val="-4"/>
                <w:sz w:val="27"/>
                <w:szCs w:val="27"/>
              </w:rPr>
            </w:pPr>
            <w:r>
              <w:rPr>
                <w:rFonts w:cs="Times New Roman" w:ascii="Times New Roman" w:hAnsi="Times New Roman"/>
                <w:spacing w:val="-4"/>
                <w:sz w:val="27"/>
                <w:szCs w:val="27"/>
              </w:rPr>
            </w:r>
          </w:p>
          <w:p>
            <w:pPr>
              <w:pStyle w:val="Normal"/>
              <w:widowControl w:val="false"/>
              <w:suppressAutoHyphens w:val="true"/>
              <w:jc w:val="both"/>
              <w:textAlignment w:val="baseline"/>
              <w:rPr>
                <w:rFonts w:cs="Arial"/>
                <w:spacing w:val="-4"/>
              </w:rPr>
            </w:pPr>
            <w:r>
              <w:rPr>
                <w:rFonts w:cs="Arial"/>
                <w:spacing w:val="-4"/>
              </w:rPr>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624"/>
              <w:jc w:val="both"/>
              <w:textAlignment w:val="baseline"/>
              <w:rPr>
                <w:rFonts w:ascii="TimesNewRomanPSMT" w:hAnsi="TimesNewRomanPSMT" w:cs="TimesNewRomanPSMT"/>
                <w:sz w:val="28"/>
              </w:rPr>
            </w:pPr>
            <w:r>
              <w:rPr>
                <w:rFonts w:eastAsia="Calibri" w:cs="Times New Roman" w:ascii="Times New Roman" w:hAnsi="Times New Roman"/>
                <w:kern w:val="0"/>
                <w:sz w:val="27"/>
                <w:szCs w:val="27"/>
                <w:lang w:bidi="ar-SA"/>
              </w:rPr>
              <w:t xml:space="preserve">У 2020 році до </w:t>
            </w:r>
            <w:r>
              <w:rPr>
                <w:rFonts w:cs="Times New Roman" w:ascii="Times New Roman" w:hAnsi="Times New Roman"/>
                <w:sz w:val="27"/>
                <w:szCs w:val="27"/>
              </w:rPr>
              <w:t>бюджету Луцької міської територіальної громади</w:t>
            </w:r>
            <w:r>
              <w:rPr>
                <w:rFonts w:eastAsia="Calibri" w:cs="Times New Roman" w:ascii="Times New Roman" w:hAnsi="Times New Roman"/>
                <w:kern w:val="0"/>
                <w:sz w:val="27"/>
                <w:szCs w:val="27"/>
                <w:lang w:bidi="ar-SA"/>
              </w:rPr>
              <w:t xml:space="preserve"> від оренди нерухомого майна надійшло коштів у розмірі 5 456,5 тис. гривень.</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spacing w:val="-4"/>
              </w:rPr>
            </w:pPr>
            <w:r>
              <w:rPr>
                <w:rFonts w:cs="Times New Roman" w:ascii="Times New Roman" w:hAnsi="Times New Roman"/>
                <w:spacing w:val="-4"/>
                <w:sz w:val="27"/>
                <w:szCs w:val="27"/>
              </w:rPr>
              <w:t xml:space="preserve">Надходження коштів до бюджету Луцької міської територіальної громади від відчуження об’єктів комунальної власності Луцької міської територіальної громади у розмірі </w:t>
            </w:r>
            <w:r>
              <w:rPr>
                <w:rFonts w:cs="Times New Roman" w:ascii="Times New Roman" w:hAnsi="Times New Roman"/>
                <w:spacing w:val="-4"/>
                <w:sz w:val="27"/>
                <w:szCs w:val="27"/>
                <w:shd w:fill="FFFFFF" w:val="clear"/>
              </w:rPr>
              <w:t>10,0 млн грн (вул. Червоного Хреста, 16, пр-т Волі, 27 а, вул. Лісова, 1 а, вул. Володимирська, 55, пр-т Молоді, 10 в, пр-т Волі, 8)</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Надходження коштів до бюджету Луцької міської територіальної громади від відчуження об’єктів комунальної власності у звітному періоді не було, оскільки, відчуження об’єктів не проводилося. </w:t>
            </w:r>
          </w:p>
        </w:tc>
      </w:tr>
      <w:tr>
        <w:trPr>
          <w:trHeight w:val="89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ascii="Times New Roman" w:hAnsi="Times New Roman" w:cs="Times New Roman"/>
                <w:b/>
                <w:b/>
                <w:spacing w:val="-4"/>
                <w:sz w:val="27"/>
                <w:szCs w:val="27"/>
                <w:highlight w:val="white"/>
              </w:rPr>
            </w:pPr>
            <w:r>
              <w:rPr>
                <w:rFonts w:cs="Times New Roman" w:ascii="Times New Roman" w:hAnsi="Times New Roman"/>
                <w:spacing w:val="-4"/>
                <w:sz w:val="27"/>
                <w:szCs w:val="27"/>
              </w:rPr>
              <w:t xml:space="preserve">Надходження коштів до бюджету Луцької міської територіальної громади від сплати за користування окремими елементами благоустрою комунальної власності у розмірі </w:t>
            </w:r>
            <w:r>
              <w:rPr>
                <w:rFonts w:cs="Times New Roman" w:ascii="Times New Roman" w:hAnsi="Times New Roman"/>
                <w:spacing w:val="-4"/>
                <w:sz w:val="27"/>
                <w:szCs w:val="27"/>
                <w:shd w:fill="FFFFFF" w:val="clear"/>
              </w:rPr>
              <w:t xml:space="preserve">3,0 млн грн (укладено </w:t>
            </w:r>
            <w:r>
              <w:rPr>
                <w:rFonts w:cs="Times New Roman" w:ascii="Times New Roman" w:hAnsi="Times New Roman"/>
                <w:spacing w:val="-4"/>
                <w:sz w:val="27"/>
                <w:szCs w:val="27"/>
              </w:rPr>
              <w:t>270 договорів за користування окремими елементами благоустрою комунальної власності)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eastAsia="Calibri" w:cs="Times New Roman" w:ascii="Times New Roman" w:hAnsi="Times New Roman"/>
                <w:kern w:val="0"/>
                <w:sz w:val="27"/>
                <w:szCs w:val="27"/>
                <w:lang w:bidi="ar-SA"/>
              </w:rPr>
              <w:t xml:space="preserve">За 2020 рік надійшло до бюджету Луцької міської територіальної громади 3 435, 0 тис. грн від сплати щодо договорів на право тимчасового користування окремими елементами благоустрою комунальної власності. </w:t>
            </w:r>
          </w:p>
          <w:p>
            <w:pPr>
              <w:pStyle w:val="Normal"/>
              <w:suppressAutoHyphens w:val="true"/>
              <w:snapToGrid w:val="false"/>
              <w:ind w:firstLine="567"/>
              <w:jc w:val="both"/>
              <w:textAlignment w:val="baseline"/>
              <w:rPr>
                <w:rFonts w:cs="Arial"/>
              </w:rPr>
            </w:pPr>
            <w:r>
              <w:rPr>
                <w:rFonts w:eastAsia="Calibri" w:cs="Times New Roman" w:ascii="Times New Roman" w:hAnsi="Times New Roman"/>
                <w:kern w:val="0"/>
                <w:sz w:val="27"/>
                <w:szCs w:val="27"/>
                <w:lang w:bidi="ar-SA"/>
              </w:rPr>
              <w:t>Відповідно до рішення міської ради від 08.04.2020 № 75/5 «Про звільнення від орендної плати за користування майном та плати на право тимчасового користування окремими елементами благоустрою, що належать до комунальної власності Луцької міської територіальної громади» підприємців було звільнено від сплати коштів за користуванням комунальним майном з 17.02.2020 до 11.05.20202 року.</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Забезпечення інформаційної відкритості процесу відчуження та оренди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606"/>
              <w:jc w:val="both"/>
              <w:textAlignment w:val="baseline"/>
              <w:rPr>
                <w:rFonts w:cs="Arial"/>
              </w:rPr>
            </w:pPr>
            <w:r>
              <w:rPr>
                <w:rFonts w:cs="Times New Roman" w:ascii="Times New Roman" w:hAnsi="Times New Roman"/>
                <w:sz w:val="27"/>
                <w:szCs w:val="27"/>
              </w:rPr>
              <w:t>Перелік об’єктів комунальної власності, що передані в оренду чи інше право користування  розміщено на офіційному сайті Луцької міської ради (https://www.lutskrada.gov.ua/departments/viddil-upravlinnia-mainom-miskoi-komunalnoi-vlasnosti).</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Проведення конкурсів щодо відбору незалежних експертів-оцінювачів нежитлових приміщень комунальної власності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липні місяці 2020 року відбувся конкурс на виконання експертної оцінки нежитлового приміщення, загальною площею 26,8 кв.м на вул. Паркова,7 міста Луцька.</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Проведення конкурсів на право оренди нежитлових приміщень</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464"/>
              <w:jc w:val="both"/>
              <w:textAlignment w:val="baseline"/>
              <w:rPr>
                <w:rFonts w:cs="Arial"/>
              </w:rPr>
            </w:pPr>
            <w:r>
              <w:rPr>
                <w:rFonts w:cs="Times New Roman" w:ascii="Times New Roman" w:hAnsi="Times New Roman"/>
                <w:sz w:val="27"/>
                <w:szCs w:val="27"/>
              </w:rPr>
              <w:t xml:space="preserve">У 2020 році конкурси на право оренди нежитлових приміщень не проводилися.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cs="Arial"/>
              </w:rPr>
            </w:pPr>
            <w:r>
              <w:rPr>
                <w:rFonts w:cs="Times New Roman" w:ascii="Times New Roman" w:hAnsi="Times New Roman"/>
                <w:sz w:val="27"/>
                <w:szCs w:val="27"/>
              </w:rPr>
              <w:t>Проведення конкурсів на оформлення права на користування окремими елементами благоустрою комунальної власності для розміщення тимчасових споруд</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464"/>
              <w:jc w:val="both"/>
              <w:textAlignment w:val="baseline"/>
              <w:rPr>
                <w:rFonts w:cs="Arial"/>
              </w:rPr>
            </w:pPr>
            <w:r>
              <w:rPr>
                <w:rFonts w:cs="Times New Roman" w:ascii="Times New Roman" w:hAnsi="Times New Roman"/>
                <w:sz w:val="27"/>
                <w:szCs w:val="27"/>
              </w:rPr>
              <w:t xml:space="preserve">За звітний період відбулося 19 конкурсів на оформлення права на користування окремими елементами благоустрою комунальної власності для розміщення тимчасових споруд. </w:t>
            </w:r>
          </w:p>
          <w:p>
            <w:pPr>
              <w:pStyle w:val="Normal"/>
              <w:widowControl w:val="false"/>
              <w:suppressAutoHyphens w:val="true"/>
              <w:ind w:firstLine="464"/>
              <w:jc w:val="both"/>
              <w:textAlignment w:val="baseline"/>
              <w:rPr>
                <w:rFonts w:cs="Arial"/>
              </w:rPr>
            </w:pPr>
            <w:r>
              <w:rPr>
                <w:rFonts w:cs="Times New Roman" w:ascii="Times New Roman" w:hAnsi="Times New Roman"/>
                <w:sz w:val="27"/>
                <w:szCs w:val="27"/>
              </w:rPr>
              <w:t xml:space="preserve">Укладено договори на право користування окремими елементами благоустрою за такими адресами: просп. Соборності, 7, Соборності, 37, вул. Кравчука, 28, Клима Савура, 81,            вул. Станіславського, 50, просп. Відродження, 10, вул. Ветеранів, 11б, вул. Потебні (поблизу будинку № 46), вул. Привокзальна (поблизу будинку № 7), вул. Конякіна, 14а, вул. Федорова (поблизу будинку № 2), вул. Федорова (поблизу будинку № 8), вул. Клима Савура, 81, вул. Кравчука (поблизу буд. 35 на вул. Гордіюк), просп. Відродження (територія парку культури та відпочинку імені 900-річчя м. Луцька), просп. Відродження, 26, вул. Конякіна (поряд з КВП «Волинькульторг»), вул. Ківерцівська, 1, вул. Чернишевського, 114б.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Контроль за використанням матеріальних ресурсів підприємств, установ, організацій та закладів комунальної власності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Забезпечення ефективного використання та збереження майна, що є власністю Луцької міської територіальної громади, здійснення належного контролю та встановлення єдиної процедури списання основних засобів з балансів підприємств, установ, закладів, у тому числі бюджетних, що належить до комунальної власності здійснюється згідно із Положенням про списання майна комунальної власності територіальної громади міста Луцька (затверджене рішенням міської ради від 25.05.2016 №  9/7).</w:t>
            </w:r>
          </w:p>
        </w:tc>
      </w:tr>
      <w:tr>
        <w:trPr>
          <w:trHeight w:val="359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ascii="Times New Roman" w:hAnsi="Times New Roman" w:cs="Times New Roman"/>
                <w:b/>
                <w:b/>
                <w:sz w:val="27"/>
                <w:szCs w:val="27"/>
              </w:rPr>
            </w:pPr>
            <w:r>
              <w:rPr>
                <w:rFonts w:cs="Times New Roman" w:ascii="Times New Roman" w:hAnsi="Times New Roman"/>
                <w:sz w:val="27"/>
                <w:szCs w:val="27"/>
              </w:rPr>
              <w:t xml:space="preserve">Продаж земельних ділянок комунальної власності (речових прав на них) на конкурентних засадах (земельних торгах), зокрема, </w:t>
            </w:r>
            <w:r>
              <w:rPr>
                <w:rFonts w:cs="Times New Roman" w:ascii="Times New Roman" w:hAnsi="Times New Roman"/>
                <w:sz w:val="27"/>
                <w:szCs w:val="27"/>
                <w:highlight w:val="white"/>
              </w:rPr>
              <w:t>на вул. Ветеранів, 14, Електроапаратна, 5-г, Клима Савура, 33, Конякіна, 1-г, Конякіна, 1-д, Конякіна, 5-а (загальна площа земельних ділянок становить 1,51 га)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Протягом 2020 року земельні торги (аукціони) з продажу земельних ділянок комунальної власності несільськогосподарського призначення, а також їх прав оренди, на території міста Луцька не проводилися. Відповідно до рішень Луцької міської ради від 30.05.2018 № 42/6 та від 26.06.2019 № 58/3 «Про надання виконавчому комітету Луцької міської ради дозволів на розроблення проєктів землеустрою щодо відведення земельних ділянок комунальної власності несільськогосподарського призначення, які пропонуватимуться для включення в перелік земельних ділянок, що виставлятимуться на земельні торги, та проведення їх експертних грошових оцінок» проводилася робота з розроблення землевпорядної документації на 11 (одинадцять) земельних ділянках комунальної власності, які після затвердження переліку земельних ділянок для продажу на земельних торгах плануються виставлятися окремими лотами на земельні торги (аукціони) у 2021 році. </w:t>
            </w:r>
          </w:p>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Також протягом року тривали роботи щодо пошуку нових земельних ділянок комунальної власності, які можна було б підготувати для продажу на земельних торгах (аукціоні).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10.</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cs="Arial"/>
                <w:spacing w:val="-4"/>
              </w:rPr>
            </w:pPr>
            <w:r>
              <w:rPr>
                <w:rFonts w:cs="Times New Roman" w:ascii="Times New Roman" w:hAnsi="Times New Roman"/>
                <w:spacing w:val="-4"/>
                <w:sz w:val="27"/>
                <w:szCs w:val="27"/>
              </w:rPr>
              <w:t>Продаж земельних ділянок комунальної власності не сільськогосподарського призначення громадянам та юридичним особам, які мають право на набуття земельних ділянок у власність (викуп земельних ділянок, на яких розташовані об’єкти нерухомого майна, що є власністю покупців цих ділянок)</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464"/>
              <w:jc w:val="both"/>
              <w:textAlignment w:val="baseline"/>
              <w:rPr>
                <w:rFonts w:cs="Arial"/>
              </w:rPr>
            </w:pPr>
            <w:r>
              <w:rPr>
                <w:rFonts w:cs="Times New Roman" w:ascii="Times New Roman" w:hAnsi="Times New Roman"/>
                <w:sz w:val="27"/>
                <w:szCs w:val="27"/>
              </w:rPr>
              <w:t xml:space="preserve">Протягом зазначеного періоду забезпечено підготовку та продаж 6 (шести) земельних ділянок комунальної власності під об’єктами нерухомого майна, що належать покупцям земельних ділянок на праві власності, загальною площею 3,5330 га, щодо яких укладено договори купівлі-продажу на загальну суму 10 704,9 тис. грн, а саме: просп. Молоді, 21-а, площею 0,0294 га, вул. Винниченка, 51а, площею 0,0280 га, вул. Ціолковського, 17, площею 0,8241 га, вул. Рівненська, 145, площею 2,1401 га, вул. Потебні, 79-а, площею 0,1148 га, вул. Тарасова, 32-а, площею 0,3966 га. </w:t>
            </w:r>
          </w:p>
          <w:p>
            <w:pPr>
              <w:pStyle w:val="Normal"/>
              <w:widowControl w:val="false"/>
              <w:suppressAutoHyphens w:val="true"/>
              <w:ind w:firstLine="464"/>
              <w:jc w:val="both"/>
              <w:textAlignment w:val="baseline"/>
              <w:rPr>
                <w:rFonts w:ascii="Times New Roman" w:hAnsi="Times New Roman" w:cs="Times New Roman"/>
                <w:sz w:val="27"/>
                <w:szCs w:val="27"/>
              </w:rPr>
            </w:pPr>
            <w:r>
              <w:rPr>
                <w:rFonts w:cs="Times New Roman" w:ascii="Times New Roman" w:hAnsi="Times New Roman"/>
                <w:sz w:val="27"/>
                <w:szCs w:val="27"/>
              </w:rPr>
              <w:t>Загалом за період з 01.01.2020 - 31.12.2020 надходження коштів від продажу земельних ділянок комунальної власності, шляхом викупу, враховуючи авансові внески, в тому числі за не продані земельні ділянки, та сплачені кошти по проданих земельних ділянках, склали 10 350</w:t>
            </w:r>
            <w:r>
              <w:rPr>
                <w:rFonts w:cs="Times New Roman" w:ascii="Times New Roman" w:hAnsi="Times New Roman"/>
                <w:sz w:val="27"/>
                <w:szCs w:val="27"/>
                <w:lang w:val="en-US"/>
              </w:rPr>
              <w:t> </w:t>
            </w:r>
            <w:r>
              <w:rPr>
                <w:rFonts w:cs="Times New Roman" w:ascii="Times New Roman" w:hAnsi="Times New Roman"/>
                <w:sz w:val="27"/>
                <w:szCs w:val="27"/>
              </w:rPr>
              <w:t xml:space="preserve">822,50 грн. </w:t>
            </w:r>
          </w:p>
        </w:tc>
      </w:tr>
      <w:tr>
        <w:trPr>
          <w:trHeight w:val="102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11.</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cs="Arial"/>
              </w:rPr>
            </w:pPr>
            <w:r>
              <w:rPr>
                <w:rFonts w:cs="Times New Roman" w:ascii="Times New Roman" w:hAnsi="Times New Roman"/>
                <w:sz w:val="27"/>
                <w:szCs w:val="27"/>
              </w:rPr>
              <w:t>Організація приватизації земельних ділянок комунальної власності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Протягом 2020 року забезпечено надання безоплатно у власність громадянам 138 земельних ділянок.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12.</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cs="Arial"/>
              </w:rPr>
            </w:pPr>
            <w:r>
              <w:rPr>
                <w:rFonts w:cs="Times New Roman" w:ascii="Times New Roman" w:hAnsi="Times New Roman"/>
                <w:sz w:val="27"/>
                <w:szCs w:val="27"/>
              </w:rPr>
              <w:t>Організація оформлення права постійного користування земельними ділянками під об’єктами комунальної власності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spacing w:val="-4"/>
              </w:rPr>
            </w:pPr>
            <w:r>
              <w:rPr>
                <w:rFonts w:cs="Times New Roman" w:ascii="Times New Roman" w:hAnsi="Times New Roman"/>
                <w:spacing w:val="-4"/>
                <w:sz w:val="27"/>
                <w:szCs w:val="27"/>
              </w:rPr>
              <w:t>Протягом року Луцькою міською радою прийняті рішення про надання дозволів на розроблення землевпорядної документації щодо земельних ділянок:</w:t>
            </w:r>
          </w:p>
          <w:p>
            <w:pPr>
              <w:pStyle w:val="Normal"/>
              <w:widowControl w:val="false"/>
              <w:suppressAutoHyphens w:val="true"/>
              <w:ind w:firstLine="567"/>
              <w:jc w:val="both"/>
              <w:textAlignment w:val="baseline"/>
              <w:rPr>
                <w:rFonts w:cs="Arial"/>
                <w:spacing w:val="-4"/>
              </w:rPr>
            </w:pPr>
            <w:r>
              <w:rPr>
                <w:rFonts w:eastAsia="Times New Roman" w:cs="Times New Roman" w:ascii="Times New Roman" w:hAnsi="Times New Roman"/>
                <w:spacing w:val="-4"/>
                <w:sz w:val="27"/>
                <w:szCs w:val="27"/>
              </w:rPr>
              <w:t> </w:t>
            </w:r>
            <w:r>
              <w:rPr>
                <w:rFonts w:cs="Times New Roman" w:ascii="Times New Roman" w:hAnsi="Times New Roman"/>
                <w:spacing w:val="-4"/>
                <w:sz w:val="27"/>
                <w:szCs w:val="27"/>
              </w:rPr>
              <w:t>- на вул. Франка, 14 а, площею 0,3623 га та на вул. Франка, 14, площею 0,0990 га для КП «Луцьке елетротехнічне підприємство</w:t>
            </w:r>
            <w:r>
              <w:rPr>
                <w:rFonts w:cs="Times New Roman" w:ascii="Times New Roman" w:hAnsi="Times New Roman"/>
                <w:spacing w:val="-4"/>
                <w:sz w:val="27"/>
                <w:szCs w:val="27"/>
                <w:lang w:val="ru-RU"/>
              </w:rPr>
              <w:t xml:space="preserve"> – </w:t>
            </w:r>
            <w:r>
              <w:rPr>
                <w:rFonts w:cs="Times New Roman" w:ascii="Times New Roman" w:hAnsi="Times New Roman"/>
                <w:spacing w:val="-4"/>
                <w:sz w:val="27"/>
                <w:szCs w:val="27"/>
              </w:rPr>
              <w:t>Луцьксвітло»;</w:t>
            </w:r>
          </w:p>
          <w:p>
            <w:pPr>
              <w:pStyle w:val="Normal"/>
              <w:widowControl w:val="false"/>
              <w:suppressAutoHyphens w:val="true"/>
              <w:ind w:firstLine="567"/>
              <w:jc w:val="both"/>
              <w:textAlignment w:val="baseline"/>
              <w:rPr>
                <w:rFonts w:cs="Arial"/>
                <w:spacing w:val="-4"/>
              </w:rPr>
            </w:pPr>
            <w:r>
              <w:rPr>
                <w:rFonts w:cs="Times New Roman" w:ascii="Times New Roman" w:hAnsi="Times New Roman"/>
                <w:spacing w:val="-4"/>
                <w:sz w:val="27"/>
                <w:szCs w:val="27"/>
              </w:rPr>
              <w:t> </w:t>
            </w:r>
            <w:r>
              <w:rPr>
                <w:rFonts w:cs="Times New Roman" w:ascii="Times New Roman" w:hAnsi="Times New Roman"/>
                <w:spacing w:val="-4"/>
                <w:sz w:val="27"/>
                <w:szCs w:val="27"/>
              </w:rPr>
              <w:t>- на вул. Шопена, орієнтовною площею 0,01 га для КП «Парки та сквери м. Луцька»;</w:t>
            </w:r>
          </w:p>
          <w:p>
            <w:pPr>
              <w:pStyle w:val="Normal"/>
              <w:widowControl w:val="false"/>
              <w:suppressAutoHyphens w:val="true"/>
              <w:ind w:firstLine="567"/>
              <w:jc w:val="both"/>
              <w:textAlignment w:val="baseline"/>
              <w:rPr>
                <w:rFonts w:cs="Arial"/>
                <w:spacing w:val="-4"/>
              </w:rPr>
            </w:pPr>
            <w:r>
              <w:rPr>
                <w:rFonts w:cs="Times New Roman" w:ascii="Times New Roman" w:hAnsi="Times New Roman"/>
                <w:spacing w:val="-4"/>
                <w:sz w:val="27"/>
                <w:szCs w:val="27"/>
              </w:rPr>
              <w:t> </w:t>
            </w:r>
            <w:r>
              <w:rPr>
                <w:rFonts w:cs="Times New Roman" w:ascii="Times New Roman" w:hAnsi="Times New Roman"/>
                <w:spacing w:val="-4"/>
                <w:sz w:val="27"/>
                <w:szCs w:val="27"/>
              </w:rPr>
              <w:t xml:space="preserve">- на вул. Глушець, орієнтовною площею 3,36 га для КП «Луцький зоопарк». </w:t>
            </w:r>
          </w:p>
          <w:p>
            <w:pPr>
              <w:pStyle w:val="Normal"/>
              <w:widowControl w:val="false"/>
              <w:suppressAutoHyphens w:val="true"/>
              <w:ind w:firstLine="567"/>
              <w:jc w:val="both"/>
              <w:textAlignment w:val="baseline"/>
              <w:rPr>
                <w:rFonts w:cs="Arial"/>
              </w:rPr>
            </w:pPr>
            <w:r>
              <w:rPr>
                <w:rFonts w:cs="Times New Roman" w:ascii="Times New Roman" w:hAnsi="Times New Roman"/>
                <w:spacing w:val="-4"/>
                <w:sz w:val="27"/>
                <w:szCs w:val="27"/>
              </w:rPr>
              <w:t>Надано в постійне користування наступні земельні ділянки: КЗ «Дошкільний навчальний заклад № 38» (вул. Софії Ковалевської, 54), площею 0,9343 га, КЗ «Дошкільний навчальний заклад № 37» (вул. Наливайка), 6-б, площею 0,96 га, КЗ «Дошкільний навчальний заклад № 35»                               (просп. Відродження, 20-б), площею 1,00 га, КЗ «Дошкільний навчальний заклад № 34»                         (вул. Гетьмана Сагайдачного, 4), площею 0,95 га, КЗ «Дошкільний навчальний заклад № 33»                   (вул. Ветеранів, 2), площею 0,83 га, КЗ «Дошкільний навчальний заклад №31» (просп. Соборності, 21-а), площею 0,99 га, КЗ «Дошкільний навчальний заклад № 26» (вул. Шевченка, 66), площею 0,52 га, КЗ «Дошкільний навчальний заклад № 10» (вул. Воїнів-афганців, 8), площею 1,02 га, КЗ «Дошкільний навчальний заклад № 6» (вул. Архітектора Метельницького, 16), площею 0,8848 га, КЗ «Дошкільний навчальний заклад №5» (вул. Даргомижського, 5а), площею 0,9439 га, КЗ «Дитячо-юнацька спортивна школа № 2 Луцької міської ради» (вул. Глушець), площею 1,4260 га, КП «Луцька міська дитяча поліклініка» (вул. В’ячеслава Чорновола, 1), площею 0,7038 га, КЗ «Дитячо-юнацька спортивн ашкола № 2 Луцької міської ради (вул. Дачна), площею 1,8936 га, КП «Луцькводоканал» (вул. Теремнівська, 40г), площею 0,8963 га, КП «Парки та сквери м. Луцька» (вул. Глушець та Рівненська, 119), площею 0,0700 га 0,1835 га, КП «Ласка» (вул. Мамсурова, 9), площею 1,2015 га, КЗ «Комплексна дитячо-юнацька спортивна школа № 1 Луцької міської ради» (вул. Корольова, 7), площею 0,1218 га, КЗ «Луцька загальноосвітня школа І-ІІІ ступенів № 17 Луцької міської ради» (вул. Щусева, 10), площею 2,3132 га, КЗ «Луцька загальноосвітня школа І-ІІІ ступенів № 16 Луцької міської ради» (вул. Корольова, 7), площею 2,3946 га, КЗ «Дошкільний навчальний заклад № 18» Луцької міської ради (вул. Івана Кожедуба, 1), площею 0,5205 га, КЗ «Дошкільний навчальний заклад № 28 компенсуючого типу (спеціальний) для дітей з вадами розвитку» (вул. Даньшина, 4), площею 0,5726 га, КЗ «Луцька загальноосвітня школа І-ІІІ ступенів №20» Луцької міської ради (вул. Шота Руставелі, 11в), площею 2,5405 га, КЗ «Дошкільний навчальний заклад № 32» Луцької міської ради (просп. Перемоги, 13а), площею 0,8101 га, КЗ «Дошкільний навчальний заклад № 15» Луцької міської ради - на вул. Дубнівська, 34б, площею 0,3257 га, КЗ «Дитячо-юнацька спортивна школа № 2 Луцької міської ради» (вул. Гетьмана Мазепи, 49а), площею 0,1413 га, КЗ «Дошкільний навчальний заклад № 17» Луцької міської ради (просп. Перемоги, 9), площею 0,6300 га.</w:t>
            </w:r>
            <w:r>
              <w:rPr>
                <w:rFonts w:cs="Times New Roman" w:ascii="Times New Roman" w:hAnsi="Times New Roman"/>
                <w:sz w:val="27"/>
                <w:szCs w:val="27"/>
              </w:rPr>
              <w:t xml:space="preserve">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13.</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cs="Arial"/>
                <w:spacing w:val="-12"/>
              </w:rPr>
            </w:pPr>
            <w:r>
              <w:rPr>
                <w:rFonts w:cs="Times New Roman" w:ascii="Times New Roman" w:hAnsi="Times New Roman"/>
                <w:spacing w:val="-12"/>
                <w:sz w:val="27"/>
                <w:szCs w:val="27"/>
              </w:rPr>
              <w:t>Забезпечення передачі земельних ділянок в користування на умовах оренди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 xml:space="preserve">У 2020 році забезпечено передачу в користування фізичних та юридичних осіб на умовах оренди 125 земельних ділянок.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14.</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cs="Arial"/>
              </w:rPr>
            </w:pPr>
            <w:r>
              <w:rPr>
                <w:rFonts w:cs="Times New Roman" w:ascii="Times New Roman" w:hAnsi="Times New Roman"/>
                <w:sz w:val="27"/>
                <w:szCs w:val="27"/>
              </w:rPr>
              <w:t>Замовлення розробки землевпорядної документації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495"/>
              <w:jc w:val="both"/>
              <w:textAlignment w:val="baseline"/>
              <w:rPr>
                <w:rFonts w:cs="Arial"/>
              </w:rPr>
            </w:pPr>
            <w:r>
              <w:rPr>
                <w:rFonts w:eastAsia="TimesNewRomanPS-BoldMT" w:cs="Times New Roman" w:ascii="Times New Roman" w:hAnsi="Times New Roman"/>
                <w:bCs/>
                <w:sz w:val="27"/>
                <w:szCs w:val="27"/>
              </w:rPr>
              <w:t>У звітному періоді укладено договори на виконання робіт із землеустрою щодо п’яти земельних ділянок несільськогосподарського призначення комунальної власності, які пропонуватимуться для включення в перелік земельних</w:t>
            </w:r>
            <w:r>
              <w:rPr>
                <w:rFonts w:eastAsia="Times New Roman" w:cs="Times New Roman" w:ascii="Times New Roman" w:hAnsi="Times New Roman"/>
                <w:b/>
                <w:spacing w:val="-6"/>
                <w:kern w:val="0"/>
                <w:sz w:val="27"/>
                <w:szCs w:val="27"/>
                <w:lang w:bidi="ar-SA"/>
              </w:rPr>
              <w:t xml:space="preserve"> </w:t>
            </w:r>
            <w:r>
              <w:rPr>
                <w:rFonts w:eastAsia="Times New Roman" w:cs="Times New Roman" w:ascii="Times New Roman" w:hAnsi="Times New Roman"/>
                <w:spacing w:val="-6"/>
                <w:kern w:val="0"/>
                <w:sz w:val="27"/>
                <w:szCs w:val="27"/>
                <w:lang w:bidi="ar-SA"/>
              </w:rPr>
              <w:t>них ділянок, що виставлятимуться на земельні торги, а саме: вул. Авторемонтна (біля кафе «Козача левада») орієнтовною площею 0,08 га, вул. Авторемонтна (за АЗС WOG) орієнтовною площею 0,04 га, 2, вул. Дубнівська, 31-б орієнтовною площею 0,35 га, 3, вул. Конякіна (біля ГК Синтетик) орієнтовною площею 0,11 га, 4, просп. Перемоги (біля мосту) орієнтовною площею 0,23 га.</w:t>
            </w:r>
            <w:r>
              <w:rPr>
                <w:rFonts w:eastAsia="Times New Roman" w:cs="Times New Roman" w:ascii="Times New Roman" w:hAnsi="Times New Roman"/>
                <w:b/>
                <w:spacing w:val="-6"/>
                <w:kern w:val="0"/>
                <w:sz w:val="27"/>
                <w:szCs w:val="27"/>
                <w:lang w:bidi="ar-SA"/>
              </w:rPr>
              <w:t xml:space="preserve">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15.</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cs="Arial"/>
                <w:spacing w:val="-10"/>
              </w:rPr>
            </w:pPr>
            <w:r>
              <w:rPr>
                <w:rFonts w:cs="Times New Roman" w:ascii="Times New Roman" w:hAnsi="Times New Roman"/>
                <w:spacing w:val="-10"/>
                <w:sz w:val="27"/>
                <w:szCs w:val="27"/>
              </w:rPr>
              <w:t>Вивчення нормативних актів, які були прийняті Прилуцькою сільською радою, з метою визначення можливості їх уніфікації з нормативними актами, прийнятими Луцькою міською радою, та подальшої дії на території ЛМТГ</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spacing w:val="-4"/>
              </w:rPr>
            </w:pPr>
            <w:r>
              <w:rPr>
                <w:rFonts w:cs="Times New Roman" w:ascii="Times New Roman" w:hAnsi="Times New Roman"/>
                <w:spacing w:val="-4"/>
                <w:sz w:val="27"/>
                <w:szCs w:val="27"/>
              </w:rPr>
              <w:t xml:space="preserve">За результатом вивчення нормативних актів, які були прийняті Прилуцькою сільською радою, здійснено заходи щодо приведення рішень із земельних питань до одного формату; приведено форми договорів оренди землі до одного виду відповідно до типової форми, затвердженої Постановою Кабінету Міністрів України від 03.03.2004 № 220 (зі змінами та доповненнями); створено нову 31 адміністративну послугу, дія яких поширюватиметься на територію Прилуцького старостинського округу. </w:t>
            </w:r>
          </w:p>
        </w:tc>
      </w:tr>
    </w:tbl>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 РОЗВИТОК СОЦІАЛЬНОЇ СФЕРИ</w:t>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2.1. Освіта</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 xml:space="preserve">Відновлення роботи закладу дошкільної освіти на вул. Ярощука, 2.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Роботу закладу на звітну дату не відновлено, оскільки, не виконано вимогу суду щодо звільнення приміщення на вул. Ярощука, 2 Луцьким міським центром зайнятості.</w:t>
            </w:r>
          </w:p>
          <w:p>
            <w:pPr>
              <w:pStyle w:val="Normal"/>
              <w:suppressAutoHyphens w:val="true"/>
              <w:ind w:firstLine="567"/>
              <w:jc w:val="both"/>
              <w:textAlignment w:val="baseline"/>
              <w:rPr>
                <w:rFonts w:cs="Arial"/>
              </w:rPr>
            </w:pPr>
            <w:r>
              <w:rPr>
                <w:rFonts w:cs="Times New Roman" w:ascii="Times New Roman" w:hAnsi="Times New Roman"/>
                <w:sz w:val="27"/>
                <w:szCs w:val="27"/>
              </w:rPr>
              <w:t>28.11.2017 Луцькою міською радою подано до відділу примусового виконання рішень управління державної виконавчої служби Головного управління юстиції у Волинській області для примусового виконання ухвалу Господарського суду Волинської області від 07.11.2016 № 903/644/16, якою затверджено Мирову угоду, укладену між Луцькою міською радою та Луцьким міським центром зайнятості, щодо передачі приміщення дошкільного закладу № 23 на вул. Ярощука, 2, в м. Луцьку.</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Головним державним виконавцем відділу примусового виконання рішень управління державної виконавчої служби Головного територіального управління юстиції у Волинській області винесено постанову про відкриття виконавчого провадження від 29.11.2017.</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Відкриття додаткової групи у закладі дошкільної освіти № 20.</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Відповідно до рішення виконавчого комітету від 17.06.2020 № 299-12 «Про продовження оренди нежитлового приміщення на </w:t>
            </w:r>
            <w:r>
              <w:rPr>
                <w:rFonts w:cs="Times New Roman" w:ascii="Times New Roman" w:hAnsi="Times New Roman"/>
                <w:sz w:val="27"/>
                <w:szCs w:val="27"/>
              </w:rPr>
              <w:t>просп.</w:t>
            </w:r>
            <w:r>
              <w:rPr>
                <w:rFonts w:cs="Times New Roman" w:ascii="Times New Roman" w:hAnsi="Times New Roman"/>
                <w:bCs/>
                <w:sz w:val="27"/>
                <w:szCs w:val="27"/>
              </w:rPr>
              <w:t> Соборності, 35а», продовжено оренду нежитлового приміщення загальною площею 118,2 кв. м. на термін з 17.06.2020 до 31.05.2022 для громадської організації «Джерело життя», в якому планувалося відкриття додаткової групи. У звітному періоді додаткову групу не відкрито.</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Придбання комп’ютерної оргтехніки та мультимедійних активаторів поверхні для закладів загальної середньої освіти, закладів дошкільної освіти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Відповідно до Типового переліку комп'ютерного обладнання для закладів дошкільної, загальної середньої та професійної (професійно-технічної) освіти, затвердженого наказом Міністерства освіти і науки від 02.11.2017 № 1440 проведено відкриті торги на закупівлю комп’ютерної техніки (ноутбуки) на суму – 825,7 тис. грн для закладів загальної середньої освіти. За результатами аукціону підписано договір на загальну суму 824,2 тис. грн та придбано 52 ноутбука.</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Продовження капітальних ремонтів у пральнях, харчоблоках, актових залах закладів дошкільної та загальної середньої освіти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Завершено капітальний ремонт пралень, зокрема: КЗ «Дошкільний навчальний заклад компенсуючого типу (спеціальний) № 28 для дітей з вадами розвитку» (256,0 тис. грн), КЗ</w:t>
            </w:r>
            <w:r>
              <w:rPr>
                <w:rFonts w:cs="Arial"/>
              </w:rPr>
              <w:t> </w:t>
            </w:r>
            <w:r>
              <w:rPr>
                <w:rFonts w:cs="Times New Roman" w:ascii="Times New Roman" w:hAnsi="Times New Roman"/>
                <w:sz w:val="27"/>
                <w:szCs w:val="27"/>
              </w:rPr>
              <w:t>«Дошкільний навчальний заклад № 29» компенсуючого типу (247,0 тис. грн).</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Також виконувалися роботи з капітальних ремонтів харчоблоків, зокрема: КЗ «Навчально-виховний комплекс загальноосвітня школа I-III ступенів № 22 – ліцей» (1,04 млн грн),  КЗ «Навчально-виховний комплекс загальноосвітня школа I-III ступенів № 24 – технічний ліцей» (593,0 тис. грн), КЗ «Навчально-виховний комплекс № 26» (678,2 тис. грн), КЗ «Дошкільний навчальний заклад № 18»  (280,0 тис. грн).</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Розроблено проєктно-кошторисну документацію на капітальний ремонт харчоблоків </w:t>
            </w:r>
            <w:bookmarkStart w:id="8" w:name="_GoBack"/>
            <w:bookmarkEnd w:id="8"/>
            <w:r>
              <w:rPr>
                <w:rFonts w:cs="Times New Roman" w:ascii="Times New Roman" w:hAnsi="Times New Roman"/>
                <w:sz w:val="27"/>
                <w:szCs w:val="27"/>
              </w:rPr>
              <w:t>КЗ «Дошкільний навчальний заклад № 24» та КЗ «Дошкільний навчальний заклад (ясла – садок) № 38 комбінованого типу».</w:t>
            </w:r>
          </w:p>
        </w:tc>
      </w:tr>
      <w:tr>
        <w:trPr>
          <w:trHeight w:val="7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Реорганізація вечірньої (змінної) школи в інституційний ліцей</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Рішенням міської ради від 24.12.2019 № 68/76 «Про перейменування комунального закладу «Луцька вечірня (змінна) школа Луцької міської ради» у комунальний заклад загальної середньої освіти «Луцький інституційний ліцей № 8 Луцької міської ради» затверджено Статут закладу у новій редакції.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2020-2021 н.р. у Луцькому ліцеї № 8 у вересні нараховувалося 224 здобувачів освіти. Станом на грудень 2020 року 202 здобувачі освіти навчаються очно та у заочних групах, 27 дітей –  екстерном. </w:t>
            </w:r>
          </w:p>
        </w:tc>
      </w:tr>
      <w:tr>
        <w:trPr>
          <w:trHeight w:val="7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both"/>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 xml:space="preserve">Будівництво нового закладу дошкільної освіти на </w:t>
            </w:r>
          </w:p>
          <w:p>
            <w:pPr>
              <w:pStyle w:val="Normal"/>
              <w:tabs>
                <w:tab w:val="clear" w:pos="709"/>
                <w:tab w:val="left" w:pos="540" w:leader="none"/>
              </w:tabs>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вул. Дубнівська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ind w:firstLine="567"/>
              <w:jc w:val="both"/>
              <w:textAlignment w:val="baseline"/>
              <w:rPr>
                <w:rFonts w:cs="Arial"/>
              </w:rPr>
            </w:pPr>
            <w:r>
              <w:rPr>
                <w:rFonts w:cs="Times New Roman" w:ascii="Times New Roman" w:hAnsi="Times New Roman"/>
                <w:sz w:val="27"/>
                <w:szCs w:val="27"/>
              </w:rPr>
              <w:t>Будівництво нового закладу дошкільної освіти на вул. Дубнівська не здійснювалось.</w:t>
            </w:r>
          </w:p>
        </w:tc>
      </w:tr>
      <w:tr>
        <w:trPr>
          <w:trHeight w:val="7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both"/>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Добудова закладу загальної середньої освіти № 13 на вул. Чернишевського,29</w:t>
            </w:r>
          </w:p>
          <w:p>
            <w:pPr>
              <w:pStyle w:val="Normal"/>
              <w:tabs>
                <w:tab w:val="clear" w:pos="709"/>
                <w:tab w:val="left" w:pos="540" w:leader="none"/>
              </w:tabs>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ind w:firstLine="567"/>
              <w:jc w:val="both"/>
              <w:textAlignment w:val="baseline"/>
              <w:rPr>
                <w:rFonts w:cs="Arial"/>
              </w:rPr>
            </w:pPr>
            <w:r>
              <w:rPr>
                <w:rFonts w:cs="Times New Roman" w:ascii="Times New Roman" w:hAnsi="Times New Roman"/>
                <w:sz w:val="27"/>
                <w:szCs w:val="27"/>
              </w:rPr>
              <w:t>Добудова закладу загальної середньої освіти № 13 на вул. Чернишевського, 29 не здійснювалась.</w:t>
            </w:r>
          </w:p>
        </w:tc>
      </w:tr>
      <w:tr>
        <w:trPr>
          <w:trHeight w:val="7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Включення загальноосвітньої школи I-III ступенів с. Прилуцького та Прилуцького дошкільного закладу «Сонечко» у систему освіти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грудні 2020 відбулося відкриття закладу дошкільної освіти № 42 у селі Дачне (розрахункова кількість на 85 місць (4 групи). Запрацював дошкільний заклад № 42 з 04.01.2021.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Директори, вчителі, вихователі приєднаних закладів брали участь в нарадах керівників, атестаційній кампанії, підвищенні кваліфікації педагогів, також брали участь у міських семінарах, фахових конкурсах і т.д.</w:t>
            </w:r>
          </w:p>
        </w:tc>
      </w:tr>
      <w:tr>
        <w:trPr>
          <w:trHeight w:val="7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both"/>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Розбудова мережі гуртків та секцій у закладах позашкільної освіти та дитячих юнацьких спортивних шкіл</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pPr>
            <w:r>
              <w:rPr>
                <w:rFonts w:cs="Times New Roman" w:ascii="Times New Roman" w:hAnsi="Times New Roman"/>
                <w:sz w:val="27"/>
                <w:szCs w:val="27"/>
              </w:rPr>
              <w:t>У Палаці учнівської молоді започаткував свою роботу гурток східного танцю. На базі Центру науково-технічної творчості учнівської молоді відбулося відкриття стаціонарного кордодрому (</w:t>
            </w:r>
            <w:r>
              <w:fldChar w:fldCharType="begin"/>
            </w:r>
            <w:r>
              <w:rPr>
                <w:rStyle w:val="ListLabel19"/>
                <w:sz w:val="27"/>
                <w:shd w:fill="FCFCFC" w:val="clear"/>
                <w:szCs w:val="27"/>
                <w:rFonts w:cs="Times New Roman" w:ascii="Times New Roman" w:hAnsi="Times New Roman"/>
              </w:rPr>
              <w:instrText> HYPERLINK "https://slovnyk.ua/index.php?swrd=круглий" \l "_blank"</w:instrText>
            </w:r>
            <w:r>
              <w:rPr>
                <w:rStyle w:val="ListLabel19"/>
                <w:sz w:val="27"/>
                <w:shd w:fill="FCFCFC" w:val="clear"/>
                <w:szCs w:val="27"/>
                <w:rFonts w:cs="Times New Roman" w:ascii="Times New Roman" w:hAnsi="Times New Roman"/>
              </w:rPr>
              <w:fldChar w:fldCharType="separate"/>
            </w:r>
            <w:r>
              <w:rPr>
                <w:rStyle w:val="ListLabel19"/>
                <w:rFonts w:cs="Times New Roman" w:ascii="Times New Roman" w:hAnsi="Times New Roman"/>
                <w:sz w:val="27"/>
                <w:szCs w:val="27"/>
                <w:shd w:fill="FCFCFC" w:val="clear"/>
              </w:rPr>
              <w:t>круглий</w:t>
            </w:r>
            <w:r>
              <w:rPr>
                <w:rStyle w:val="ListLabel19"/>
                <w:sz w:val="27"/>
                <w:shd w:fill="FCFCFC" w:val="clear"/>
                <w:szCs w:val="27"/>
                <w:rFonts w:cs="Times New Roman" w:ascii="Times New Roman" w:hAnsi="Times New Roman"/>
              </w:rPr>
              <w:fldChar w:fldCharType="end"/>
            </w:r>
            <w:r>
              <w:rPr>
                <w:rFonts w:cs="Times New Roman" w:ascii="Times New Roman" w:hAnsi="Times New Roman"/>
                <w:sz w:val="27"/>
                <w:szCs w:val="27"/>
              </w:rPr>
              <w:t> </w:t>
            </w:r>
            <w:r>
              <w:fldChar w:fldCharType="begin"/>
            </w:r>
            <w:r>
              <w:rPr>
                <w:rStyle w:val="ListLabel19"/>
                <w:sz w:val="27"/>
                <w:shd w:fill="FCFCFC" w:val="clear"/>
                <w:szCs w:val="27"/>
                <w:rFonts w:cs="Times New Roman" w:ascii="Times New Roman" w:hAnsi="Times New Roman"/>
              </w:rPr>
              <w:instrText> HYPERLINK "https://slovnyk.ua/index.php?swrd=майданчик" \l "_blank"</w:instrText>
            </w:r>
            <w:r>
              <w:rPr>
                <w:rStyle w:val="ListLabel19"/>
                <w:sz w:val="27"/>
                <w:shd w:fill="FCFCFC" w:val="clear"/>
                <w:szCs w:val="27"/>
                <w:rFonts w:cs="Times New Roman" w:ascii="Times New Roman" w:hAnsi="Times New Roman"/>
              </w:rPr>
              <w:fldChar w:fldCharType="separate"/>
            </w:r>
            <w:r>
              <w:rPr>
                <w:rStyle w:val="ListLabel19"/>
                <w:rFonts w:cs="Times New Roman" w:ascii="Times New Roman" w:hAnsi="Times New Roman"/>
                <w:sz w:val="27"/>
                <w:szCs w:val="27"/>
                <w:shd w:fill="FCFCFC" w:val="clear"/>
              </w:rPr>
              <w:t>майданчик</w:t>
            </w:r>
            <w:r>
              <w:rPr>
                <w:rStyle w:val="ListLabel19"/>
                <w:sz w:val="27"/>
                <w:shd w:fill="FCFCFC" w:val="clear"/>
                <w:szCs w:val="27"/>
                <w:rFonts w:cs="Times New Roman" w:ascii="Times New Roman" w:hAnsi="Times New Roman"/>
              </w:rPr>
              <w:fldChar w:fldCharType="end"/>
            </w:r>
            <w:r>
              <w:rPr>
                <w:rFonts w:cs="Times New Roman" w:ascii="Times New Roman" w:hAnsi="Times New Roman"/>
                <w:sz w:val="27"/>
                <w:szCs w:val="27"/>
              </w:rPr>
              <w:t>, </w:t>
            </w:r>
            <w:r>
              <w:fldChar w:fldCharType="begin"/>
            </w:r>
            <w:r>
              <w:rPr>
                <w:rStyle w:val="ListLabel19"/>
                <w:sz w:val="27"/>
                <w:shd w:fill="FCFCFC" w:val="clear"/>
                <w:szCs w:val="27"/>
                <w:rFonts w:cs="Times New Roman" w:ascii="Times New Roman" w:hAnsi="Times New Roman"/>
              </w:rPr>
              <w:instrText> HYPERLINK "https://slovnyk.ua/index.php?swrd=обнесений" \l "_blank"</w:instrText>
            </w:r>
            <w:r>
              <w:rPr>
                <w:rStyle w:val="ListLabel19"/>
                <w:sz w:val="27"/>
                <w:shd w:fill="FCFCFC" w:val="clear"/>
                <w:szCs w:val="27"/>
                <w:rFonts w:cs="Times New Roman" w:ascii="Times New Roman" w:hAnsi="Times New Roman"/>
              </w:rPr>
              <w:fldChar w:fldCharType="separate"/>
            </w:r>
            <w:r>
              <w:rPr>
                <w:rStyle w:val="ListLabel19"/>
                <w:rFonts w:cs="Times New Roman" w:ascii="Times New Roman" w:hAnsi="Times New Roman"/>
                <w:sz w:val="27"/>
                <w:szCs w:val="27"/>
                <w:shd w:fill="FCFCFC" w:val="clear"/>
              </w:rPr>
              <w:t>обнесений</w:t>
            </w:r>
            <w:r>
              <w:rPr>
                <w:rStyle w:val="ListLabel19"/>
                <w:sz w:val="27"/>
                <w:shd w:fill="FCFCFC" w:val="clear"/>
                <w:szCs w:val="27"/>
                <w:rFonts w:cs="Times New Roman" w:ascii="Times New Roman" w:hAnsi="Times New Roman"/>
              </w:rPr>
              <w:fldChar w:fldCharType="end"/>
            </w:r>
            <w:r>
              <w:rPr>
                <w:rFonts w:cs="Times New Roman" w:ascii="Times New Roman" w:hAnsi="Times New Roman"/>
                <w:sz w:val="27"/>
                <w:szCs w:val="27"/>
              </w:rPr>
              <w:t> </w:t>
            </w:r>
            <w:r>
              <w:fldChar w:fldCharType="begin"/>
            </w:r>
            <w:r>
              <w:rPr>
                <w:rStyle w:val="ListLabel19"/>
                <w:sz w:val="27"/>
                <w:shd w:fill="FCFCFC" w:val="clear"/>
                <w:szCs w:val="27"/>
                <w:rFonts w:cs="Times New Roman" w:ascii="Times New Roman" w:hAnsi="Times New Roman"/>
              </w:rPr>
              <w:instrText> HYPERLINK "https://slovnyk.ua/index.php?swrd=дротяний" \l "_blank"</w:instrText>
            </w:r>
            <w:r>
              <w:rPr>
                <w:rStyle w:val="ListLabel19"/>
                <w:sz w:val="27"/>
                <w:shd w:fill="FCFCFC" w:val="clear"/>
                <w:szCs w:val="27"/>
                <w:rFonts w:cs="Times New Roman" w:ascii="Times New Roman" w:hAnsi="Times New Roman"/>
              </w:rPr>
              <w:fldChar w:fldCharType="separate"/>
            </w:r>
            <w:r>
              <w:rPr>
                <w:rStyle w:val="ListLabel19"/>
                <w:rFonts w:cs="Times New Roman" w:ascii="Times New Roman" w:hAnsi="Times New Roman"/>
                <w:sz w:val="27"/>
                <w:szCs w:val="27"/>
                <w:shd w:fill="FCFCFC" w:val="clear"/>
              </w:rPr>
              <w:t>дротяною</w:t>
            </w:r>
            <w:r>
              <w:rPr>
                <w:rStyle w:val="ListLabel19"/>
                <w:sz w:val="27"/>
                <w:shd w:fill="FCFCFC" w:val="clear"/>
                <w:szCs w:val="27"/>
                <w:rFonts w:cs="Times New Roman" w:ascii="Times New Roman" w:hAnsi="Times New Roman"/>
              </w:rPr>
              <w:fldChar w:fldCharType="end"/>
            </w:r>
            <w:r>
              <w:rPr>
                <w:rFonts w:cs="Times New Roman" w:ascii="Times New Roman" w:hAnsi="Times New Roman"/>
                <w:sz w:val="27"/>
                <w:szCs w:val="27"/>
              </w:rPr>
              <w:t> </w:t>
            </w:r>
            <w:r>
              <w:fldChar w:fldCharType="begin"/>
            </w:r>
            <w:r>
              <w:rPr>
                <w:rStyle w:val="ListLabel19"/>
                <w:sz w:val="27"/>
                <w:shd w:fill="FCFCFC" w:val="clear"/>
                <w:szCs w:val="27"/>
                <w:rFonts w:cs="Times New Roman" w:ascii="Times New Roman" w:hAnsi="Times New Roman"/>
              </w:rPr>
              <w:instrText> HYPERLINK "https://slovnyk.ua/index.php?swrd=сітка" \l "_blank"</w:instrText>
            </w:r>
            <w:r>
              <w:rPr>
                <w:rStyle w:val="ListLabel19"/>
                <w:sz w:val="27"/>
                <w:shd w:fill="FCFCFC" w:val="clear"/>
                <w:szCs w:val="27"/>
                <w:rFonts w:cs="Times New Roman" w:ascii="Times New Roman" w:hAnsi="Times New Roman"/>
              </w:rPr>
              <w:fldChar w:fldCharType="separate"/>
            </w:r>
            <w:r>
              <w:rPr>
                <w:rStyle w:val="ListLabel19"/>
                <w:rFonts w:cs="Times New Roman" w:ascii="Times New Roman" w:hAnsi="Times New Roman"/>
                <w:sz w:val="27"/>
                <w:szCs w:val="27"/>
                <w:shd w:fill="FCFCFC" w:val="clear"/>
              </w:rPr>
              <w:t>сіткою</w:t>
            </w:r>
            <w:r>
              <w:rPr>
                <w:rStyle w:val="ListLabel19"/>
                <w:sz w:val="27"/>
                <w:shd w:fill="FCFCFC" w:val="clear"/>
                <w:szCs w:val="27"/>
                <w:rFonts w:cs="Times New Roman" w:ascii="Times New Roman" w:hAnsi="Times New Roman"/>
              </w:rPr>
              <w:fldChar w:fldCharType="end"/>
            </w:r>
            <w:r>
              <w:rPr>
                <w:rFonts w:cs="Times New Roman" w:ascii="Times New Roman" w:hAnsi="Times New Roman"/>
                <w:sz w:val="27"/>
                <w:szCs w:val="27"/>
              </w:rPr>
              <w:t>, </w:t>
            </w:r>
            <w:r>
              <w:fldChar w:fldCharType="begin"/>
            </w:r>
            <w:r>
              <w:rPr>
                <w:rStyle w:val="ListLabel19"/>
                <w:sz w:val="27"/>
                <w:shd w:fill="FCFCFC" w:val="clear"/>
                <w:szCs w:val="27"/>
                <w:rFonts w:cs="Times New Roman" w:ascii="Times New Roman" w:hAnsi="Times New Roman"/>
              </w:rPr>
              <w:instrText> HYPERLINK "https://slovnyk.ua/index.php?swrd=для" \l "_blank"</w:instrText>
            </w:r>
            <w:r>
              <w:rPr>
                <w:rStyle w:val="ListLabel19"/>
                <w:sz w:val="27"/>
                <w:shd w:fill="FCFCFC" w:val="clear"/>
                <w:szCs w:val="27"/>
                <w:rFonts w:cs="Times New Roman" w:ascii="Times New Roman" w:hAnsi="Times New Roman"/>
              </w:rPr>
              <w:fldChar w:fldCharType="separate"/>
            </w:r>
            <w:r>
              <w:rPr>
                <w:rStyle w:val="ListLabel19"/>
                <w:rFonts w:cs="Times New Roman" w:ascii="Times New Roman" w:hAnsi="Times New Roman"/>
                <w:sz w:val="27"/>
                <w:szCs w:val="27"/>
                <w:shd w:fill="FCFCFC" w:val="clear"/>
              </w:rPr>
              <w:t>для</w:t>
            </w:r>
            <w:r>
              <w:rPr>
                <w:rStyle w:val="ListLabel19"/>
                <w:sz w:val="27"/>
                <w:shd w:fill="FCFCFC" w:val="clear"/>
                <w:szCs w:val="27"/>
                <w:rFonts w:cs="Times New Roman" w:ascii="Times New Roman" w:hAnsi="Times New Roman"/>
              </w:rPr>
              <w:fldChar w:fldCharType="end"/>
            </w:r>
            <w:r>
              <w:rPr>
                <w:rFonts w:cs="Times New Roman" w:ascii="Times New Roman" w:hAnsi="Times New Roman"/>
                <w:sz w:val="27"/>
                <w:szCs w:val="27"/>
              </w:rPr>
              <w:t xml:space="preserve"> проведення </w:t>
            </w:r>
            <w:r>
              <w:rPr>
                <w:rFonts w:cs="Times New Roman" w:ascii="Times New Roman" w:hAnsi="Times New Roman"/>
                <w:sz w:val="27"/>
                <w:szCs w:val="27"/>
                <w:shd w:fill="FCFCFC" w:val="clear"/>
              </w:rPr>
              <w:t xml:space="preserve">змагань кордових </w:t>
            </w:r>
            <w:r>
              <w:rPr>
                <w:rFonts w:cs="Times New Roman" w:ascii="Times New Roman" w:hAnsi="Times New Roman"/>
                <w:sz w:val="27"/>
                <w:szCs w:val="27"/>
              </w:rPr>
              <w:t> авто- і </w:t>
            </w:r>
            <w:r>
              <w:fldChar w:fldCharType="begin"/>
            </w:r>
            <w:r>
              <w:rPr>
                <w:rStyle w:val="ListLabel19"/>
                <w:sz w:val="27"/>
                <w:shd w:fill="FCFCFC" w:val="clear"/>
                <w:szCs w:val="27"/>
                <w:rFonts w:cs="Times New Roman" w:ascii="Times New Roman" w:hAnsi="Times New Roman"/>
              </w:rPr>
              <w:instrText> HYPERLINK "https://slovnyk.ua/index.php?swrd=авіамодель" \l "_blank"</w:instrText>
            </w:r>
            <w:r>
              <w:rPr>
                <w:rStyle w:val="ListLabel19"/>
                <w:sz w:val="27"/>
                <w:shd w:fill="FCFCFC" w:val="clear"/>
                <w:szCs w:val="27"/>
                <w:rFonts w:cs="Times New Roman" w:ascii="Times New Roman" w:hAnsi="Times New Roman"/>
              </w:rPr>
              <w:fldChar w:fldCharType="separate"/>
            </w:r>
            <w:r>
              <w:rPr>
                <w:rStyle w:val="ListLabel19"/>
                <w:rFonts w:cs="Times New Roman" w:ascii="Times New Roman" w:hAnsi="Times New Roman"/>
                <w:sz w:val="27"/>
                <w:szCs w:val="27"/>
                <w:shd w:fill="FCFCFC" w:val="clear"/>
              </w:rPr>
              <w:t>авіамоделей</w:t>
            </w:r>
            <w:r>
              <w:rPr>
                <w:rStyle w:val="ListLabel19"/>
                <w:sz w:val="27"/>
                <w:shd w:fill="FCFCFC" w:val="clear"/>
                <w:szCs w:val="27"/>
                <w:rFonts w:cs="Times New Roman" w:ascii="Times New Roman" w:hAnsi="Times New Roman"/>
              </w:rPr>
              <w:fldChar w:fldCharType="end"/>
            </w:r>
            <w:r>
              <w:rPr>
                <w:rFonts w:cs="Times New Roman" w:ascii="Times New Roman" w:hAnsi="Times New Roman"/>
                <w:sz w:val="27"/>
                <w:szCs w:val="27"/>
                <w:shd w:fill="FCFCFC" w:val="clear"/>
              </w:rPr>
              <w:t xml:space="preserve">, </w:t>
            </w:r>
            <w:r>
              <w:rPr>
                <w:rFonts w:cs="Times New Roman" w:ascii="Times New Roman" w:hAnsi="Times New Roman"/>
                <w:sz w:val="27"/>
                <w:szCs w:val="27"/>
              </w:rPr>
              <w:t xml:space="preserve">четвертий в Україні професійний кордодром). </w:t>
            </w:r>
          </w:p>
          <w:p>
            <w:pPr>
              <w:pStyle w:val="Normal"/>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Відкрита астрономічна обсерваторія на базі Луцького ЦНТТУМ. </w:t>
            </w:r>
          </w:p>
          <w:p>
            <w:pPr>
              <w:pStyle w:val="Normal"/>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Відповідно до рішення Луцької міської ради від 12.06.2020 року № 82/6 КЗ ДЮСШ № 2 надано в постійне користування земельна ділянка на вул. Глушець для будівництва та обслуговування об’єктів фізичної культури і спорту. </w:t>
            </w:r>
          </w:p>
          <w:p>
            <w:pPr>
              <w:pStyle w:val="Normal"/>
              <w:suppressAutoHyphens w:val="true"/>
              <w:snapToGrid w:val="false"/>
              <w:ind w:firstLine="567"/>
              <w:jc w:val="both"/>
              <w:textAlignment w:val="baseline"/>
              <w:rPr/>
            </w:pPr>
            <w:r>
              <w:rPr>
                <w:rFonts w:cs="Times New Roman" w:ascii="Times New Roman" w:hAnsi="Times New Roman"/>
                <w:sz w:val="27"/>
                <w:szCs w:val="27"/>
              </w:rPr>
              <w:t>Розширено мережу спортивних секцій: переведено секції греплінгу (спортивне </w:t>
            </w:r>
            <w:hyperlink r:id="rId13">
              <w:r>
                <w:rPr>
                  <w:rStyle w:val="ListLabel20"/>
                  <w:rFonts w:cs="Times New Roman" w:ascii="Times New Roman" w:hAnsi="Times New Roman"/>
                  <w:sz w:val="27"/>
                  <w:szCs w:val="27"/>
                  <w:highlight w:val="white"/>
                </w:rPr>
                <w:t>єдиноборство</w:t>
              </w:r>
            </w:hyperlink>
            <w:r>
              <w:rPr>
                <w:rFonts w:cs="Times New Roman" w:ascii="Times New Roman" w:hAnsi="Times New Roman"/>
                <w:sz w:val="27"/>
                <w:szCs w:val="27"/>
              </w:rPr>
              <w:t>, комплексний вид </w:t>
            </w:r>
            <w:hyperlink r:id="rId14">
              <w:r>
                <w:rPr>
                  <w:rStyle w:val="ListLabel20"/>
                  <w:rFonts w:cs="Times New Roman" w:ascii="Times New Roman" w:hAnsi="Times New Roman"/>
                  <w:sz w:val="27"/>
                  <w:szCs w:val="27"/>
                  <w:highlight w:val="white"/>
                </w:rPr>
                <w:t>боротьби</w:t>
              </w:r>
            </w:hyperlink>
            <w:r>
              <w:rPr>
                <w:rFonts w:cs="Times New Roman" w:ascii="Times New Roman" w:hAnsi="Times New Roman"/>
                <w:sz w:val="27"/>
                <w:szCs w:val="27"/>
                <w:highlight w:val="white"/>
              </w:rPr>
              <w:t xml:space="preserve">) </w:t>
            </w:r>
            <w:r>
              <w:rPr>
                <w:rFonts w:cs="Times New Roman" w:ascii="Times New Roman" w:hAnsi="Times New Roman"/>
                <w:sz w:val="27"/>
                <w:szCs w:val="27"/>
              </w:rPr>
              <w:t>та панкратіону (давньогрецьке </w:t>
            </w:r>
            <w:hyperlink r:id="rId15">
              <w:r>
                <w:rPr>
                  <w:rStyle w:val="ListLabel21"/>
                  <w:rFonts w:cs="Times New Roman" w:ascii="Times New Roman" w:hAnsi="Times New Roman"/>
                  <w:sz w:val="27"/>
                  <w:szCs w:val="27"/>
                  <w:shd w:fill="FFFFFF" w:val="clear"/>
                </w:rPr>
                <w:t>бойове мистецтво</w:t>
              </w:r>
            </w:hyperlink>
            <w:r>
              <w:rPr>
                <w:rFonts w:cs="Times New Roman" w:ascii="Times New Roman" w:hAnsi="Times New Roman"/>
                <w:sz w:val="27"/>
                <w:szCs w:val="27"/>
              </w:rPr>
              <w:t xml:space="preserve"> ) з комплексної дитячо-юнацької спортивної школи № 1 до дитячо - юнацької спортивної школи № 2 та відкрито секцію шахів.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комплексній дитячо-юнацькій спортивній школі  № 1 відкрито секцію стрільби з лука.</w:t>
            </w:r>
          </w:p>
        </w:tc>
      </w:tr>
      <w:tr>
        <w:trPr>
          <w:trHeight w:val="7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both"/>
              <w:textAlignment w:val="baseline"/>
              <w:rPr>
                <w:rFonts w:cs="Arial"/>
              </w:rPr>
            </w:pPr>
            <w:r>
              <w:rPr>
                <w:rFonts w:cs="Times New Roman" w:ascii="Times New Roman" w:hAnsi="Times New Roman"/>
                <w:bCs/>
                <w:sz w:val="27"/>
                <w:szCs w:val="27"/>
              </w:rPr>
              <w:t>10.</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Оновлення матеріально-технічної та навчально-методичної бази навчальних кабінетів початкової школи відповідно до встановленого порядку</w:t>
            </w:r>
          </w:p>
          <w:p>
            <w:pPr>
              <w:pStyle w:val="Normal"/>
              <w:tabs>
                <w:tab w:val="clear" w:pos="709"/>
                <w:tab w:val="left" w:pos="540" w:leader="none"/>
              </w:tabs>
              <w:suppressAutoHyphens w:val="true"/>
              <w:jc w:val="both"/>
              <w:textAlignment w:val="baseline"/>
              <w:rPr>
                <w:rFonts w:ascii="Times New Roman" w:hAnsi="Times New Roman" w:cs="Times New Roman"/>
                <w:b/>
                <w:b/>
                <w:bCs/>
                <w:sz w:val="27"/>
                <w:szCs w:val="27"/>
              </w:rPr>
            </w:pPr>
            <w:r>
              <w:rPr>
                <w:rFonts w:cs="Times New Roman" w:ascii="Times New Roman" w:hAnsi="Times New Roman"/>
                <w:b/>
                <w:bCs/>
                <w:sz w:val="27"/>
                <w:szCs w:val="27"/>
              </w:rPr>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Відповідно до наказу МОН України від 07.02.2020 № 143 «Про затвердження Типового переліку засобів навчання та обладнання для навчальних кабінетів початкової школи» та з метою забезпечення належного функціонування «Нової української школи» для закладів загальної середньої освіти міста Луцька придбано:</w:t>
            </w:r>
            <w:r>
              <w:rPr>
                <w:rFonts w:eastAsia="Times New Roman" w:cs="Times New Roman" w:ascii="Times New Roman" w:hAnsi="Times New Roman"/>
                <w:sz w:val="27"/>
                <w:szCs w:val="27"/>
              </w:rPr>
              <w:t xml:space="preserve"> </w:t>
            </w:r>
            <w:r>
              <w:rPr>
                <w:rFonts w:cs="Times New Roman" w:ascii="Times New Roman" w:hAnsi="Times New Roman"/>
                <w:sz w:val="27"/>
                <w:szCs w:val="27"/>
              </w:rPr>
              <w:t xml:space="preserve">шкільні меблі на загальну суму 4 127,8                                       тис. грн, комплекти дидактичних матеріалів на суму 1 452,9 тис. грн. На зекономлені кошти за результатами відкритих торгів придбано принтери, ламінатори, телевізори та мобільні стелажі для забезпечення функціонування «Нової української школи». Відповідно до постанови Кабінету Міністрів України від 29.04.2020 № 325 «Про внесення змін до постанов Кабінету Міністрів України від 4 квітня 2018 № 237 і від 12 лютого 2020 № 105» закуплено обладнання та інвентар для фізкультурно-спортивних приміщень, навчально-методичну літературу, зошити з друкованою основою для закладів загальної середньої освіти, що беруть участь у експерименті з реалізації Державного стандарту початкової освіти, а саме: для Луцької спеціалізованої школи І-ІІІ ступенів № 1 Луцької міської ради Волинської області (174,9 тис. грн) та для комунального закладу «Луцька гімназія № 4 імені Модеста Левицького Луцької міської ради Волинської області» 174,9  тис. грн). </w:t>
            </w:r>
          </w:p>
        </w:tc>
      </w:tr>
      <w:tr>
        <w:trPr>
          <w:trHeight w:val="7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both"/>
              <w:textAlignment w:val="baseline"/>
              <w:rPr>
                <w:rFonts w:cs="Arial"/>
              </w:rPr>
            </w:pPr>
            <w:r>
              <w:rPr>
                <w:rFonts w:cs="Times New Roman" w:ascii="Times New Roman" w:hAnsi="Times New Roman"/>
                <w:bCs/>
                <w:sz w:val="27"/>
                <w:szCs w:val="27"/>
              </w:rPr>
              <w:t>11.</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Додаткові заходи під час карантину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360" w:leader="none"/>
                <w:tab w:val="left" w:pos="720" w:leader="none"/>
              </w:tabs>
              <w:suppressAutoHyphens w:val="true"/>
              <w:ind w:firstLine="567"/>
              <w:jc w:val="both"/>
              <w:textAlignment w:val="baseline"/>
              <w:rPr>
                <w:rFonts w:eastAsia="Droid Sans Fallback" w:cs="FreeSans"/>
              </w:rPr>
            </w:pPr>
            <w:r>
              <w:rPr>
                <w:rFonts w:eastAsia="Arial" w:cs="Times New Roman" w:ascii="Times New Roman" w:hAnsi="Times New Roman"/>
                <w:sz w:val="27"/>
                <w:szCs w:val="27"/>
              </w:rPr>
              <w:t>З початку оголошення карантину та до кінця травня (</w:t>
            </w:r>
            <w:r>
              <w:rPr>
                <w:rFonts w:eastAsia="Droid Sans Fallback" w:cs="Times New Roman" w:ascii="Times New Roman" w:hAnsi="Times New Roman"/>
                <w:sz w:val="27"/>
                <w:szCs w:val="27"/>
              </w:rPr>
              <w:t>12.03.2020 </w:t>
              <w:noBreakHyphen/>
              <w:t xml:space="preserve"> 29.05.2020) </w:t>
            </w:r>
            <w:r>
              <w:rPr>
                <w:rFonts w:eastAsia="Arial" w:cs="Times New Roman" w:ascii="Times New Roman" w:hAnsi="Times New Roman"/>
                <w:sz w:val="27"/>
                <w:szCs w:val="27"/>
              </w:rPr>
              <w:t xml:space="preserve">для учнів                      1-11 класів навчання відбувалось за дистанційною формою. Було складено </w:t>
            </w:r>
            <w:r>
              <w:rPr>
                <w:rFonts w:eastAsia="Droid Sans Fallback" w:cs="Times New Roman" w:ascii="Times New Roman" w:hAnsi="Times New Roman"/>
                <w:sz w:val="27"/>
                <w:szCs w:val="27"/>
                <w:lang w:eastAsia="uk-UA"/>
              </w:rPr>
              <w:t>графіки дистанційних перевірочних робіт та усних опитувань з метою недопущення перевантаження учнів і раціонального використання часу та проведення підсумкового річного оцінювання навчальних досягнень учнів.</w:t>
            </w:r>
            <w:r>
              <w:rPr>
                <w:rFonts w:eastAsia="Times New Roman" w:cs="Times New Roman" w:ascii="Times New Roman" w:hAnsi="Times New Roman"/>
                <w:sz w:val="27"/>
                <w:szCs w:val="27"/>
                <w:lang w:eastAsia="uk-UA"/>
              </w:rPr>
              <w:t xml:space="preserve"> </w:t>
            </w:r>
            <w:r>
              <w:rPr>
                <w:rFonts w:eastAsia="Droid Sans Fallback" w:cs="Times New Roman" w:ascii="Times New Roman" w:hAnsi="Times New Roman"/>
                <w:sz w:val="27"/>
                <w:szCs w:val="27"/>
              </w:rPr>
              <w:t xml:space="preserve">У 2019-2020 н.р. від державної підсумкової атестації звільнено учнів 4-х та 9-х класів відповідно до наказу МОН України </w:t>
            </w:r>
            <w:r>
              <w:rPr>
                <w:rFonts w:eastAsia="Droid Sans Fallback" w:cs="Times New Roman" w:ascii="Times New Roman" w:hAnsi="Times New Roman"/>
                <w:sz w:val="27"/>
                <w:szCs w:val="27"/>
                <w:lang w:eastAsia="uk-UA"/>
              </w:rPr>
              <w:t>від 30 березня 2020 року № 463.</w:t>
            </w:r>
          </w:p>
          <w:p>
            <w:pPr>
              <w:pStyle w:val="Normal"/>
              <w:widowControl w:val="false"/>
              <w:tabs>
                <w:tab w:val="clear" w:pos="709"/>
                <w:tab w:val="left" w:pos="360" w:leader="none"/>
                <w:tab w:val="left" w:pos="720" w:leader="none"/>
              </w:tabs>
              <w:suppressAutoHyphens w:val="true"/>
              <w:ind w:firstLine="567"/>
              <w:jc w:val="both"/>
              <w:textAlignment w:val="baseline"/>
              <w:rPr>
                <w:rFonts w:eastAsia="Droid Sans Fallback" w:cs="FreeSans"/>
              </w:rPr>
            </w:pPr>
            <w:r>
              <w:rPr>
                <w:rFonts w:eastAsia="Droid Sans Fallback" w:cs="Times New Roman" w:ascii="Times New Roman" w:hAnsi="Times New Roman"/>
                <w:sz w:val="27"/>
                <w:szCs w:val="27"/>
              </w:rPr>
              <w:t xml:space="preserve">29 квітня 2020 року на телеканалі «Аверс» було проведено трансляцію загальноміського свята «Останнього дзвоника». Також, </w:t>
            </w:r>
            <w:r>
              <w:rPr>
                <w:rFonts w:eastAsia="Times New Roman" w:cs="Times New Roman" w:ascii="Times New Roman" w:hAnsi="Times New Roman"/>
                <w:sz w:val="27"/>
                <w:szCs w:val="27"/>
              </w:rPr>
              <w:t>в</w:t>
            </w:r>
            <w:r>
              <w:rPr>
                <w:rFonts w:eastAsia="Droid Sans Fallback" w:cs="Times New Roman" w:ascii="Times New Roman" w:hAnsi="Times New Roman"/>
                <w:sz w:val="27"/>
                <w:szCs w:val="27"/>
              </w:rPr>
              <w:t>несено зміни до календарного плану підготовки та проведення ЗНО у 2020 році, затверджено терміни проведення основної сесії ЗНО (25.06 - 17.07), додаткової сесії (23.07 - 11.08), відповідно до наказу МОН України від 20.05.2020 № 664.</w:t>
            </w:r>
          </w:p>
          <w:p>
            <w:pPr>
              <w:pStyle w:val="Normal"/>
              <w:widowControl w:val="false"/>
              <w:suppressAutoHyphens w:val="true"/>
              <w:ind w:firstLine="709"/>
              <w:jc w:val="both"/>
              <w:textAlignment w:val="baseline"/>
              <w:rPr>
                <w:rFonts w:eastAsia="Droid Sans Fallback" w:cs="FreeSans"/>
              </w:rPr>
            </w:pPr>
            <w:r>
              <w:rPr>
                <w:rFonts w:eastAsia="Droid Sans Fallback" w:cs="Times New Roman" w:ascii="Times New Roman" w:hAnsi="Times New Roman"/>
                <w:sz w:val="27"/>
                <w:szCs w:val="27"/>
              </w:rPr>
              <w:t>Під час дії карантинних обмежень було атестовано 476 педагогів та керівників освітніх закладів. Всі засідання атестаційних комісій, планові наради із керівниками загальноосвітніх шкіл, та директорами закладами дошкільної освіти, було проведено в онлайн режимі, зокрема, за використанням платформи ZOOM.</w:t>
            </w:r>
          </w:p>
          <w:p>
            <w:pPr>
              <w:pStyle w:val="Normal"/>
              <w:widowControl w:val="false"/>
              <w:suppressAutoHyphens w:val="true"/>
              <w:ind w:firstLine="709"/>
              <w:jc w:val="both"/>
              <w:textAlignment w:val="baseline"/>
              <w:rPr>
                <w:rFonts w:eastAsia="Droid Sans Fallback" w:cs="FreeSans"/>
              </w:rPr>
            </w:pPr>
            <w:r>
              <w:rPr>
                <w:rFonts w:eastAsia="Droid Sans Fallback" w:cs="Times New Roman" w:ascii="Times New Roman" w:hAnsi="Times New Roman"/>
                <w:sz w:val="27"/>
                <w:szCs w:val="27"/>
              </w:rPr>
              <w:t xml:space="preserve">Відповідно до Порядку </w:t>
            </w:r>
            <w:r>
              <w:rPr>
                <w:rFonts w:eastAsia="Droid Sans Fallback" w:cs="Times New Roman" w:ascii="Times New Roman" w:hAnsi="Times New Roman"/>
                <w:sz w:val="27"/>
                <w:szCs w:val="27"/>
                <w:lang w:eastAsia="uk-UA"/>
              </w:rPr>
              <w:t>зарахування, відрахування та переведення учнів до державних та комунальних закладів освіти для здобуття повної загальної середньої освіти в усіх школах з 02.03.2020 здійснювався прийом документів для вступу учнів на навчання до 1 класу. Із початком введення карантину у школах було запроваджено прийом заяв онлайн, про що поінформовано громадськість через сайти загальноосвітніх шкіл міста.</w:t>
            </w:r>
          </w:p>
          <w:p>
            <w:pPr>
              <w:pStyle w:val="Normal"/>
              <w:widowControl w:val="false"/>
              <w:suppressAutoHyphens w:val="true"/>
              <w:ind w:firstLine="708"/>
              <w:jc w:val="both"/>
              <w:textAlignment w:val="baseline"/>
              <w:rPr>
                <w:rFonts w:eastAsia="Droid Sans Fallback" w:cs="FreeSans"/>
              </w:rPr>
            </w:pPr>
            <w:r>
              <w:rPr>
                <w:rFonts w:eastAsia="Droid Sans Fallback" w:cs="Times New Roman" w:ascii="Times New Roman" w:hAnsi="Times New Roman"/>
                <w:sz w:val="27"/>
                <w:szCs w:val="27"/>
              </w:rPr>
              <w:t xml:space="preserve">З 03 червня 2020 року відновлено роботу закладів дошкільної освіти з дотриманням усіх необхідних карантинних вимог та протиепідемічних заходів. </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widowControl w:val="false"/>
        <w:tabs>
          <w:tab w:val="clear" w:pos="709"/>
          <w:tab w:val="left" w:pos="540" w:leader="none"/>
          <w:tab w:val="left" w:pos="1080" w:leader="none"/>
        </w:tabs>
        <w:jc w:val="center"/>
        <w:textAlignment w:val="baseline"/>
        <w:rPr>
          <w:rFonts w:cs="Arial"/>
        </w:rPr>
      </w:pPr>
      <w:r>
        <w:rPr>
          <w:rFonts w:cs="Times New Roman" w:ascii="Times New Roman" w:hAnsi="Times New Roman"/>
          <w:b/>
          <w:sz w:val="27"/>
          <w:szCs w:val="27"/>
        </w:rPr>
        <w:t>2.2. Охорона здоров’я</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textAlignment w:val="baseline"/>
              <w:rPr>
                <w:rFonts w:cs="Arial"/>
              </w:rPr>
            </w:pPr>
            <w:r>
              <w:rPr>
                <w:rFonts w:cs="Times New Roman" w:ascii="Times New Roman" w:hAnsi="Times New Roman"/>
                <w:bCs/>
                <w:sz w:val="27"/>
                <w:szCs w:val="27"/>
              </w:rPr>
              <w:t>Стан виконання заходів</w:t>
            </w:r>
          </w:p>
        </w:tc>
      </w:tr>
      <w:tr>
        <w:trPr>
          <w:trHeight w:val="103" w:hRule="atLeast"/>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snapToGrid w:val="false"/>
              <w:textAlignment w:val="baseline"/>
              <w:rPr>
                <w:rFonts w:ascii="Times New Roman" w:hAnsi="Times New Roman" w:cs="Times New Roman"/>
                <w:bCs/>
                <w:sz w:val="27"/>
                <w:szCs w:val="27"/>
              </w:rPr>
            </w:pPr>
            <w:r>
              <w:rPr>
                <w:rFonts w:cs="Times New Roman" w:ascii="Times New Roman" w:hAnsi="Times New Roman"/>
                <w:bCs/>
                <w:sz w:val="27"/>
                <w:szCs w:val="27"/>
              </w:rPr>
            </w:r>
          </w:p>
          <w:p>
            <w:pPr>
              <w:pStyle w:val="Normal"/>
              <w:widowControl w:val="fals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jc w:val="both"/>
              <w:textAlignment w:val="baseline"/>
              <w:rPr>
                <w:rFonts w:cs="Arial"/>
              </w:rPr>
            </w:pPr>
            <w:r>
              <w:rPr>
                <w:rFonts w:cs="Times New Roman" w:ascii="Times New Roman" w:hAnsi="Times New Roman"/>
                <w:sz w:val="27"/>
                <w:szCs w:val="27"/>
              </w:rPr>
              <w:t>Проведення комп’ютеризації та належного програмного забезпечення для встановлення електронної системи охорони здоров’я та автоматизованої пошукової системи згідно вимог Національної служби здоров’я України в комунальних підприємствах охорони здоров’я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567"/>
              <w:jc w:val="both"/>
              <w:textAlignment w:val="baseline"/>
              <w:rPr>
                <w:rFonts w:cs="Arial"/>
              </w:rPr>
            </w:pPr>
            <w:r>
              <w:rPr>
                <w:rFonts w:cs="Times New Roman" w:ascii="Times New Roman" w:hAnsi="Times New Roman"/>
                <w:sz w:val="27"/>
                <w:szCs w:val="27"/>
              </w:rPr>
              <w:t>З метою впровадження медичної інформаційної системи E - Health та налагодження функціонування електронного документообігу в медицині, як основної вимоги Національної служби здоров’я України для укладання договорів, комунальними підприємствами охорони здоров’я Луцької міської територіальної громади, які надають вторинну (спеціалізовану) медичну допомогу, в тому числі КП «Луцька міська клінічна лікарня», КП «Луцький клінічний пологовий будинок», КП «Луцька міська дитяча поліклініка», КП «Луцька міська клінічна стоматологічна поліклініка» придбано комп’ютерну оргтехніку та проведено локальну мережу для АІПС «МедСистема» .</w:t>
            </w:r>
          </w:p>
          <w:p>
            <w:pPr>
              <w:pStyle w:val="Normal"/>
              <w:widowControl w:val="false"/>
              <w:jc w:val="both"/>
              <w:textAlignment w:val="baseline"/>
              <w:rPr>
                <w:rFonts w:ascii="Times New Roman" w:hAnsi="Times New Roman" w:cs="Times New Roman"/>
                <w:sz w:val="27"/>
                <w:szCs w:val="27"/>
              </w:rPr>
            </w:pPr>
            <w:r>
              <w:rPr>
                <w:rFonts w:cs="Times New Roman" w:ascii="Times New Roman" w:hAnsi="Times New Roman"/>
                <w:sz w:val="27"/>
                <w:szCs w:val="27"/>
              </w:rPr>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540" w:leader="none"/>
                <w:tab w:val="left" w:pos="567" w:leader="none"/>
              </w:tabs>
              <w:jc w:val="both"/>
              <w:textAlignment w:val="baseline"/>
              <w:rPr>
                <w:rFonts w:cs="Arial"/>
              </w:rPr>
            </w:pPr>
            <w:r>
              <w:rPr>
                <w:rFonts w:cs="Times New Roman" w:ascii="Times New Roman" w:hAnsi="Times New Roman"/>
                <w:sz w:val="27"/>
                <w:szCs w:val="27"/>
              </w:rPr>
              <w:t>Створення консультативно-діагностичного центру у складі комунального підприємства «Луцька міська клінічна лікарня»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510"/>
              <w:jc w:val="both"/>
              <w:textAlignment w:val="baseline"/>
              <w:rPr>
                <w:rFonts w:cs="Arial"/>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З метою дотримання об’єму надання вторинної (спеціалізованої) медичної допомоги, що повинен забезпечуватися багатопрофільними лікарнями інтенсивного лікування першого та другого рівня, з 15 січня 2020 року розпочав роботу консультативно-діагностичний центр в складі КП «Луцька міська клінічна лікарня» (наказ УОЗ МР від 27.09.2019 № 67/17 - 3). З метою раціоналізації використання фінансових і кадрових ресурсів у сфері надання вторинної (спеціалізованої) медичної допомоги, а також підвищення якості надання медичної допомоги в амбулаторних умовах, штатна чисельність консультативно-діагностичного центру формувалась за рахунок посад працівників, які надавали амбулаторно-поліклінічну допомогу в комунальних центрах первинної медичної допомоги.</w:t>
            </w:r>
          </w:p>
          <w:p>
            <w:pPr>
              <w:pStyle w:val="Normal"/>
              <w:widowControl w:val="false"/>
              <w:ind w:firstLine="510"/>
              <w:jc w:val="both"/>
              <w:textAlignment w:val="baseline"/>
              <w:rPr>
                <w:rFonts w:cs="Arial"/>
              </w:rPr>
            </w:pPr>
            <w:r>
              <w:rPr>
                <w:rFonts w:cs="Times New Roman" w:ascii="Times New Roman" w:hAnsi="Times New Roman"/>
                <w:sz w:val="27"/>
                <w:szCs w:val="27"/>
              </w:rPr>
              <w:t>З 01 квітня 2020 року КП «Луцька міська клінічна лікарня» укладено договір із Національною службою здоров’я України на пакет послуг для надання амбулаторної вторинної та третинної медичної допомоги.</w:t>
            </w:r>
          </w:p>
        </w:tc>
      </w:tr>
      <w:tr>
        <w:trPr>
          <w:trHeight w:val="2259" w:hRule="atLeast"/>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540" w:leader="none"/>
                <w:tab w:val="left" w:pos="567" w:leader="none"/>
              </w:tabs>
              <w:jc w:val="both"/>
              <w:textAlignment w:val="baseline"/>
              <w:rPr>
                <w:rFonts w:cs="Arial"/>
              </w:rPr>
            </w:pPr>
            <w:r>
              <w:rPr>
                <w:rFonts w:cs="Times New Roman" w:ascii="Times New Roman" w:hAnsi="Times New Roman"/>
                <w:sz w:val="27"/>
                <w:szCs w:val="27"/>
              </w:rPr>
              <w:t>Укладання договорів між комунальними підприємствами охорони здоров’я Луцької міської територіальної громади та Національною службою здоров’я України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567"/>
              <w:jc w:val="both"/>
              <w:textAlignment w:val="baseline"/>
              <w:rPr>
                <w:rFonts w:cs="Arial"/>
              </w:rPr>
            </w:pPr>
            <w:r>
              <w:rPr>
                <w:rFonts w:cs="Times New Roman" w:ascii="Times New Roman" w:hAnsi="Times New Roman"/>
                <w:sz w:val="27"/>
                <w:szCs w:val="27"/>
              </w:rPr>
              <w:t xml:space="preserve">В рамках реалізації Закону України «Про державні фінансові гарантії медичного обслуговування населення», відповідно до постанови Кабінету Міністрів України від 05.02.2020 № 65 «Деякі питання реалізації програми державних гарантій медичного обслуговування населення у 2020 році» комунальні підприємства охорони здоров’я Луцької міської територіальної громади, які надають вторинну (спеціалізовану) медичну допомогу, в тому числі КП «Луцька міська клінічна лікарня», КП «Луцький клінічний пологовий будинок», КП «Луцька міська дитяча поліклініка», КП «Луцька міська клінічна стоматологічна поліклініка», КП «Луцький центр первинної медичної допомоги» (Центр реабілітації) підписали договори з Національною службою здоров’я України з 01 квітня 2020 року на визначені пакети медичних послуг згідно вимог. </w:t>
            </w:r>
          </w:p>
          <w:p>
            <w:pPr>
              <w:pStyle w:val="Normal"/>
              <w:widowControl w:val="false"/>
              <w:ind w:firstLine="567"/>
              <w:jc w:val="both"/>
              <w:textAlignment w:val="baseline"/>
              <w:rPr>
                <w:rFonts w:cs="Arial"/>
              </w:rPr>
            </w:pPr>
            <w:r>
              <w:rPr>
                <w:rFonts w:cs="Times New Roman" w:ascii="Times New Roman" w:hAnsi="Times New Roman"/>
                <w:sz w:val="27"/>
                <w:szCs w:val="27"/>
              </w:rPr>
              <w:t xml:space="preserve">На даному етапі свого розвитку галузь охорони здоров’я Луцької міської територіальної громади, реалізуючи державну політику реформування, функціонує як єдиний медичний простір, з метою надання мешканцям повноцінної медичної допомоги від первинної ланки до високоспеціалізованої. </w:t>
            </w:r>
          </w:p>
        </w:tc>
      </w:tr>
      <w:tr>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540" w:leader="none"/>
                <w:tab w:val="left" w:pos="567" w:leader="none"/>
              </w:tabs>
              <w:jc w:val="both"/>
              <w:textAlignment w:val="baseline"/>
              <w:rPr>
                <w:rFonts w:cs="Arial"/>
              </w:rPr>
            </w:pPr>
            <w:r>
              <w:rPr>
                <w:rFonts w:cs="Times New Roman" w:ascii="Times New Roman" w:hAnsi="Times New Roman"/>
                <w:sz w:val="27"/>
                <w:szCs w:val="27"/>
              </w:rPr>
              <w:t>Зміцнення матеріально-технічної бази комунальних лікувально-профілактичних закладів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567"/>
              <w:jc w:val="both"/>
              <w:textAlignment w:val="baseline"/>
              <w:rPr>
                <w:rFonts w:cs="Arial"/>
              </w:rPr>
            </w:pPr>
            <w:r>
              <w:rPr>
                <w:rFonts w:cs="Times New Roman" w:ascii="Times New Roman" w:hAnsi="Times New Roman"/>
                <w:sz w:val="27"/>
                <w:szCs w:val="27"/>
              </w:rPr>
              <w:t>На оновлення та зміцнення матеріально-технічної бази закладів охорони здоров'я у 2020 році було використано 12 800,4 тис. грн коштів бюджету ЛМТГ, з яких:</w:t>
            </w:r>
          </w:p>
          <w:p>
            <w:pPr>
              <w:pStyle w:val="Normal"/>
              <w:widowControl w:val="false"/>
              <w:ind w:firstLine="567"/>
              <w:jc w:val="both"/>
              <w:textAlignment w:val="baseline"/>
              <w:rPr>
                <w:rFonts w:cs="Arial"/>
              </w:rPr>
            </w:pPr>
            <w:r>
              <w:rPr>
                <w:rFonts w:cs="Times New Roman" w:ascii="Times New Roman" w:hAnsi="Times New Roman"/>
                <w:sz w:val="27"/>
                <w:szCs w:val="27"/>
              </w:rPr>
              <w:t>- для КП «Луцька міська клінічна лікарня» на придбання лапароскопічної стійки, 2-х концентраторів кисню, 2-х аналізаторів та реактивів для проведення ІФА, запасних частин із встановленням для спірального комп’ютерного томографа, моніторів спостереження за станом пацієнта та портативних холтерівських моніторів для вимірювання тиску, автомобіля, апаратів штучної вентиляції легень, біохімічного аналізатора, дефібрилятора з функцією синхронізації та ін;</w:t>
            </w:r>
          </w:p>
          <w:p>
            <w:pPr>
              <w:pStyle w:val="Normal"/>
              <w:widowControl w:val="false"/>
              <w:ind w:firstLine="567"/>
              <w:jc w:val="both"/>
              <w:textAlignment w:val="baseline"/>
              <w:rPr>
                <w:rFonts w:cs="Arial"/>
              </w:rPr>
            </w:pPr>
            <w:r>
              <w:rPr>
                <w:rFonts w:cs="Times New Roman" w:ascii="Times New Roman" w:hAnsi="Times New Roman"/>
                <w:sz w:val="27"/>
                <w:szCs w:val="27"/>
              </w:rPr>
              <w:t>- для КП «Луцький клінічний пологовий будинок» на придбання апарата ультразвукового дослідження для проведення нейросонографії новонароджених, комп’ютерної оргтехніки, пральної машини та ін.;</w:t>
            </w:r>
          </w:p>
          <w:p>
            <w:pPr>
              <w:pStyle w:val="Normal"/>
              <w:widowControl w:val="false"/>
              <w:ind w:firstLine="624"/>
              <w:jc w:val="both"/>
              <w:textAlignment w:val="baseline"/>
              <w:rPr>
                <w:rFonts w:cs="Arial"/>
              </w:rPr>
            </w:pPr>
            <w:r>
              <w:rPr>
                <w:rFonts w:cs="Times New Roman" w:ascii="Times New Roman" w:hAnsi="Times New Roman"/>
                <w:sz w:val="27"/>
                <w:szCs w:val="27"/>
              </w:rPr>
              <w:t>- для КП «Луцька міська дитяча поліклініка» на проведення ремонту каналізаційної мережі,на придбання обладнання для реабілітації;</w:t>
            </w:r>
          </w:p>
          <w:p>
            <w:pPr>
              <w:pStyle w:val="Normal"/>
              <w:widowControl w:val="false"/>
              <w:ind w:firstLine="624"/>
              <w:jc w:val="both"/>
              <w:textAlignment w:val="baseline"/>
              <w:rPr>
                <w:rFonts w:cs="Arial"/>
              </w:rPr>
            </w:pPr>
            <w:r>
              <w:rPr>
                <w:rFonts w:cs="Times New Roman" w:ascii="Times New Roman" w:hAnsi="Times New Roman"/>
                <w:sz w:val="27"/>
                <w:szCs w:val="27"/>
              </w:rPr>
              <w:t>- для КП «Луцький центр первинної медичної допомоги» на придбання обладнання для Центру реабілітації учасників бойових дій;</w:t>
            </w:r>
          </w:p>
          <w:p>
            <w:pPr>
              <w:pStyle w:val="Normal"/>
              <w:widowControl w:val="false"/>
              <w:ind w:firstLine="624"/>
              <w:jc w:val="both"/>
              <w:textAlignment w:val="baseline"/>
              <w:rPr>
                <w:rFonts w:ascii="Times New Roman" w:hAnsi="Times New Roman" w:cs="Times New Roman"/>
                <w:sz w:val="27"/>
                <w:szCs w:val="27"/>
              </w:rPr>
            </w:pPr>
            <w:r>
              <w:rPr>
                <w:rFonts w:cs="Times New Roman" w:ascii="Times New Roman" w:hAnsi="Times New Roman"/>
                <w:sz w:val="27"/>
                <w:szCs w:val="27"/>
              </w:rPr>
              <w:t>- для КП «Луцький центр первинної медичної допомоги» на придбання обладнання.</w:t>
            </w:r>
          </w:p>
          <w:p>
            <w:pPr>
              <w:pStyle w:val="Normal"/>
              <w:widowControl w:val="false"/>
              <w:ind w:firstLine="624"/>
              <w:jc w:val="both"/>
              <w:textAlignment w:val="baseline"/>
              <w:rPr>
                <w:rFonts w:ascii="Times New Roman" w:hAnsi="Times New Roman" w:cs="Times New Roman"/>
                <w:sz w:val="27"/>
                <w:szCs w:val="27"/>
              </w:rPr>
            </w:pPr>
            <w:r>
              <w:rPr>
                <w:rFonts w:cs="Times New Roman" w:ascii="Times New Roman" w:hAnsi="Times New Roman"/>
                <w:sz w:val="27"/>
                <w:szCs w:val="27"/>
              </w:rPr>
            </w:r>
          </w:p>
          <w:p>
            <w:pPr>
              <w:pStyle w:val="Normal"/>
              <w:widowControl w:val="false"/>
              <w:ind w:firstLine="624"/>
              <w:jc w:val="both"/>
              <w:textAlignment w:val="baseline"/>
              <w:rPr>
                <w:rFonts w:cs="Arial"/>
              </w:rPr>
            </w:pPr>
            <w:r>
              <w:rPr>
                <w:rFonts w:cs="Arial"/>
              </w:rPr>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540" w:leader="none"/>
                <w:tab w:val="left" w:pos="567" w:leader="none"/>
              </w:tabs>
              <w:jc w:val="both"/>
              <w:textAlignment w:val="baseline"/>
              <w:rPr>
                <w:rFonts w:cs="Arial"/>
              </w:rPr>
            </w:pPr>
            <w:r>
              <w:rPr>
                <w:rFonts w:cs="Times New Roman" w:ascii="Times New Roman" w:hAnsi="Times New Roman"/>
                <w:sz w:val="27"/>
                <w:szCs w:val="27"/>
              </w:rPr>
              <w:t>Проведення заходів щодо створення Луцького госпітального округу.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510"/>
              <w:jc w:val="both"/>
              <w:textAlignment w:val="baseline"/>
              <w:rPr>
                <w:rFonts w:cs="Arial"/>
              </w:rPr>
            </w:pPr>
            <w:r>
              <w:rPr>
                <w:rFonts w:cs="Times New Roman" w:ascii="Times New Roman" w:hAnsi="Times New Roman"/>
                <w:sz w:val="27"/>
                <w:szCs w:val="27"/>
              </w:rPr>
              <w:t xml:space="preserve">Кабінет Міністрів України постановою від 27.11.2019 № 1074 «Деякі питання створення госпітальних округів» затвердив новий порядок створення госпітальних округів, який передбачає укрупнення округів до обласного рівня. У результаті Україна перейшла на модель: одна область – один госпітальний округ. </w:t>
            </w:r>
          </w:p>
          <w:p>
            <w:pPr>
              <w:pStyle w:val="Normal"/>
              <w:widowControl w:val="false"/>
              <w:ind w:firstLine="510"/>
              <w:jc w:val="both"/>
              <w:textAlignment w:val="baseline"/>
              <w:rPr>
                <w:rFonts w:cs="Arial"/>
              </w:rPr>
            </w:pPr>
            <w:r>
              <w:rPr>
                <w:rFonts w:cs="Times New Roman" w:ascii="Times New Roman" w:hAnsi="Times New Roman"/>
                <w:sz w:val="27"/>
                <w:szCs w:val="27"/>
                <w:highlight w:val="white"/>
              </w:rPr>
              <w:t>Госпітальний округ не є окремим організаційно-правовим рівнем організації виконавчої влади, окремою юридичною особою чи суб’єктом господарювання. Суб’єктами госпітального округу є заклади охорони здоров’я та фізичні особи - підприємці, які зареєстровані в установленому законом порядку та одержали ліцензію на право провадження господарської діяльності з медичної практики, що забезпечують медичне обслуговування населення на території госпітального округу.</w:t>
            </w:r>
          </w:p>
          <w:p>
            <w:pPr>
              <w:pStyle w:val="Normal"/>
              <w:widowControl w:val="false"/>
              <w:ind w:firstLine="510"/>
              <w:jc w:val="both"/>
              <w:textAlignment w:val="baseline"/>
              <w:rPr>
                <w:rFonts w:cs="Arial"/>
              </w:rPr>
            </w:pPr>
            <w:r>
              <w:rPr>
                <w:rFonts w:cs="Times New Roman" w:ascii="Times New Roman" w:hAnsi="Times New Roman"/>
                <w:sz w:val="27"/>
                <w:szCs w:val="27"/>
                <w:highlight w:val="white"/>
              </w:rPr>
              <w:t>Функції закладів охорони здоров’я у складі госпітального округу визначаються на основі видів медичної допомоги, що надається в кожному закладі охорони здоров’я, а також функціональних потужностей таких закладів. У межах госпітального округу формується спроможна мережа госпітального округу, яка складається з опорних закладів охорони здоров’я та інших закладів охорони здоров’я, у тому числі багатопрофільних дитячих лікарень, перинатальних центрів, спеціалізованих центрів та закладів охорони здоров’я, які надають медичну допомогу при онкологічних, інфекційних захворюваннях, туберкульозі та інших соціально значущих хворобах.</w:t>
            </w:r>
          </w:p>
          <w:p>
            <w:pPr>
              <w:pStyle w:val="Normal"/>
              <w:widowControl w:val="false"/>
              <w:ind w:firstLine="510"/>
              <w:jc w:val="both"/>
              <w:textAlignment w:val="baseline"/>
              <w:rPr>
                <w:rFonts w:cs="Arial"/>
              </w:rPr>
            </w:pPr>
            <w:r>
              <w:rPr>
                <w:rFonts w:cs="Times New Roman" w:ascii="Times New Roman" w:hAnsi="Times New Roman"/>
                <w:sz w:val="27"/>
                <w:szCs w:val="27"/>
                <w:highlight w:val="white"/>
              </w:rPr>
              <w:t>Спроможна мережа госпітального округу, за винятком опорних закладів охорони здоров’я, визначається Радою міністрів Автономної Республіки Крим, обласною, Київською чи Севастопольською міською держадміністрацією з урахуванням пропозицій госпітальної ради. Розпорядженням голови Волинської обласної державної адміністрації від 14.01.2020 № 7 утворено Госпітальну раду Волинського госпітального округу</w:t>
            </w:r>
          </w:p>
          <w:p>
            <w:pPr>
              <w:pStyle w:val="Normal"/>
              <w:widowControl w:val="false"/>
              <w:ind w:firstLine="510"/>
              <w:jc w:val="both"/>
              <w:textAlignment w:val="baseline"/>
              <w:rPr>
                <w:rFonts w:cs="Arial"/>
              </w:rPr>
            </w:pPr>
            <w:r>
              <w:rPr>
                <w:rFonts w:cs="Times New Roman" w:ascii="Times New Roman" w:hAnsi="Times New Roman"/>
                <w:sz w:val="27"/>
                <w:szCs w:val="27"/>
                <w:highlight w:val="white"/>
              </w:rPr>
              <w:t>Враховуючи викладене, питання створення Луцького госпітального округу втратило свою актуальність.</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540" w:leader="none"/>
                <w:tab w:val="left" w:pos="567" w:leader="none"/>
              </w:tabs>
              <w:jc w:val="both"/>
              <w:textAlignment w:val="baseline"/>
              <w:rPr>
                <w:rFonts w:cs="Arial"/>
              </w:rPr>
            </w:pPr>
            <w:r>
              <w:rPr>
                <w:rFonts w:cs="Times New Roman" w:ascii="Times New Roman" w:hAnsi="Times New Roman"/>
                <w:sz w:val="27"/>
                <w:szCs w:val="27"/>
              </w:rPr>
              <w:t>Подальше впровадження сучасних медичних технологій та комунальних підприємствах охорони здоров’я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firstLine="567"/>
              <w:jc w:val="both"/>
              <w:textAlignment w:val="baseline"/>
              <w:rPr>
                <w:rFonts w:cs="Arial"/>
              </w:rPr>
            </w:pPr>
            <w:r>
              <w:rPr>
                <w:rFonts w:cs="Times New Roman" w:ascii="Times New Roman" w:hAnsi="Times New Roman"/>
                <w:spacing w:val="1"/>
                <w:sz w:val="27"/>
                <w:szCs w:val="27"/>
              </w:rPr>
              <w:t xml:space="preserve">В міських лікпрофзакладах проводилося впровадження наукових нововведень і сучасних методик з діагностики та лікування, з них новітні методики оперативних втручань на органах черевної порожнини та опорно-рухового апарату, подальший розвиток та удосконалення інвазивних методів діагностики та лікування уражень коронарних судин та ін. </w:t>
            </w:r>
          </w:p>
          <w:p>
            <w:pPr>
              <w:pStyle w:val="Normal"/>
              <w:widowControl w:val="false"/>
              <w:snapToGrid w:val="false"/>
              <w:ind w:firstLine="567"/>
              <w:jc w:val="both"/>
              <w:textAlignment w:val="baseline"/>
              <w:rPr>
                <w:rFonts w:cs="Arial"/>
              </w:rPr>
            </w:pPr>
            <w:r>
              <w:rPr>
                <w:rFonts w:cs="Times New Roman" w:ascii="Times New Roman" w:hAnsi="Times New Roman"/>
                <w:spacing w:val="1"/>
                <w:sz w:val="27"/>
                <w:szCs w:val="27"/>
              </w:rPr>
              <w:t xml:space="preserve">Медичні працівники приймали участь в конференціях, семінарах, проходили навчання з підвищення кваліфікації з різних актуальних питань удосконалення медичної допомоги дистанційно у зв'язку із запровадженням карантину.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540" w:leader="none"/>
                <w:tab w:val="left" w:pos="567" w:leader="none"/>
              </w:tabs>
              <w:jc w:val="both"/>
              <w:textAlignment w:val="baseline"/>
              <w:rPr>
                <w:rFonts w:cs="Arial"/>
              </w:rPr>
            </w:pPr>
            <w:r>
              <w:rPr>
                <w:rFonts w:cs="Times New Roman" w:ascii="Times New Roman" w:hAnsi="Times New Roman"/>
                <w:sz w:val="27"/>
                <w:szCs w:val="27"/>
              </w:rPr>
              <w:t xml:space="preserve">Додаткові заходи, які були впровадженні під час карантину </w:t>
            </w:r>
          </w:p>
          <w:p>
            <w:pPr>
              <w:pStyle w:val="Normal"/>
              <w:widowControl w:val="false"/>
              <w:tabs>
                <w:tab w:val="clear" w:pos="709"/>
                <w:tab w:val="left" w:pos="540" w:leader="none"/>
                <w:tab w:val="left" w:pos="567" w:leader="none"/>
              </w:tabs>
              <w:jc w:val="both"/>
              <w:textAlignment w:val="baseline"/>
              <w:rPr>
                <w:rFonts w:ascii="Times New Roman" w:hAnsi="Times New Roman" w:cs="Times New Roman"/>
                <w:sz w:val="27"/>
                <w:szCs w:val="27"/>
              </w:rPr>
            </w:pPr>
            <w:r>
              <w:rPr>
                <w:rFonts w:cs="Times New Roman" w:ascii="Times New Roman" w:hAnsi="Times New Roman"/>
                <w:sz w:val="27"/>
                <w:szCs w:val="27"/>
              </w:rPr>
            </w:r>
          </w:p>
          <w:p>
            <w:pPr>
              <w:pStyle w:val="Normal"/>
              <w:widowControl w:val="false"/>
              <w:tabs>
                <w:tab w:val="clear" w:pos="709"/>
                <w:tab w:val="left" w:pos="540" w:leader="none"/>
                <w:tab w:val="left" w:pos="567" w:leader="none"/>
              </w:tabs>
              <w:jc w:val="both"/>
              <w:textAlignment w:val="baseline"/>
              <w:rPr>
                <w:rFonts w:cs="Arial"/>
              </w:rPr>
            </w:pPr>
            <w:r>
              <w:rPr>
                <w:rFonts w:eastAsia="Times New Roman" w:cs="Times New Roman" w:ascii="Times New Roman" w:hAnsi="Times New Roman"/>
                <w:sz w:val="27"/>
                <w:szCs w:val="27"/>
              </w:rPr>
              <w:t xml:space="preserve">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firstLine="567"/>
              <w:jc w:val="both"/>
              <w:textAlignment w:val="baseline"/>
              <w:rPr>
                <w:rFonts w:cs="Arial"/>
                <w:spacing w:val="-4"/>
              </w:rPr>
            </w:pPr>
            <w:r>
              <w:rPr>
                <w:rFonts w:cs="Times New Roman" w:ascii="Times New Roman" w:hAnsi="Times New Roman"/>
                <w:spacing w:val="-4"/>
                <w:sz w:val="27"/>
                <w:szCs w:val="27"/>
              </w:rPr>
              <w:t xml:space="preserve">Комунальні підприємства охорони здоров’я Луцької міської територіальної громади в умовах карантину працювали із дотриманням вимог наказу МОЗ України від 28.03.2020 № 722 «Організація надання медичної допомоги хворим на коронавірусну хворобу (COVID-19)» та інших нормативно-правових документів управління охорони здоров’я облдержадміністрації, Луцької міської ради, розпоряджень керівника робіт з ліквідації наслідків медико-біологічної надзвичайної ситуації природного характеру регіонального рівня пов’язаної із поширенням коронавірусної хвороби COVID-19. </w:t>
            </w:r>
          </w:p>
          <w:p>
            <w:pPr>
              <w:pStyle w:val="Normal"/>
              <w:widowControl w:val="false"/>
              <w:snapToGrid w:val="false"/>
              <w:ind w:firstLine="567"/>
              <w:jc w:val="both"/>
              <w:textAlignment w:val="baseline"/>
              <w:rPr>
                <w:rFonts w:cs="Arial"/>
                <w:spacing w:val="-4"/>
              </w:rPr>
            </w:pPr>
            <w:r>
              <w:rPr>
                <w:rFonts w:cs="Times New Roman" w:ascii="Times New Roman" w:hAnsi="Times New Roman"/>
                <w:spacing w:val="-4"/>
                <w:sz w:val="27"/>
                <w:szCs w:val="27"/>
              </w:rPr>
              <w:t xml:space="preserve">Відповідно до рішення Луцької міської ради від 15.10.2020 № 94/23 «Про створення тимчасового інфекційного стаціонару для надання медичної допомоги хворим на COVID-19» на базі акушерського корпусу КП «Луцький клінічний пологовий будинок» розгорнуто 214 ліжок для надання стаціонарної медичної допомоги хворим на COVID-19. Тимчасовий інфекційний стаціонар переданий в оперативне управління КП «Луцька міська клінічна лікаря». </w:t>
            </w:r>
          </w:p>
          <w:p>
            <w:pPr>
              <w:pStyle w:val="Normal"/>
              <w:widowControl w:val="false"/>
              <w:snapToGrid w:val="false"/>
              <w:ind w:firstLine="567"/>
              <w:jc w:val="both"/>
              <w:textAlignment w:val="baseline"/>
              <w:rPr>
                <w:rFonts w:cs="Arial"/>
                <w:spacing w:val="-4"/>
              </w:rPr>
            </w:pPr>
            <w:r>
              <w:rPr>
                <w:rFonts w:cs="Times New Roman" w:ascii="Times New Roman" w:hAnsi="Times New Roman"/>
                <w:spacing w:val="-4"/>
                <w:sz w:val="27"/>
                <w:szCs w:val="27"/>
              </w:rPr>
              <w:t xml:space="preserve">З метою налагодження комунікації із мешканцями Луцької міської територіальної громади з початку карантину у постійному режимі робочого часу проводились телефонні консультації лікарями первинної ланки, в управлінні охорони здоров’я Луцької міської ради працювала окрема телефонна «гаряча лінія» для консультування. Окрім того, згідно розпорядження міського голови від 24.11.2020 № 328 «Про створення </w:t>
            </w:r>
            <w:r>
              <w:rPr>
                <w:rFonts w:eastAsia="Times New Roman" w:cs="Times New Roman" w:ascii="Times New Roman" w:hAnsi="Times New Roman"/>
                <w:spacing w:val="-4"/>
                <w:sz w:val="27"/>
                <w:szCs w:val="27"/>
              </w:rPr>
              <w:t xml:space="preserve">Консультаційного муніципального центру з питань COVID-19» на базі управління проведено організаційну роботу з облаштування робочих місць для функціонування центру. </w:t>
            </w:r>
          </w:p>
          <w:p>
            <w:pPr>
              <w:pStyle w:val="Normal"/>
              <w:widowControl w:val="false"/>
              <w:snapToGrid w:val="false"/>
              <w:ind w:firstLine="567"/>
              <w:jc w:val="both"/>
              <w:textAlignment w:val="baseline"/>
              <w:rPr>
                <w:rFonts w:cs="Arial"/>
                <w:spacing w:val="-4"/>
              </w:rPr>
            </w:pPr>
            <w:r>
              <w:rPr>
                <w:rFonts w:eastAsia="Times New Roman" w:cs="Times New Roman" w:ascii="Times New Roman" w:hAnsi="Times New Roman"/>
                <w:spacing w:val="-4"/>
                <w:sz w:val="27"/>
                <w:szCs w:val="27"/>
              </w:rPr>
              <w:t>З бюджету Луцької міської територіальної громади для забезпечення заходів щодо профілактики поширення гострого респіраторного захворювання, спричиненого COVID-19 комунальним підприємствам охорони здоров’я Луцької міської територіальної громади виділено 11,3 млн. грн:</w:t>
            </w:r>
          </w:p>
          <w:p>
            <w:pPr>
              <w:pStyle w:val="Normal"/>
              <w:widowControl w:val="false"/>
              <w:snapToGrid w:val="false"/>
              <w:ind w:firstLine="567"/>
              <w:jc w:val="both"/>
              <w:textAlignment w:val="baseline"/>
              <w:rPr>
                <w:rFonts w:cs="Arial"/>
                <w:spacing w:val="-4"/>
              </w:rPr>
            </w:pPr>
            <w:r>
              <w:rPr>
                <w:rFonts w:eastAsia="Times New Roman" w:cs="Times New Roman" w:ascii="Times New Roman" w:hAnsi="Times New Roman"/>
                <w:spacing w:val="-4"/>
                <w:sz w:val="27"/>
                <w:szCs w:val="27"/>
              </w:rPr>
              <w:t>- для закупівлі засобів індивідуального захисту (маски одноразові, маски багаторазові марлеві, халати одноразові, захисні окуляри закритого типу, маски-респіратори FFP3, набори костюмів захисних, комбінезони протиепідемічні стерильні, рукавички нітрилові, щитки захисні, шапочки медичні одноразові, дезінфікуючи, антисептики, тощо), лікарських препаратів, медичних виробів та розхідних матеріалів, дезінфікуючих (2,3 млн. грн);</w:t>
            </w:r>
          </w:p>
          <w:p>
            <w:pPr>
              <w:pStyle w:val="Normal"/>
              <w:widowControl w:val="false"/>
              <w:snapToGrid w:val="false"/>
              <w:ind w:firstLine="567"/>
              <w:jc w:val="both"/>
              <w:textAlignment w:val="baseline"/>
              <w:rPr>
                <w:rFonts w:cs="Arial"/>
                <w:spacing w:val="-4"/>
              </w:rPr>
            </w:pPr>
            <w:r>
              <w:rPr>
                <w:rFonts w:eastAsia="Times New Roman" w:cs="Times New Roman" w:ascii="Times New Roman" w:hAnsi="Times New Roman"/>
                <w:spacing w:val="-4"/>
                <w:sz w:val="27"/>
                <w:szCs w:val="27"/>
              </w:rPr>
              <w:t>- для закупівлі апаратів штучної вентиляції легень, концентраторів кисню, аналізаторів для проведення ІФА та іншого медичного обладнання для тимчасового інфекційного стаціонару (4,7 млн. грн);</w:t>
            </w:r>
          </w:p>
          <w:p>
            <w:pPr>
              <w:pStyle w:val="Normal"/>
              <w:widowControl w:val="false"/>
              <w:snapToGrid w:val="false"/>
              <w:ind w:firstLine="567"/>
              <w:jc w:val="both"/>
              <w:textAlignment w:val="baseline"/>
              <w:rPr>
                <w:rFonts w:cs="Arial"/>
                <w:spacing w:val="-4"/>
              </w:rPr>
            </w:pPr>
            <w:r>
              <w:rPr>
                <w:rFonts w:eastAsia="Times New Roman" w:cs="Times New Roman" w:ascii="Times New Roman" w:hAnsi="Times New Roman"/>
                <w:spacing w:val="-4"/>
                <w:sz w:val="27"/>
                <w:szCs w:val="27"/>
              </w:rPr>
              <w:t>- на оплату транспортних послуг для перевезення медичних працівників комунальних підприємств охорони здоров’я (1,4 млн. грн);</w:t>
            </w:r>
          </w:p>
          <w:p>
            <w:pPr>
              <w:pStyle w:val="Normal"/>
              <w:widowControl w:val="false"/>
              <w:snapToGrid w:val="false"/>
              <w:ind w:firstLine="567"/>
              <w:jc w:val="both"/>
              <w:textAlignment w:val="baseline"/>
              <w:rPr>
                <w:rFonts w:cs="Arial"/>
                <w:spacing w:val="-4"/>
              </w:rPr>
            </w:pPr>
            <w:r>
              <w:rPr>
                <w:rFonts w:eastAsia="Times New Roman" w:cs="Times New Roman" w:ascii="Times New Roman" w:hAnsi="Times New Roman"/>
                <w:spacing w:val="-4"/>
                <w:sz w:val="27"/>
                <w:szCs w:val="27"/>
              </w:rPr>
              <w:t>- на проведення доплат медичним працівникам за перебування у небезпечних умовах праці            (2,5 млн. грн),</w:t>
            </w:r>
          </w:p>
          <w:p>
            <w:pPr>
              <w:pStyle w:val="Normal"/>
              <w:widowControl w:val="false"/>
              <w:snapToGrid w:val="false"/>
              <w:ind w:firstLine="567"/>
              <w:jc w:val="both"/>
              <w:textAlignment w:val="baseline"/>
              <w:rPr>
                <w:rFonts w:cs="Arial"/>
              </w:rPr>
            </w:pPr>
            <w:r>
              <w:rPr>
                <w:rFonts w:eastAsia="Times New Roman" w:cs="Times New Roman" w:ascii="Times New Roman" w:hAnsi="Times New Roman"/>
                <w:spacing w:val="-4"/>
                <w:sz w:val="27"/>
                <w:szCs w:val="27"/>
              </w:rPr>
              <w:t>- на оплату послуг з харчування медичних працівників, задіяних при наданні стаціонарної допомоги хворим на COVID-19 (0,4 млн. грн).</w:t>
            </w:r>
            <w:r>
              <w:rPr>
                <w:rFonts w:eastAsia="Times New Roman" w:cs="Times New Roman" w:ascii="Times New Roman" w:hAnsi="Times New Roman"/>
                <w:sz w:val="27"/>
                <w:szCs w:val="27"/>
              </w:rPr>
              <w:t xml:space="preserve"> </w:t>
            </w:r>
          </w:p>
        </w:tc>
      </w:tr>
    </w:tbl>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2.3. Соціальний захист та соціальне забезпечення</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7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eastAsia="Times New Roman CYR" w:cs="Times New Roman" w:ascii="Times New Roman" w:hAnsi="Times New Roman"/>
                <w:bCs/>
                <w:spacing w:val="-1"/>
                <w:sz w:val="27"/>
                <w:szCs w:val="27"/>
                <w:lang w:bidi="ar-SA"/>
              </w:rPr>
              <w:t>Надання матеріальної допомоги військовослужбовцям, допомоги на вирішення соціально-побутових проблем та лікування, допомоги у психологічній адаптації та реабілітації учасникам антитерористичної операції та членам їх сімей</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Протягом 2020 року надано одноразову адресну грошову допомогу на лікування  мобілізованим учасникам антитерористичної операції, добровольцям, особам з інвалідністю внаслідок війни, членам сімей загиблих всього на суму 758,0 тис. грн.</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Забезпечення професійної адаптації військовослужбовців шляхом організації навчання на водіїв транспортних засобів категорій «В», «С», «D» та ін.</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highlight w:val="white"/>
              </w:rPr>
              <w:t xml:space="preserve">У звітному періоді, за рахунок коштів бюджету Луцької територіальної громади, організовано навчання 39 осіб </w:t>
            </w:r>
            <w:r>
              <w:rPr>
                <w:rFonts w:cs="Times New Roman" w:ascii="Times New Roman" w:hAnsi="Times New Roman"/>
                <w:bCs/>
                <w:sz w:val="27"/>
                <w:szCs w:val="27"/>
                <w:highlight w:val="white"/>
              </w:rPr>
              <w:t>на водіїв транспортних засобів з числа учасників АТО/УОС та членів сімей загиблих(померлих). В</w:t>
            </w:r>
            <w:r>
              <w:rPr>
                <w:rFonts w:cs="Times New Roman" w:ascii="Times New Roman" w:hAnsi="Times New Roman"/>
                <w:sz w:val="27"/>
                <w:szCs w:val="27"/>
                <w:highlight w:val="white"/>
              </w:rPr>
              <w:t xml:space="preserve">сього профінансовано на суму 242,9 тис. грн. </w:t>
            </w:r>
          </w:p>
          <w:p>
            <w:pPr>
              <w:pStyle w:val="Normal"/>
              <w:widowControl w:val="false"/>
              <w:suppressAutoHyphens w:val="true"/>
              <w:ind w:firstLine="567"/>
              <w:jc w:val="both"/>
              <w:textAlignment w:val="baseline"/>
              <w:rPr>
                <w:rFonts w:ascii="Times New Roman" w:hAnsi="Times New Roman" w:cs="Times New Roman"/>
                <w:sz w:val="27"/>
                <w:szCs w:val="27"/>
              </w:rPr>
            </w:pPr>
            <w:r>
              <w:rPr>
                <w:rFonts w:cs="Times New Roman" w:ascii="Times New Roman" w:hAnsi="Times New Roman"/>
                <w:sz w:val="27"/>
                <w:szCs w:val="27"/>
                <w:highlight w:val="white"/>
              </w:rPr>
              <w:t>За рахунок коштів державного бюджету 34 особи учасників АТО/ООС скористалось послугою професійної адаптації (п</w:t>
            </w:r>
            <w:r>
              <w:rPr>
                <w:rFonts w:cs="Times New Roman" w:ascii="Times New Roman" w:hAnsi="Times New Roman"/>
                <w:sz w:val="27"/>
                <w:szCs w:val="27"/>
              </w:rPr>
              <w:t>рофесійна адаптація учасників антитерористичної операції – заходи, спрямовані на відновлення та вдосконалення професійних навичок і умінь учасників антитерористичної операції шляхом професійного навчання, надання інформаційних, консультаційних та профорієнтаційних послуг із зазначених питань, підвищення їх конкурентоспроможності на ринку праці)</w:t>
            </w:r>
            <w:r>
              <w:rPr>
                <w:rFonts w:cs="Cuprum" w:ascii="Cuprum" w:hAnsi="Cuprum"/>
                <w:sz w:val="21"/>
              </w:rPr>
              <w:t>.</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Придбання житла учасникам бойових дій та особам з інвалідністю внаслідок війни, які були призвані на військову службу по мобілізації для участі в проведенні антитерористичної операції, на умовах співфінансування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ascii="Times New Roman" w:hAnsi="Times New Roman" w:cs="Times New Roman"/>
                <w:b/>
                <w:b/>
                <w:i/>
                <w:i/>
                <w:sz w:val="27"/>
                <w:szCs w:val="27"/>
                <w:highlight w:val="white"/>
              </w:rPr>
            </w:pPr>
            <w:r>
              <w:rPr>
                <w:rFonts w:cs="Times New Roman" w:ascii="Times New Roman" w:hAnsi="Times New Roman"/>
                <w:sz w:val="27"/>
                <w:szCs w:val="27"/>
                <w:highlight w:val="white"/>
              </w:rPr>
              <w:t xml:space="preserve">В рамках реалізації Програми забезпечення житлом на умовах співфінансування учасників бойових дій, осіб з інвалідністю внаслідок війни, бійців-добровольців, а також членів сімей загиблих (померлих), зниклих безвісти за 2020 рік профінансовано в сумі 4 324,3 тис. грн для придбання житла для 10 учасників Програми. </w:t>
            </w:r>
          </w:p>
        </w:tc>
      </w:tr>
      <w:tr>
        <w:trPr>
          <w:trHeight w:val="367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Забезпечення виплат дітям військовослужбовців, добровольців, волонтерів, які загинули, зникли</w:t>
            </w:r>
            <w:r>
              <w:rPr>
                <w:rFonts w:cs="Times New Roman" w:ascii="Times New Roman" w:hAnsi="Times New Roman"/>
                <w:b/>
                <w:bCs/>
                <w:sz w:val="27"/>
                <w:szCs w:val="27"/>
              </w:rPr>
              <w:t xml:space="preserve"> </w:t>
            </w:r>
            <w:r>
              <w:rPr>
                <w:rFonts w:cs="Times New Roman" w:ascii="Times New Roman" w:hAnsi="Times New Roman"/>
                <w:sz w:val="27"/>
                <w:szCs w:val="27"/>
              </w:rPr>
              <w:t>безвісти, є заручниками в результаті участі в антитерористичній операції або померли внаслідок поранення, контузії чи каліцтва, захворювання, отриманих у результаті участі в АТО</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Відповідно до Програми соціальних виплат дітям у місті Луцьку та населених пунктах Прилуцького старостинського округу на 2019 - 2020 роки дітям військовослужбовців, добровольців, волонтерів, які загинули, зникли безвісти, є заручниками в результаті участі в антитерористичній операції або померли внаслідок поранення, контузії, каліцтва чи захворювання отриманих у результаті участі в АТО, протягом 2020 року виплачено щомісячних допомог на загальну суму 866,7 тис. грн для 35 дітей з 29 сімей загиблих (померлих). </w:t>
            </w:r>
          </w:p>
        </w:tc>
      </w:tr>
      <w:tr>
        <w:trPr>
          <w:trHeight w:val="136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Надання адресної грошової допомоги мешканцям міста з числа соціально вразливих верств населення.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ascii="Times New Roman" w:hAnsi="Times New Roman" w:cs="Times New Roman"/>
                <w:sz w:val="27"/>
                <w:szCs w:val="27"/>
              </w:rPr>
            </w:pPr>
            <w:r>
              <w:rPr>
                <w:rFonts w:cs="Times New Roman" w:ascii="Times New Roman" w:hAnsi="Times New Roman"/>
                <w:sz w:val="27"/>
                <w:szCs w:val="27"/>
                <w:lang w:bidi="ar-SA"/>
              </w:rPr>
              <w:t>В рамках Програми соціального захисту населення, протягом 2020 року за рішенням комісії з питань надання грошової та матеріальної допомоги малозахищеним верствам населення була надана допомога на суму 2 294,8 тис. грн.</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Здійснення фінансової підтримки діяльності громадських організацій ветеранів, інвалідів та жертв нацистських переслідувань, діяльність яких поширюється лише на територію м. Луцька, та громадських об’єднань, які надають соціальні послуги.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xml:space="preserve">Протягом 2020 року на підтримку статутної діяльності громадських організацій ветеранів, осіб з інвалідністю, жертв нацистських переслідувань та на підтримку громадських організацій для проведення заходів соціального спрямування було виділено 164,8 тис. грн, на діяльність громадських об'єднань, які надають соціальні послуги – 158,3 тис. грн. </w:t>
            </w:r>
          </w:p>
        </w:tc>
      </w:tr>
      <w:tr>
        <w:trPr>
          <w:trHeight w:val="126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Нарахування субсидій та пільг на оплату житлово-комунальних послуг</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З початку року за призначенням житлової субсидії звернулись 4755 громадян. Загальна кількість домогосподарств, які отримують субсидію станом на 01.01.2021 року – 18 535, з них 17 534 - в готівковій формі та 1001 </w:t>
            </w:r>
            <w:r>
              <w:rPr>
                <w:rFonts w:cs="Times New Roman" w:ascii="Times New Roman" w:hAnsi="Times New Roman"/>
                <w:sz w:val="27"/>
                <w:szCs w:val="27"/>
                <w:lang w:bidi="ar-SA"/>
              </w:rPr>
              <w:t>– </w:t>
            </w:r>
            <w:r>
              <w:rPr>
                <w:rFonts w:cs="Times New Roman" w:ascii="Times New Roman" w:hAnsi="Times New Roman"/>
                <w:sz w:val="27"/>
                <w:szCs w:val="27"/>
              </w:rPr>
              <w:t xml:space="preserve">у безготівковій формі. Окрім того, за 2020 рік призначено субсидію на придбання твердого палива та скрапленого газу за 10 зверненнями. </w:t>
            </w:r>
          </w:p>
          <w:p>
            <w:pPr>
              <w:pStyle w:val="Normal"/>
              <w:suppressAutoHyphens w:val="true"/>
              <w:ind w:firstLine="567"/>
              <w:jc w:val="both"/>
              <w:textAlignment w:val="baseline"/>
              <w:rPr>
                <w:rFonts w:cs="Arial"/>
              </w:rPr>
            </w:pPr>
            <w:r>
              <w:rPr>
                <w:rFonts w:cs="Times New Roman" w:ascii="Times New Roman" w:hAnsi="Times New Roman"/>
                <w:sz w:val="27"/>
                <w:szCs w:val="27"/>
              </w:rPr>
              <w:t>В рамках Програми соціального захисту населення здійснювалося фінансування житлових субсидій, призначених за рішенням комісії з питань призначення державних соціальних допомог у випадках, не передбачених Положенням про порядок призначення та надання населенню субсидій для відшкодування витрат на оплату житлово</w:t>
            </w:r>
            <w:r>
              <w:rPr>
                <w:rFonts w:cs="Times New Roman" w:ascii="Times New Roman" w:hAnsi="Times New Roman"/>
                <w:sz w:val="27"/>
                <w:szCs w:val="27"/>
                <w:lang w:bidi="ar-SA"/>
              </w:rPr>
              <w:t>-</w:t>
            </w:r>
            <w:r>
              <w:rPr>
                <w:rFonts w:cs="Times New Roman" w:ascii="Times New Roman" w:hAnsi="Times New Roman"/>
                <w:sz w:val="27"/>
                <w:szCs w:val="27"/>
              </w:rPr>
              <w:t xml:space="preserve">комунальних послуг, придбання скрапленого газу, твердого та рідкого пічного побутового палива, затвердженим постановою Кабінету Міністрів України від 21.10.1995 № 848. Так, протягом звітного періоду на вказані потреби, бюджетом Луцької міської територіальної громади було профінансовано на суму 30,8 тис. грн. </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Пільги на житлово-комунальні послуги надаються у грошовій готівковій або безготівковій формі. Розмір пільги щомісячно розраховували працівники департаменту соціальної політики. Станом на 01.01.2021 пільги отримують у готівковій формі – 3293 особа, у безготівковій – 4629 осіб.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spacing w:val="-6"/>
              </w:rPr>
            </w:pPr>
            <w:r>
              <w:rPr>
                <w:rFonts w:cs="Times New Roman" w:ascii="Times New Roman" w:hAnsi="Times New Roman"/>
                <w:bCs/>
                <w:spacing w:val="-6"/>
                <w:sz w:val="27"/>
                <w:szCs w:val="27"/>
              </w:rPr>
              <w:t>Забезпечення безкоштовним гарячим харчуванням малозабезпечених жителів Луцької міської територіальної громади, які обслуговуються Територіальним центром соціального обслуговування (надання соціальних послуг) м. Луцька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В рамках Програми соціального захисту населення за 2020 рік в їдальні Територіального центру соціального обслуговування за бюджетні кошти ЛМТГ забезпечено безкоштовним гарячим харчуванням підопічних установи на суму 383,2 тис. грн.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 w:val="left" w:pos="1278" w:leader="none"/>
              </w:tabs>
              <w:suppressAutoHyphens w:val="true"/>
              <w:jc w:val="both"/>
              <w:textAlignment w:val="baseline"/>
              <w:rPr>
                <w:rFonts w:cs="Arial"/>
                <w:spacing w:val="-6"/>
              </w:rPr>
            </w:pPr>
            <w:r>
              <w:rPr>
                <w:rFonts w:cs="Times New Roman" w:ascii="Times New Roman" w:hAnsi="Times New Roman"/>
                <w:bCs/>
                <w:spacing w:val="-6"/>
                <w:sz w:val="27"/>
                <w:szCs w:val="27"/>
              </w:rPr>
              <w:t>Надання адресної грошової допомоги на оплату житлово-комунальних послуг окремим категоріям громадян (особи з інвалідністю по зору І та ІІ групи, члени сімей загиблих воїнів-інтернаціоналістів в Афганістані)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В рамках Програми соціального захисту населення, протягом звітного періоду було профінансовано адресної грошової допомоги на оплату житлово </w:t>
            </w:r>
            <w:r>
              <w:rPr>
                <w:rFonts w:cs="Times New Roman" w:ascii="Times New Roman" w:hAnsi="Times New Roman"/>
                <w:sz w:val="27"/>
                <w:szCs w:val="27"/>
                <w:lang w:bidi="ar-SA"/>
              </w:rPr>
              <w:t>– </w:t>
            </w:r>
            <w:r>
              <w:rPr>
                <w:rFonts w:cs="Times New Roman" w:ascii="Times New Roman" w:hAnsi="Times New Roman"/>
                <w:sz w:val="27"/>
                <w:szCs w:val="27"/>
              </w:rPr>
              <w:t xml:space="preserve">комунальних послуг на суму 2561,0 тис. грн. </w:t>
            </w:r>
          </w:p>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xml:space="preserve">Згідно Комплексної програми соціальної підтримки учасників бойових дій, бійців-добровольців, членів їх сімей, а також сімей загиблих (померлих) військовослужбовців на надання адресної грошової допомоги на оплату житлово-комунальних послуг з бюджету територіальної громади профінансовано на суму 856,0 тис. грн. </w:t>
            </w:r>
          </w:p>
        </w:tc>
      </w:tr>
      <w:tr>
        <w:trPr>
          <w:trHeight w:val="25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10.</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Здійснення фінансової підтримки Волинського обласного благодійного фонду «Переображення» для забезпечення діяльності Центру обліку бездомних осіб та відділення нічного перебування.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xml:space="preserve">В рамках Програми соціального захисту населення міста Луцька та населених пунктів Прилуцького старостинського округу на 2016-2022 роки протягом року фінансування для забезпечення </w:t>
            </w:r>
            <w:r>
              <w:rPr>
                <w:rFonts w:cs="Times New Roman" w:ascii="Times New Roman" w:hAnsi="Times New Roman"/>
                <w:sz w:val="27"/>
                <w:szCs w:val="27"/>
              </w:rPr>
              <w:t xml:space="preserve">діяльності Центру обліку бездомних осіб та відділення нічного перебування не здійснювалося.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На базі Центру діяли кімнати нічного перебування для бездомних осіб на 12 ліжко місць (діють в осінньо</w:t>
            </w:r>
            <w:r>
              <w:rPr>
                <w:rFonts w:cs="Times New Roman" w:ascii="Times New Roman" w:hAnsi="Times New Roman"/>
                <w:sz w:val="27"/>
                <w:szCs w:val="27"/>
                <w:lang w:bidi="ar-SA"/>
              </w:rPr>
              <w:t>-</w:t>
            </w:r>
            <w:r>
              <w:rPr>
                <w:rFonts w:cs="Times New Roman" w:ascii="Times New Roman" w:hAnsi="Times New Roman"/>
                <w:sz w:val="27"/>
                <w:szCs w:val="27"/>
              </w:rPr>
              <w:t>зимовий період за умов настання температури повітря, при якій є загроза переохолодження та замерзання). Відділення нічного перебування Центру надавало послуги ночівлі, харчування, санітарно-гігієнічні послуги, первинної медичної</w:t>
            </w:r>
            <w:r>
              <w:rPr>
                <w:rFonts w:cs="Times New Roman" w:ascii="Times New Roman" w:hAnsi="Times New Roman"/>
                <w:sz w:val="27"/>
                <w:szCs w:val="27"/>
                <w:lang w:bidi="ar-SA"/>
              </w:rPr>
              <w:t xml:space="preserve"> допомоги та забезпечення гуманітарним одягом.</w:t>
            </w:r>
          </w:p>
        </w:tc>
      </w:tr>
      <w:tr>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lang w:bidi="ar-SA"/>
              </w:rPr>
              <w:t>11.</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 xml:space="preserve">Додаткові заходи, </w:t>
            </w:r>
            <w:r>
              <w:rPr>
                <w:rFonts w:cs="Times New Roman" w:ascii="Times New Roman" w:hAnsi="Times New Roman"/>
                <w:bCs/>
                <w:sz w:val="27"/>
                <w:szCs w:val="27"/>
                <w:lang w:bidi="ar-SA"/>
              </w:rPr>
              <w:t>які були  впроваджені під час карантину, у зв’язку із поширенням короновірусу COVID-19.</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lang w:bidi="ar-SA"/>
              </w:rPr>
              <w:t xml:space="preserve">З 18 березня 2020 року територіальний центр соціального обслуговування (надання соціальних послуг) м. Луцька (вул. Данила Галицького,18) працював в умовах карантину, основна робота, в цей період, полягала у наданні соціальної послуги догляду на дому, а також у визначенні категорій громадян, які потребують допомоги, оскільки опинились у скрутному матеріальному становищі у зв’язку із обмеженнями, обумовленими карантином. Такі громадяни забезпечувалися продуктовими наборами, що надавалися благодійними фондами, церквами різних конфесій, підприємцями (мережа продуктових магазинів АТБ, Волинський обласний благодійний фонд «Дитяча місія. Україна», Фонд Ігоря Палиці «Тільки разом», Свято–Миколаївський храм м. Луцька). За період з березня по червень 2020 року працівниками територіального центру було вручено 4478 продуктових наборів. Соціальні робітники надавали послугу догляду вдома 816 одиноким мешканцям Луцька, з якими укладений відповідний договір. Щодня соціальні робітники відвідували від 260 до 300 підопічних, яким надають послуги з придбання та доставки продуктів харчування, медикаментів, приготування їжі, прибирання тощо.  </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lang w:bidi="ar-SA"/>
              </w:rPr>
              <w:t>З квітня 2020 року запроваджено нову державну програму допомоги батькам з дітьми: фізичні особи – підприємці, які виховують дітей до 10 років, які сплатили єдиний внесок на загальнообов’язкове державне соціальне страхування за 2019 рік та належать до І або ІІ групи платників єдиного податку, могли отримати допомогу на кожну дитину у розмірі прожиткового мінімуму, встановленого для дітей відповідного віку. Станом на 01.07.2020 таку допомогу призначено 836 особам та виплачено 3,2 млн грн.</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lang w:bidi="ar-SA"/>
              </w:rPr>
              <w:t>У квітні 2020 року проведено виплату одноразової грошової допомоги в розмірі                          1,0 тис. грн у зв’язку з негативними наслідками поширення гострої респіраторної хвороби             COVID-19 таким категоріям: одержувачам допомоги особам з інвалідністю з дитинства та дітям з інвалідністю, одержувачам соціальної допомоги особам, які не мають права на пенсію, та особам з інвалідністю, одержувачам тимчасової державної соціальної допомоги не працюючій особі, яка досягла загального пенсійного віку, але не набула права на пенсійну виплату. Виплачено кошти               2 643 особам на загальну суму 2,6 млн грн.</w:t>
            </w:r>
          </w:p>
        </w:tc>
      </w:tr>
    </w:tbl>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2.4. Ринок праці, зайнятість населення та охорона праці</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моніторингу стану виплати заробітної плати та рівня оплати праці найманих працівників на підприємствах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eastAsia="Times New Roman" w:cs="Times New Roman"/>
                <w:lang w:bidi="ar-SA"/>
              </w:rPr>
            </w:pPr>
            <w:r>
              <w:rPr>
                <w:rFonts w:eastAsia="Times New Roman" w:cs="Times New Roman" w:ascii="Times New Roman" w:hAnsi="Times New Roman"/>
                <w:bCs/>
                <w:sz w:val="27"/>
                <w:szCs w:val="27"/>
                <w:lang w:bidi="ar-SA"/>
              </w:rPr>
              <w:t xml:space="preserve">Для забезпечення належного рівня оплати праці найманих працівників, протягом року  здійснювався постійний моніторинг рівня середньої заробітної плати на підприємствах міста. Так, згідно даних ГУ ДПС у Волинській області, встановлено, що у 1868-ми підприємств міста у ІІІ кварталі 2020 року середня заробітна плата склалась менше гарантованої державою мінімальної заробітної плати. На 01 грудня 2020 року право на своєчасне отримання винагороди за працю було порушено стосовно працівників 7 ‒ ми економічно активних підприємств міста, сума невиплаченої заробітної плати складала 21 916,9 тис. грн. </w:t>
            </w:r>
          </w:p>
          <w:p>
            <w:pPr>
              <w:pStyle w:val="Normal"/>
              <w:suppressAutoHyphens w:val="true"/>
              <w:snapToGrid w:val="false"/>
              <w:ind w:firstLine="567"/>
              <w:jc w:val="both"/>
              <w:textAlignment w:val="baseline"/>
              <w:rPr>
                <w:rFonts w:eastAsia="Times New Roman" w:cs="Times New Roman"/>
                <w:lang w:bidi="ar-SA"/>
              </w:rPr>
            </w:pPr>
            <w:r>
              <w:rPr>
                <w:rFonts w:eastAsia="Times New Roman" w:cs="Times New Roman" w:ascii="Times New Roman" w:hAnsi="Times New Roman"/>
                <w:bCs/>
                <w:sz w:val="27"/>
                <w:szCs w:val="27"/>
                <w:lang w:bidi="ar-SA"/>
              </w:rPr>
              <w:t xml:space="preserve">За результатами проведеного моніторингу здійснювалась діяльність комісії з питань забезпечення своєчасності сплати податків, внесення інших обов’язкових платежів, ліквідації заборгованості з виплати заробітної плати, детінізації заробітної плати та робочої групи з питань моніторингу заробітної плати найманих працівників суб’єктів господарювання, які діють на території міста. За 2020 рік на засіданнях комісії та робочої групи було заслухано звіти керівників  34-х підприємств міста щодо рівня та своєчасності  оплати праці. Згідно з держбюджетом на 2021 рік, розмір мінімальної заробітної плати ‒ 6,0 тис. грн у місячному розмірі та 36,11 грн у погодинному розмірі. </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Здійснення заходів контролю за додержанням законодавства про працю й накладення штрафів за виявлені порушення у порядку, встановленому законодавством.</w:t>
            </w:r>
          </w:p>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eastAsia="Times New Roman" w:cs="Times New Roman"/>
                <w:lang w:bidi="ar-SA"/>
              </w:rPr>
            </w:pPr>
            <w:r>
              <w:rPr>
                <w:rFonts w:eastAsia="Times New Roman" w:cs="Times New Roman" w:ascii="Times New Roman" w:hAnsi="Times New Roman"/>
                <w:sz w:val="27"/>
                <w:szCs w:val="27"/>
                <w:lang w:bidi="ar-SA"/>
              </w:rPr>
              <w:t>В ході проведення заходів державного контролю з питань додержання законодавства про працю досліджувались питання належного оформлення трудових відносин із найманими працівниками, нарахування та виплати заробітної плати, дотримання мінімальних гарантій в оплаті праці.</w:t>
            </w:r>
          </w:p>
          <w:p>
            <w:pPr>
              <w:pStyle w:val="Normal"/>
              <w:suppressAutoHyphens w:val="true"/>
              <w:snapToGrid w:val="false"/>
              <w:ind w:firstLine="567"/>
              <w:jc w:val="both"/>
              <w:textAlignment w:val="baseline"/>
              <w:rPr>
                <w:rFonts w:eastAsia="Times New Roman" w:cs="Times New Roman"/>
                <w:lang w:bidi="ar-SA"/>
              </w:rPr>
            </w:pPr>
            <w:r>
              <w:rPr>
                <w:rFonts w:eastAsia="Times New Roman" w:cs="Times New Roman" w:ascii="Times New Roman" w:hAnsi="Times New Roman"/>
                <w:sz w:val="27"/>
                <w:szCs w:val="27"/>
                <w:lang w:bidi="ar-SA"/>
              </w:rPr>
              <w:t xml:space="preserve">Через запровадження Кабінетом Міністрів України карантину з метою запобігання виникненню та поширенню коронавірусної хвороби (COVID-19), заходи державного контролю з питань додержання законодавства про працю не проводились. Після введення адаптивного карантину, інспектори праці Луцької міської ради взяли участь у п’яти інспекційних відвідуваннях спільно з фахівцями Управління Держпраці у Волинській області щодо додержання законодавства про працю при нарахуванні та виплаті заробітної плати медичним працівникам, які безпосередньо зайняті на роботах з ліквідації коронавірусу та у 3-х інспекційних відвідуваннях з інших питань. </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Інформування роботодавців та працівників щодо порядку оформлення трудових відносин та негативних наслідків тіньової зайнятості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Протягом звітного року проводились рейди</w:t>
            </w:r>
            <w:r>
              <w:rPr>
                <w:rFonts w:eastAsia="Times New Roman" w:cs="Times New Roman" w:ascii="Times New Roman" w:hAnsi="Times New Roman"/>
                <w:bCs/>
                <w:sz w:val="27"/>
                <w:szCs w:val="27"/>
              </w:rPr>
              <w:t>-</w:t>
            </w:r>
            <w:r>
              <w:rPr>
                <w:rFonts w:cs="Times New Roman" w:ascii="Times New Roman" w:hAnsi="Times New Roman"/>
                <w:sz w:val="27"/>
                <w:szCs w:val="27"/>
              </w:rPr>
              <w:t xml:space="preserve">обстеження робочою групою з питань легалізації тіньової зайнятості та заробітної плати найманих працівників. Всього було охоплено 596 об’єктів (16 рейдів), зокрема, на території торговельних центрів «Ювант», «Порт Сіті», «Караван», супермаркету «Там Там», Центрального універмагу «Луцьк», Центрального ринку, СРЦ «Адреналін Сіті» та суб’єктів громадського харчування і торгівлі окремих мікрорайонів міста. На кожному із обстежених об’єктів було вручено пам’ятку щодо порядку оформлення трудових відносин та ступеня відповідальності за порушення законодавства у цій сфері.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Інспекторами праці відділу інспектування управління з питань праці, відповідно до п. 28 Порядку здійснення державного контролю за додержанням законодавства про працю, затвердженого постановою Кабінету Міністрів України від 21.08.2019 № 823, проводилось інформування роботодавців та працівників щодо негативних наслідків не задекларованої праці. Зокрема, були проведені інформаційні відвідування на об’єктах торгівлі, громадського харчування та сфери обслуговування, розташованих на території окремих мікрорайонів міста. За 2020 рік здійснено 44 таких відвідування. </w:t>
            </w:r>
          </w:p>
          <w:p>
            <w:pPr>
              <w:pStyle w:val="Normal"/>
              <w:suppressAutoHyphens w:val="true"/>
              <w:snapToGrid w:val="false"/>
              <w:ind w:firstLine="567"/>
              <w:jc w:val="both"/>
              <w:textAlignment w:val="baseline"/>
              <w:rPr>
                <w:rFonts w:eastAsia="Times New Roman" w:cs="Times New Roman"/>
                <w:lang w:bidi="ar-SA"/>
              </w:rPr>
            </w:pPr>
            <w:r>
              <w:rPr>
                <w:rFonts w:eastAsia="Times New Roman" w:cs="Times New Roman" w:ascii="Times New Roman" w:hAnsi="Times New Roman"/>
                <w:sz w:val="27"/>
                <w:szCs w:val="27"/>
                <w:lang w:bidi="ar-SA"/>
              </w:rPr>
              <w:t xml:space="preserve">За результатами проведених заходів окремі роботодавці міста надіслали повідомлення до органу ДПС про укладення трудових договорів із 324-ма найманими працівниками. </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Реалізація на території Луцької міської територіальної громади державної політики в галузі охорони праці (підвищення рівня промислової безпеки шляхом здійснення системного контролю за додержанням суб’єктами господарювання вимог законодавства з охорони праці, запобігання нещасним випадкам та професійним захворюванням)</w:t>
            </w:r>
          </w:p>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r>
          </w:p>
          <w:p>
            <w:pPr>
              <w:pStyle w:val="Normal"/>
              <w:suppressAutoHyphens w:val="true"/>
              <w:jc w:val="both"/>
              <w:textAlignment w:val="baseline"/>
              <w:rPr>
                <w:rFonts w:cs="Arial"/>
              </w:rPr>
            </w:pPr>
            <w:r>
              <w:rPr>
                <w:rFonts w:cs="Arial"/>
              </w:rPr>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2020 році було проведено 12 обстежень додержання суб’єктами господарювання вимог законодавства з охорони праці, під час яких виявлено 132 порушення. За результатами обстежень пропонувалося заборонити експлуатацію 10 одиниць верстатів, обладнання, інструменту та іншого устаткування. У 5 випадках  заборонити виконання робіт.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Здійснення заходів на території Луцької міської територіальної громади у відповідності до законодавства з невиробничого травматизму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2020 році було взято на облік та проаналізовано 14888 нещасних випадки невиробничого характеру (в тому числі 34 – з смертельними наслідками), що сталися в місті Луцьку. У 26 випадках приймалося рішення про проведення розслідування нещасних випадків.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Підвищення рівня відповідальності посадових осіб підприємств за дотримання вимог законодавства з питань охорони праці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Під час проведення перевірок спеціалістами відділу охорони праці управління з питань праці проводилися бесіди з керівниками підприємств щодо виявлення фактів порушень.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Сприяння в оперативному підборі необхідних кадрів шляхом проведення професійного добору пошукачів роботи відповідно вимог роботодавця, представлення вакансій для потенційних працівників в ході проведення міні-ярмарків вакансій, презентацій роботодавця, економічних екскурсій тощо</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459"/>
              <w:jc w:val="both"/>
              <w:textAlignment w:val="baseline"/>
              <w:rPr>
                <w:rFonts w:cs="Arial"/>
              </w:rPr>
            </w:pPr>
            <w:r>
              <w:rPr>
                <w:rFonts w:cs="Times New Roman" w:ascii="Times New Roman" w:hAnsi="Times New Roman"/>
                <w:sz w:val="27"/>
                <w:szCs w:val="27"/>
              </w:rPr>
              <w:t xml:space="preserve">До Луцького міського центру зайнятості впродовж 2020 року 1384 роботодавця надали інформацію про 8212 вільних робочих місць та вакантних посад. </w:t>
            </w:r>
          </w:p>
          <w:p>
            <w:pPr>
              <w:pStyle w:val="Normal"/>
              <w:suppressAutoHyphens w:val="true"/>
              <w:ind w:firstLine="459"/>
              <w:jc w:val="both"/>
              <w:textAlignment w:val="baseline"/>
              <w:rPr>
                <w:rFonts w:cs="Arial"/>
              </w:rPr>
            </w:pPr>
            <w:r>
              <w:rPr>
                <w:rFonts w:cs="Times New Roman" w:ascii="Times New Roman" w:hAnsi="Times New Roman"/>
                <w:sz w:val="27"/>
                <w:szCs w:val="27"/>
              </w:rPr>
              <w:t xml:space="preserve">На кінець року актуальними були 760 вакансій: для робітників – 542 (71%), для службовців - 171 (23%), для осіб, які не потребують спеціальної підготовки - 47 (6%). </w:t>
            </w:r>
          </w:p>
          <w:p>
            <w:pPr>
              <w:pStyle w:val="Normal"/>
              <w:suppressAutoHyphens w:val="true"/>
              <w:ind w:firstLine="459"/>
              <w:jc w:val="both"/>
              <w:textAlignment w:val="baseline"/>
              <w:rPr>
                <w:rFonts w:cs="Arial"/>
              </w:rPr>
            </w:pPr>
            <w:r>
              <w:rPr>
                <w:rFonts w:cs="Times New Roman" w:ascii="Times New Roman" w:hAnsi="Times New Roman"/>
                <w:sz w:val="27"/>
                <w:szCs w:val="27"/>
              </w:rPr>
              <w:t xml:space="preserve">На обліку перебувало 3376 безробітних. За рівнем заробітної плати пропозиції роботи поділялися на: мінімальна – 10%, від мінімальної до середньої заробітної плати – 77%, від середньої заробітної плати і вище – 13%. </w:t>
            </w:r>
          </w:p>
          <w:p>
            <w:pPr>
              <w:pStyle w:val="Normal"/>
              <w:suppressAutoHyphens w:val="true"/>
              <w:ind w:firstLine="459"/>
              <w:jc w:val="both"/>
              <w:textAlignment w:val="baseline"/>
              <w:rPr>
                <w:rFonts w:cs="Arial"/>
              </w:rPr>
            </w:pPr>
            <w:r>
              <w:rPr>
                <w:rFonts w:cs="Times New Roman" w:ascii="Times New Roman" w:hAnsi="Times New Roman"/>
                <w:sz w:val="27"/>
                <w:szCs w:val="27"/>
              </w:rPr>
              <w:t xml:space="preserve">У звітному році знайшли роботу 3387 осіб, з них за направленням служби зайнятості працевлаштувалося 2964 громадянина, у тому числі, 1147 - з числа безробітних. </w:t>
            </w:r>
          </w:p>
          <w:p>
            <w:pPr>
              <w:pStyle w:val="Normal"/>
              <w:suppressAutoHyphens w:val="true"/>
              <w:ind w:firstLine="459"/>
              <w:jc w:val="both"/>
              <w:textAlignment w:val="baseline"/>
              <w:rPr>
                <w:rFonts w:cs="Arial"/>
              </w:rPr>
            </w:pPr>
            <w:r>
              <w:rPr>
                <w:rFonts w:cs="Times New Roman" w:ascii="Times New Roman" w:hAnsi="Times New Roman"/>
                <w:sz w:val="27"/>
                <w:szCs w:val="27"/>
              </w:rPr>
              <w:t>Протягом 2020 року Урядом України реалізовано два проєкти щодо надання фінансової підтримки бізнесу на період карантинних обмежень. З квітня 2020 року діяла Програма надання допомоги щодо часткового безробіття для суб’єктів малого або середнього бізнесу та ФОПів, які є застрахованими особами. З початку дії програми 3117 роботодавців міста звернулися за отриманням допомоги з часткового безробіття на період карантину, 2608 отримали позитивні рішення для покриття витрат на заробітну плату для найманих працівників. Із них 2094 – фізичні особи-підприємці без найманих працівників, 537 – роботодавці на 3 899 найманих працівників Профінансовано 50,0 млн. грн для виплати допомоги з часткового безробіття працівників.</w:t>
            </w:r>
          </w:p>
          <w:p>
            <w:pPr>
              <w:pStyle w:val="Normal"/>
              <w:suppressAutoHyphens w:val="true"/>
              <w:ind w:firstLine="459"/>
              <w:jc w:val="both"/>
              <w:textAlignment w:val="baseline"/>
              <w:rPr>
                <w:rFonts w:cs="Arial"/>
              </w:rPr>
            </w:pPr>
            <w:r>
              <w:rPr>
                <w:rFonts w:cs="Times New Roman" w:ascii="Times New Roman" w:hAnsi="Times New Roman"/>
                <w:sz w:val="27"/>
                <w:szCs w:val="27"/>
              </w:rPr>
              <w:t>З 12 грудня 2020 року й до кінця року діяла ще одна програма про надання одноразової матеріальної допомоги суб’єктам господарювання для здійснення виплати найманим працівникам на період обмежувальних протиепідемічних заходів. Таку допомогу отримали 55 суб’єктів господарювання – юридичних осіб для виплати 762 найманим працівникам. Загальна сума отриманих коштів становила 3,3 млн грн.</w:t>
            </w:r>
            <w:r>
              <w:rPr>
                <w:rFonts w:eastAsia="Times New Roman" w:cs="Times New Roman" w:ascii="Times New Roman" w:hAnsi="Times New Roman"/>
                <w:sz w:val="27"/>
                <w:szCs w:val="27"/>
              </w:rPr>
              <w:t xml:space="preserve"> </w:t>
            </w:r>
          </w:p>
          <w:p>
            <w:pPr>
              <w:pStyle w:val="Normal"/>
              <w:suppressAutoHyphens w:val="true"/>
              <w:ind w:firstLine="459"/>
              <w:jc w:val="both"/>
              <w:textAlignment w:val="baseline"/>
              <w:rPr>
                <w:rFonts w:cs="Arial"/>
              </w:rPr>
            </w:pPr>
            <w:r>
              <w:rPr>
                <w:rFonts w:cs="Times New Roman" w:ascii="Times New Roman" w:hAnsi="Times New Roman"/>
                <w:sz w:val="27"/>
                <w:szCs w:val="27"/>
              </w:rPr>
              <w:t xml:space="preserve">Для реклами соціально-відповідальних роботодавців службою зайнятості проведено 7 презентацій роботодавця, 2 економічних екскурсій на підприємства міста для тих, хто в пошуках роботи, в тому числі і для студентської молоді, 8 міні – ярмарок та 4 ярмарків вакансій. </w:t>
            </w:r>
          </w:p>
          <w:p>
            <w:pPr>
              <w:pStyle w:val="Normal"/>
              <w:suppressAutoHyphens w:val="true"/>
              <w:ind w:firstLine="601"/>
              <w:jc w:val="both"/>
              <w:textAlignment w:val="baseline"/>
              <w:rPr>
                <w:rFonts w:cs="Arial"/>
              </w:rPr>
            </w:pPr>
            <w:r>
              <w:rPr>
                <w:rFonts w:cs="Times New Roman" w:ascii="Times New Roman" w:hAnsi="Times New Roman"/>
                <w:sz w:val="27"/>
                <w:szCs w:val="27"/>
              </w:rPr>
              <w:t xml:space="preserve">З метою упередження від порушень в сфері легалізації зайнятості, в Луцькому міському центрі зайнятості в січні проведено бліц-навчання для роботодавців, за участю управління Держпраці у Волинській області. Цільова аудиторія 50 учасників заходу - сфера торгівлі, послуг та громадського харчування. </w:t>
            </w:r>
          </w:p>
          <w:p>
            <w:pPr>
              <w:pStyle w:val="Normal"/>
              <w:suppressAutoHyphens w:val="true"/>
              <w:ind w:firstLine="601"/>
              <w:jc w:val="both"/>
              <w:textAlignment w:val="baseline"/>
              <w:rPr>
                <w:rFonts w:cs="Arial"/>
              </w:rPr>
            </w:pPr>
            <w:r>
              <w:rPr>
                <w:rFonts w:eastAsia="Times New Roman" w:cs="Times New Roman" w:ascii="Times New Roman" w:hAnsi="Times New Roman"/>
                <w:sz w:val="27"/>
                <w:szCs w:val="27"/>
              </w:rPr>
              <w:t xml:space="preserve">Понад два роки Луцький міський центр зайнятості в своїй роботі використовував такий метод пошуку та підбору персоналу як рекрутинг. Фахівці служби зайнятості шукають кваліфікованих спеціалістів не лише серед безробітних, а й з числа незайнятого населення та осіб, які не перебувають на обліку в міському центрі зайнятості. Послугами рекрутингу впродовж 2020 року скористалося 859 роботодавців, вдалося укомплектувати 519 вакансії.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Стимулювання роботодавців до створення нових робочих місць шляхом компенсації фактичних витрат у розмірі єдиного внеску на загальнообов’язкове державне соціальне страхування;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459"/>
              <w:jc w:val="both"/>
              <w:textAlignment w:val="baseline"/>
              <w:rPr>
                <w:rFonts w:cs="Arial"/>
              </w:rPr>
            </w:pPr>
            <w:r>
              <w:rPr>
                <w:rFonts w:cs="Times New Roman" w:ascii="Times New Roman" w:hAnsi="Times New Roman"/>
                <w:sz w:val="27"/>
                <w:szCs w:val="27"/>
              </w:rPr>
              <w:t>Одним з методів стимулювання діяльності роботодавців, спрямованої на створення нових робочих місць та працевлаштування безробітних, є компенсація фактичних витрат роботодавця на сплату єдиного внеску на загальнообов’язкове державне соціальне страхування за працевлаштування осіб, яким надано статус безробітного, на новостворені робочі місця. Впродовж 2020 року цією послугою скористалися 34 роботодавця міста, які у такий спосіб забезпечили роботою 52 особи, в т.ч. недостатньо конкурентоспроможних на ринку праці - 25. Компенсації отримали й суб’єкти малого підприємництва, які створили нові робочі місця для безробітних у пріоритетних видах економічної діяльності. В місті Луцьку такі робочі місця створювались у виробництві, будівництві доріг та автострад, транспорті, ІТ-сфері та інших галузях.</w:t>
            </w:r>
          </w:p>
          <w:p>
            <w:pPr>
              <w:pStyle w:val="Normal"/>
              <w:suppressAutoHyphens w:val="true"/>
              <w:ind w:firstLine="459"/>
              <w:jc w:val="both"/>
              <w:textAlignment w:val="baseline"/>
              <w:rPr>
                <w:rFonts w:cs="Arial"/>
              </w:rPr>
            </w:pPr>
            <w:r>
              <w:rPr>
                <w:rFonts w:cs="Times New Roman" w:ascii="Times New Roman" w:hAnsi="Times New Roman"/>
                <w:sz w:val="27"/>
                <w:szCs w:val="27"/>
              </w:rPr>
              <w:t>З числа внутрішньо переміщених осіб одну безробітну працевлаштовано на умовах строкового трудового договору. Роботодавець отримував компенсацію витрат на оплату її праці.</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Організація професійної підготовки, перепідготовки, підвищення кваліфікації, у тому числі проходження стажування безпосередньо на робочому місці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708"/>
              <w:jc w:val="both"/>
              <w:textAlignment w:val="baseline"/>
              <w:rPr>
                <w:rFonts w:cs="Arial"/>
              </w:rPr>
            </w:pPr>
            <w:r>
              <w:rPr>
                <w:rFonts w:cs="Times New Roman" w:ascii="Times New Roman" w:hAnsi="Times New Roman"/>
                <w:sz w:val="27"/>
                <w:szCs w:val="27"/>
              </w:rPr>
              <w:t xml:space="preserve">В 2020 році професійним навчанням (за понад дев’яносто професіями) охоплено 208 безробітних осіб. У Центрах професійно-технічної освіти Державної служби зайнятості навчалось 31 особа. На замовлення роботодавців безробітні громадяни навчалися за такими робітничими професіями: «кравець», «перукар», «кухар», «слюсар з ремонту колісних транспортних засобів», «водій тролейбуса». Після закінчення навчання слухачів працевлаштовано на підприємства громадського харчування, сфери обслуговування, КП «Луцьке підприємство електротранспорту». В період карантину для навчання безробітних використовувалася дистанційна форма навчання. На стажування на підприємства, організації та установи міста Луцька направлено 132 безробітні особи.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Задоволення потреб роботодавців у тимчасових працівниках для виконання громадських та інших робіт тимчасового характеру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601"/>
              <w:jc w:val="both"/>
              <w:textAlignment w:val="baseline"/>
              <w:rPr>
                <w:rFonts w:cs="Arial"/>
              </w:rPr>
            </w:pPr>
            <w:r>
              <w:rPr>
                <w:rFonts w:cs="Times New Roman" w:ascii="Times New Roman" w:hAnsi="Times New Roman"/>
                <w:sz w:val="27"/>
                <w:szCs w:val="27"/>
              </w:rPr>
              <w:t xml:space="preserve">Задля додаткового стимулювання мотивації до праці, матеріальної підтримки безробітних, службою зайнятості організовувалися громадські та інші роботи тимчасового характеру, до яких впродовж 2020 року залучено 700 безробітних громадян. Роботи тимчасового характеру організовувались на підприємствах громадського харчування, переробної промисловості, оптової торгівлі, сфери транспорту, охорони здоров'я та будівництва. </w:t>
            </w:r>
          </w:p>
          <w:p>
            <w:pPr>
              <w:pStyle w:val="Normal"/>
              <w:suppressAutoHyphens w:val="true"/>
              <w:ind w:left="34" w:firstLine="567"/>
              <w:jc w:val="both"/>
              <w:textAlignment w:val="baseline"/>
              <w:rPr>
                <w:rFonts w:cs="Arial"/>
              </w:rPr>
            </w:pPr>
            <w:r>
              <w:rPr>
                <w:rFonts w:cs="Times New Roman" w:ascii="Times New Roman" w:hAnsi="Times New Roman"/>
                <w:sz w:val="27"/>
                <w:szCs w:val="27"/>
              </w:rPr>
              <w:t>Фінансування громадських робіт здійснювалося за рахунок коштів місцевого бюджету та коштів Фонду загальнообов’язкового державного соціального страхування на випадок безробіття рівними частинами пропорційно сумі витрат на їх організацію.</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10.</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Сприяння розвитку підприємницьких ініціатив серед пошукачів роботи: організаційна, консультативна, фінансова підтримка; забезпечення діяльності Центру розвитку підприємництва Луцького міського центру зайнятості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10"/>
              <w:jc w:val="both"/>
              <w:textAlignment w:val="baseline"/>
              <w:rPr>
                <w:rFonts w:cs="Arial"/>
              </w:rPr>
            </w:pPr>
            <w:r>
              <w:rPr>
                <w:rFonts w:cs="Times New Roman" w:ascii="Times New Roman" w:hAnsi="Times New Roman"/>
                <w:sz w:val="27"/>
                <w:szCs w:val="27"/>
              </w:rPr>
              <w:t xml:space="preserve">Громадяни, які виявили бажання розпочати власну справу, проходять професійне психодіагностичне обстеження щодо наявності здібностей до ведення підприємницької діяльності. У 2020 році 7 безробітних осіб для набуття теоретичних знань з основ обліку та оподаткування діяльності малого підприємництва, маркетингу, менеджменту та практичних вмінь щодо бізнес-планування пройшли навчання на курсах цільового призначення за напрямком провадження підприємницької діяльності «Підприємець-початківець». Впродовж 2020 року проведено 101 захід з питань підприємництва для 2037 осіб. За участі соціальних партнерів організовано проведення тренінгів та вебінарів: «Рішення для бізнесу: ефективна побудова крос продаж» в рамках реалізації ініціативи «Ефективні бізнес-об'єднання - спроможний бізнес - сильна Україна», «Як потрапити в ІТ: досвід та поради», «Стартап в житловому секторі», інформаційний вебінар «Планування власної справи», вебінар «Чи готовий я до відкриття власного бізнесу» та ін. Започаткували власну справу за сприянням служби зайнятості 8 безробітних осіб, з них: 5 осіб – у сфері надання послуг, 3 особи – у сфері виробництва.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професійної орієнтації громадян, у тому числі серед молоді; забезпечення функціонування Центрів кар’єри при навчальних закладах міста.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74"/>
              <w:jc w:val="both"/>
              <w:textAlignment w:val="baseline"/>
              <w:rPr>
                <w:rFonts w:cs="Arial"/>
              </w:rPr>
            </w:pPr>
            <w:r>
              <w:rPr>
                <w:rFonts w:cs="Times New Roman" w:ascii="Times New Roman" w:hAnsi="Times New Roman"/>
                <w:sz w:val="27"/>
                <w:szCs w:val="27"/>
              </w:rPr>
              <w:t>У 2020 році надано 30 763 профорієнтаційних послуг для 16 546 осіб для різних категорій населення. Для 7902 осіб, які перебували у статусі безробітного, надано 21 958 послуг. Для 8 644 осіб інших категорій (учні, студенти, батьки, працівники освіти, вивільнювані працівники) надано 8 805 послуг. Проведено 40 заходів з професійної орієнтації учнівської молоді. У дистанційному форматі проведено 12 вебінарів для 180 учнів, 2 вебінари для 75 батьків учнів шкіл міста Луцька. В рамках проєкту «Виростеш-зрозумієш» за участі ВМГО «Фундація Регіональних Ініціатив» проведено 5 заходів для випускників шкіл міста Луцька.</w:t>
            </w:r>
          </w:p>
          <w:p>
            <w:pPr>
              <w:pStyle w:val="Normal"/>
              <w:suppressAutoHyphens w:val="true"/>
              <w:ind w:firstLine="574"/>
              <w:jc w:val="both"/>
              <w:textAlignment w:val="baseline"/>
              <w:rPr>
                <w:rFonts w:cs="Arial"/>
              </w:rPr>
            </w:pPr>
            <w:r>
              <w:rPr>
                <w:rFonts w:cs="Times New Roman" w:ascii="Times New Roman" w:hAnsi="Times New Roman"/>
                <w:sz w:val="27"/>
                <w:szCs w:val="27"/>
              </w:rPr>
              <w:t xml:space="preserve">Про працевлаштування батьків, які виховують дитину з інвалідністю, про готовність роботодавців брати на роботу жінок та чоловіків, які виховують дітей з особливими потребами, про послуги служби зайнятості та можливості відкриття власної справи за сприянням Луцького міського центру зайнятості - все це обговорювали на вебінарі «Права дітей з інвалідністю». </w:t>
            </w:r>
          </w:p>
          <w:p>
            <w:pPr>
              <w:pStyle w:val="Normal"/>
              <w:suppressAutoHyphens w:val="true"/>
              <w:ind w:firstLine="574"/>
              <w:jc w:val="both"/>
              <w:textAlignment w:val="baseline"/>
              <w:rPr>
                <w:rFonts w:cs="Arial"/>
              </w:rPr>
            </w:pPr>
            <w:r>
              <w:rPr>
                <w:rFonts w:cs="Times New Roman" w:ascii="Times New Roman" w:hAnsi="Times New Roman"/>
                <w:sz w:val="27"/>
                <w:szCs w:val="27"/>
              </w:rPr>
              <w:t>При вищих та професійно-технічних навчальних закладах міста Луцька функціонувало 12 центрів кар’єри. У рамках такої співпраці для 384 студентів ПТНЗ проведено 17 заходів, участь у 32 заходах взяло участь 1058 студентів ВНЗ.</w:t>
            </w:r>
          </w:p>
          <w:p>
            <w:pPr>
              <w:pStyle w:val="Normal"/>
              <w:suppressAutoHyphens w:val="true"/>
              <w:ind w:firstLine="574"/>
              <w:jc w:val="both"/>
              <w:textAlignment w:val="baseline"/>
              <w:rPr>
                <w:rFonts w:cs="Arial"/>
              </w:rPr>
            </w:pPr>
            <w:r>
              <w:rPr>
                <w:rFonts w:cs="Times New Roman" w:ascii="Times New Roman" w:hAnsi="Times New Roman"/>
                <w:sz w:val="27"/>
                <w:szCs w:val="27"/>
              </w:rPr>
              <w:t>Про електронні сервіси служби зайнятості, про правила написання резюме, про підготовку до співбесіди, про можливості започаткування власної справи 03 грудня 2020 року працівники Луцького міського центру зайнятості спілкувались з студентами-випускниками Луцького педагогічного коледжу.</w:t>
            </w:r>
          </w:p>
          <w:p>
            <w:pPr>
              <w:pStyle w:val="Normal"/>
              <w:suppressAutoHyphens w:val="true"/>
              <w:ind w:firstLine="574"/>
              <w:jc w:val="both"/>
              <w:textAlignment w:val="baseline"/>
              <w:rPr>
                <w:rFonts w:cs="Arial"/>
              </w:rPr>
            </w:pPr>
            <w:r>
              <w:rPr>
                <w:rFonts w:cs="Times New Roman" w:ascii="Times New Roman" w:hAnsi="Times New Roman"/>
                <w:sz w:val="27"/>
                <w:szCs w:val="27"/>
              </w:rPr>
              <w:t>18 жовтня – Європейський день протидії торгівлі людьми. З цієї нагоди фахівці служби зайнятості та безробітні Луцького міського центру зайнятості брали участь у пішохідному КВЕСТІ. Завданням квесту було інформування мешканців та гостей міста про проблему торгівлі людьми, попередження потрапляння у лабети торгівців людьми, ознайомлення з тим, як вчасно і вміло реагувати на підозрілі пропозиції роботодавців, приймати правильні і виважені рішення під час працевлаштування.</w:t>
            </w:r>
          </w:p>
          <w:p>
            <w:pPr>
              <w:pStyle w:val="Normal"/>
              <w:suppressAutoHyphens w:val="true"/>
              <w:ind w:firstLine="574"/>
              <w:jc w:val="both"/>
              <w:textAlignment w:val="baseline"/>
              <w:rPr>
                <w:rFonts w:cs="Arial"/>
              </w:rPr>
            </w:pPr>
            <w:r>
              <w:rPr>
                <w:rFonts w:cs="Times New Roman" w:ascii="Times New Roman" w:hAnsi="Times New Roman"/>
                <w:sz w:val="27"/>
                <w:szCs w:val="27"/>
              </w:rPr>
              <w:t>Впродовж минулого року проведено 6 виїзних профорієнтаційних акцій для 1245 осіб.</w:t>
            </w:r>
          </w:p>
          <w:p>
            <w:pPr>
              <w:pStyle w:val="Normal"/>
              <w:suppressAutoHyphens w:val="true"/>
              <w:ind w:firstLine="574"/>
              <w:jc w:val="both"/>
              <w:textAlignment w:val="baseline"/>
              <w:rPr>
                <w:rFonts w:cs="Arial"/>
              </w:rPr>
            </w:pPr>
            <w:r>
              <w:rPr>
                <w:rFonts w:cs="Times New Roman" w:ascii="Times New Roman" w:hAnsi="Times New Roman"/>
                <w:sz w:val="27"/>
                <w:szCs w:val="27"/>
              </w:rPr>
              <w:t>В рамках функціонування Центру ділового студента Луцького національного технічного університету та Центру розвитку підприємництва Луцького міського центру зайнятості з нагоди вручення дипломів бакалавра в липні місяці 2020 року проведено виїзний профорієнтаційний захід центру зайнятості.</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2.5. Підтримка сім’ї, молоді, захист прав дітей</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132"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pacing w:val="-4"/>
                <w:sz w:val="27"/>
                <w:szCs w:val="27"/>
              </w:rPr>
              <w:t>Проведення заходів та підтримка ініціатив громадських організацій щодо реалізації молодіжної політики, розвитку інституту сім’ї, пропагування сімейних цінностей</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567"/>
              <w:jc w:val="both"/>
              <w:textAlignment w:val="baseline"/>
              <w:rPr>
                <w:rFonts w:cs="Arial"/>
              </w:rPr>
            </w:pPr>
            <w:r>
              <w:rPr>
                <w:rFonts w:cs="Times New Roman" w:ascii="Times New Roman" w:hAnsi="Times New Roman"/>
                <w:sz w:val="27"/>
                <w:szCs w:val="27"/>
              </w:rPr>
              <w:t>У 2020 році було підтримано 91 акцію та захід на загальну суму 288 102 тис. грн: першість Західної України зі східних танців, проєкт «Школа бізнесу Луцького НТУ2020», всеукраїнський англомовний дебатний турнір «Lubart Cup» та «Новорічний кубок 2020» з дебатів, освітній проєкт «Місія онлайн», проєкт «Психосоціальна підтримка медиків під час епідемій та пандемій», фестиваль-конкурс «Екзерсис</w:t>
            </w:r>
            <w:r>
              <w:rPr>
                <w:rFonts w:eastAsia="Times New Roman" w:cs="Times New Roman" w:ascii="Times New Roman" w:hAnsi="Times New Roman"/>
                <w:bCs/>
                <w:sz w:val="27"/>
                <w:szCs w:val="27"/>
              </w:rPr>
              <w:t> ‒ </w:t>
            </w:r>
            <w:r>
              <w:rPr>
                <w:rFonts w:cs="Times New Roman" w:ascii="Times New Roman" w:hAnsi="Times New Roman"/>
                <w:sz w:val="27"/>
                <w:szCs w:val="27"/>
              </w:rPr>
              <w:t>2020», майстер-класи в рамках проєкту «Осінній вернісаж» та інші.</w:t>
            </w:r>
          </w:p>
          <w:p>
            <w:pPr>
              <w:pStyle w:val="Normal"/>
              <w:widowControl w:val="false"/>
              <w:suppressAutoHyphens w:val="true"/>
              <w:snapToGrid w:val="false"/>
              <w:ind w:firstLine="567"/>
              <w:jc w:val="both"/>
              <w:textAlignment w:val="baseline"/>
              <w:rPr>
                <w:rFonts w:cs="Arial"/>
              </w:rPr>
            </w:pPr>
            <w:r>
              <w:rPr>
                <w:rFonts w:cs="Times New Roman" w:ascii="Times New Roman" w:hAnsi="Times New Roman"/>
                <w:sz w:val="27"/>
                <w:szCs w:val="27"/>
              </w:rPr>
              <w:t xml:space="preserve">Також організовано та проведено наступні заходи сімейного спрямування: «Програму 15» для </w:t>
            </w:r>
            <w:r>
              <w:rPr>
                <w:rFonts w:cs="Arial"/>
              </w:rPr>
              <w:t>підлітків</w:t>
            </w:r>
            <w:r>
              <w:rPr>
                <w:rFonts w:cs="Times New Roman" w:ascii="Times New Roman" w:hAnsi="Times New Roman"/>
                <w:sz w:val="27"/>
                <w:szCs w:val="27"/>
              </w:rPr>
              <w:t xml:space="preserve"> та їх батьків; фінал благодійної акції «Чужих дітей не буває», тренінг з подолання розриву поколінь, низку святкових майстер-класів для дітей та їх батьків, видано монографію «Психологія молодої сім’ї», міський конкурс дитячих малюнків та відео «Мої права та обов’язки» до Міжнародного Дня захисту дітей, тижневий марафон до Дня матері «Мама в темі» та Дня батька «Тато в темі»,  святкові заходи з нагоди Міжнародного Дня молоді, Дня Незалежності, Дня міста, конкурс до Міжнародного дня студентів та інші. </w:t>
            </w:r>
          </w:p>
          <w:p>
            <w:pPr>
              <w:pStyle w:val="Normal"/>
              <w:widowControl w:val="false"/>
              <w:suppressAutoHyphens w:val="true"/>
              <w:snapToGrid w:val="false"/>
              <w:ind w:firstLine="567"/>
              <w:jc w:val="both"/>
              <w:textAlignment w:val="baseline"/>
              <w:rPr>
                <w:rFonts w:cs="Arial"/>
              </w:rPr>
            </w:pPr>
            <w:r>
              <w:rPr>
                <w:rFonts w:cs="Times New Roman" w:ascii="Times New Roman" w:hAnsi="Times New Roman"/>
                <w:sz w:val="27"/>
                <w:szCs w:val="27"/>
              </w:rPr>
              <w:t xml:space="preserve">Підтримано ініціативи громадських організацій, що спрямовані на творчий розвиток, організацію змістовного дозвілля для дітей з інвалідністю, зокрема: понад 10 майстер-класів для дітей та молоді з громадської організації «Батьків дітей із синдромом Дауна та іншими порушеннями розвитку», інклюзивний захід до Всесвітнього дня людей з інвалідністю та акцію до Дня святого Миколая для дітей, хворих на цукровий діабет. </w:t>
            </w:r>
          </w:p>
          <w:p>
            <w:pPr>
              <w:pStyle w:val="Normal"/>
              <w:widowControl w:val="false"/>
              <w:suppressAutoHyphens w:val="true"/>
              <w:snapToGrid w:val="false"/>
              <w:ind w:firstLine="567"/>
              <w:jc w:val="both"/>
              <w:textAlignment w:val="baseline"/>
              <w:rPr>
                <w:rFonts w:cs="Arial"/>
              </w:rPr>
            </w:pPr>
            <w:r>
              <w:rPr>
                <w:rFonts w:cs="Times New Roman" w:ascii="Times New Roman" w:hAnsi="Times New Roman"/>
                <w:sz w:val="27"/>
                <w:szCs w:val="27"/>
              </w:rPr>
              <w:t xml:space="preserve">Упродовж року «Центром національно-патріотичного виховання дітей та молоді у місті Луцьк» було підтримано 8 заходів та акцій на суму 46,05 тис. грн (екстремальний туристичний змаг «Доброволець-2020», відкритий вишкіл волонтерів НСОУ «Пласт», сімейне свято «Різдвяна свічечка» та ін). </w:t>
            </w:r>
          </w:p>
        </w:tc>
      </w:tr>
      <w:tr>
        <w:trPr>
          <w:trHeight w:val="146"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Організація та проведення заходів, спрямованих на формування національної свідомості та патріотизму, підтримка пластового (скаутського) та волонтерського рухів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Протягом року надано сприяння у передачі Віфлеємського Вогню установам територіальної громади, підтримано волонтерський соціальний проєкт «English Plus» (18 занять) і фестиваль «Бандерштат», організовано та проведено онлайн</w:t>
            </w:r>
            <w:r>
              <w:rPr>
                <w:rFonts w:eastAsia="Times New Roman" w:cs="Times New Roman" w:ascii="Times New Roman" w:hAnsi="Times New Roman"/>
                <w:bCs/>
                <w:sz w:val="27"/>
                <w:szCs w:val="27"/>
              </w:rPr>
              <w:t xml:space="preserve"> </w:t>
            </w:r>
            <w:r>
              <w:rPr>
                <w:rFonts w:cs="Times New Roman" w:ascii="Times New Roman" w:hAnsi="Times New Roman"/>
                <w:sz w:val="27"/>
                <w:szCs w:val="27"/>
              </w:rPr>
              <w:t>акцію «Інсайдери молодіжної політики», спрямовану на розвиток громадянської активності молоді, загальноміську екологічну толоку «Чистоліто</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2020» та мінітолоку «Луцьк: осіння мінітолока», спрямовані на поліпшення стану довкілля, благоустрою і активізації природоохоронної роботи та екологічної свідомості мешканців міста. У грудні проведено масштабний благодійний ярмарок «Хвиля добра» з організації збору коштів для Альбіни Ярмолюк.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Протягом 2020 року заходи національно-патріотичного та волонтерського спрямування підтримано на загальну суму – 55, 8 тис.грн. Центром національно-патріотичного виховання дітей та молоді організовано 152 заходи, спрямованих на формування національної свідомості та патріотизму (семінар з військово – патріотичного виховання для ОТГ, комплекс заходів до відзначення Дня Героїв Небесної Сотні, військово – патріотичний вишкіл для дітей та молоді, онлайн інтелектуальний змаг, флешмоб до Дня вишиванки, фотоквест #ВідкрийЛуцьк, майстерка до Дня захисту дітей, акція до Дня пам’яті жертв розстрілу в Луцькій тюрмі, ініціатива «Свобода в’язням Кремля», онлайн півмарафон вишкільна ініціатива «Рекрут», серія клубів настільних історичних ігор «Криївка», 8 кінопереглядів та ін.). </w:t>
            </w:r>
          </w:p>
        </w:tc>
      </w:tr>
      <w:tr>
        <w:trPr>
          <w:trHeight w:val="7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Організація молодіжно-культурного обміну та проведення заходів з міжрегіональної та міжнародної співпраці учнівської та студентської молоді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звітному році підтримано: всеукраїнський англомовний дебатний турнір «Lubart cup», першість Західної України зі східних танців «Golden Way», захід із розвитку підприємницьких ініціатив студентської молоді «Школу бізнесу Луцького НТУ</w:t>
            </w:r>
            <w:r>
              <w:rPr>
                <w:rFonts w:eastAsia="Times New Roman" w:cs="Times New Roman" w:ascii="Times New Roman" w:hAnsi="Times New Roman"/>
                <w:bCs/>
                <w:sz w:val="27"/>
                <w:szCs w:val="27"/>
              </w:rPr>
              <w:t> ‒ </w:t>
            </w:r>
            <w:r>
              <w:rPr>
                <w:rFonts w:cs="Times New Roman" w:ascii="Times New Roman" w:hAnsi="Times New Roman"/>
                <w:sz w:val="27"/>
                <w:szCs w:val="27"/>
              </w:rPr>
              <w:t>2020», Крім того, проведено програму розвитку бізнес</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навичок «Skills Labs: власна справа» та «Skills Labs: успішна кар’єра» для молоді Луцька, а також всеукраїнську програму «Індекс благополуччя молоді» (масштабне оцінювання стану благополуччя молоді у громаді). Підтримано проведення курсу «StartUp Brunches» та тренінг «Молодіжний працівник» на загальну суму 27,6 тис. грн. </w:t>
            </w:r>
          </w:p>
        </w:tc>
      </w:tr>
      <w:tr>
        <w:trPr>
          <w:trHeight w:val="146"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Впровадження альтернативних форм оздоровлення та відпочинку (пластові, мовні та наметові табори, гуртки, турпоходи тощо)</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Спільно з Центром національно</w:t>
            </w:r>
            <w:r>
              <w:rPr>
                <w:rFonts w:eastAsia="Times New Roman" w:cs="Times New Roman" w:ascii="Times New Roman" w:hAnsi="Times New Roman"/>
                <w:bCs/>
                <w:sz w:val="27"/>
                <w:szCs w:val="27"/>
              </w:rPr>
              <w:t>-</w:t>
            </w:r>
            <w:r>
              <w:rPr>
                <w:rFonts w:cs="Times New Roman" w:ascii="Times New Roman" w:hAnsi="Times New Roman"/>
                <w:sz w:val="27"/>
                <w:szCs w:val="27"/>
              </w:rPr>
              <w:t xml:space="preserve">патріотичного виховання дітей та молоді було підтримано 2 пластові лещетарські (лижні) табори, в яких у лютому-березні 2020 року змогли оздоровитись 12 осіб на території ГК «Буковель», 50 дітей мали змогу оздоровитись під час проведення пластових літніх таборів. Підтримано організацію творчого літнього табору для дітей, де юні обдарування мали змогу проявити свої вокальні, хореографічні, акторські здібності. </w:t>
            </w:r>
          </w:p>
        </w:tc>
      </w:tr>
      <w:tr>
        <w:trPr>
          <w:trHeight w:val="146"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Проведення оцінки потреб осіб/сімей, які належать до вразливих груп населення та/або перебувають у складних життєвих обставинах, у соціальних послугах та забезпечення надання комплексу інтегрованих соціальних послуг на основі адресного підходу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На кінець 2020 року на обліку в управлінні соціальних служб для сім’ї, дітей та молоді перебувало 222 сім’ї (в них - 528 дітей), які опинилися в складних життєвих обставинах. Соціальною роботою у звітному році було охоплено 2429 сімей, в яких виховується 3 781 дитина. Надано 19 219 послуг. Здійснено 259 оцінок потреб дітей та їх сімей.  Під особливим контролем перебувало 23 дитини, які повернулися із закладів інституційного догляду та виховання у 10 сімей, які опинилися в складних життєвих обставинах. </w:t>
            </w:r>
          </w:p>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Під час епідемічного періоду відбувалися спільні рейди спеціалістів управління соціальних служб для сімей, дітей та молоді, служби у справах дітей, сектору ювенальної превенції управління превентивної діяльності ГУНП у Волинській області у сім’ї, які опинилися в складних життєвих обставинах та потребують особливого контролю. Загалом охоплено 14 сімей, в яких виховується 35 дітей. Окрім того, проводилися екстрені виїзди у випадках коли існувала загроза життю та здоров’ю дітей. У межах реалізації проєкту «Оцінка та реагування на виклики щодо захисту дітей під час пандемії СOVID-19» управлінням соціальних служб для сім’ї, дітей та молоді спільно зі службою у справах дітей здійснюється моніторинг безпеки та потенціалу сімей, в які повернулися діти із закладів інституційного догляду на період карантину. Загалом відвідано 31 сім’ю в яких виховується 60 дітей.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spacing w:val="-4"/>
              </w:rPr>
            </w:pPr>
            <w:r>
              <w:rPr>
                <w:rFonts w:cs="Times New Roman" w:ascii="Times New Roman" w:hAnsi="Times New Roman"/>
                <w:spacing w:val="-4"/>
                <w:sz w:val="27"/>
                <w:szCs w:val="27"/>
              </w:rPr>
              <w:t>Співпраця з громадськими організаціями, благодійними фондами, представниками бізнесу для надання своєчасної та професійної допомоги сім’ям, що опинилися в складних життєвих обставинах, яка спрямована на швидкий вихід із кризи та подолання складних життєвих обставин</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540" w:leader="none"/>
              </w:tabs>
              <w:suppressAutoHyphens w:val="true"/>
              <w:snapToGrid w:val="false"/>
              <w:ind w:firstLine="567"/>
              <w:jc w:val="both"/>
              <w:textAlignment w:val="baseline"/>
              <w:rPr>
                <w:rFonts w:eastAsia="Droid Sans Fallback" w:cs="FreeSans"/>
              </w:rPr>
            </w:pPr>
            <w:r>
              <w:rPr>
                <w:rFonts w:eastAsia="Droid Sans Fallback" w:cs="Times New Roman" w:ascii="Times New Roman" w:hAnsi="Times New Roman"/>
                <w:sz w:val="27"/>
                <w:szCs w:val="27"/>
              </w:rPr>
              <w:t xml:space="preserve">В рамках співпраці з Волинським обласним благодійним фондом «Дитяча місія. Україна», протягом 2020 року проведено 6 благодійних акції з вручення продуктових наборів для 302 сімей, які опинились в складних життєвих обставинах. У період карантинних заходів здійснювалася робота щодо забезпечення найнеобхіднішим сімей, які потребують особливої соціальної підтримки. Залучено до співпраці ВОБФ «Дитяча місія. Україна», мережу магазинів «Домашній», супермаркети «Торба», «Наш край». Адресно відвідано та вручено продуктові набори для 834 сімей. У межах роботи Кабінету екстреної допомоги забезпечено речами першої необхідності 214 сімей. Організовано новорічне свято з переглядом музичної вистави «36 і 6 котів» творчої студії Наталії Журавльової. З нагоди Міжнародного дня захисту дітей проведено адресний Фестиваль для дітей з сімей, які потребують особливої соціальної підтримки. До осель дітей завітав улюблений герой Фіксик з подарунками від ВОБФ «Дитяча місія. Україна» та цікавою розважальною програмою. Загалом відвідано 70 сімей в яких виховується 238 дітей. З нагоди Дня Святого Миколая у партнерстві з агенцією розваг «PartyLab» адресно привітали 40 дітей з сімей, які опинились в складних життєвих обставинах.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Соціальна та/або психологічна підтримка учасників антитерористичної операції та внутрішньо переміщених осіб, організація надання їм допомоги з урахуванням визначених потреб;</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eastAsia="Times New Roman" w:cs="Times New Roman" w:ascii="Times New Roman" w:hAnsi="Times New Roman"/>
                <w:sz w:val="27"/>
                <w:szCs w:val="27"/>
              </w:rPr>
              <w:t>Протягом звітного періоду постійно проводилась широка інформаційно</w:t>
            </w:r>
            <w:r>
              <w:rPr>
                <w:rFonts w:eastAsia="Times New Roman" w:cs="Times New Roman" w:ascii="Times New Roman" w:hAnsi="Times New Roman"/>
                <w:bCs/>
                <w:sz w:val="27"/>
                <w:szCs w:val="27"/>
              </w:rPr>
              <w:t>-</w:t>
            </w:r>
            <w:r>
              <w:rPr>
                <w:rFonts w:eastAsia="Times New Roman" w:cs="Times New Roman" w:ascii="Times New Roman" w:hAnsi="Times New Roman"/>
                <w:sz w:val="27"/>
                <w:szCs w:val="27"/>
              </w:rPr>
              <w:t xml:space="preserve">роз’яснювальна робота серед учасників АТО та членів їх сімей щодо матеріальної, соціальної, юридичної та психологічної підтримки. Упродовж 2020 року роботою охоплено 520 сімей. </w:t>
            </w:r>
          </w:p>
          <w:p>
            <w:pPr>
              <w:pStyle w:val="Normal"/>
              <w:suppressAutoHyphens w:val="true"/>
              <w:snapToGrid w:val="false"/>
              <w:ind w:firstLine="567"/>
              <w:jc w:val="both"/>
              <w:textAlignment w:val="baseline"/>
              <w:rPr>
                <w:rFonts w:cs="Arial"/>
              </w:rPr>
            </w:pPr>
            <w:r>
              <w:rPr>
                <w:rFonts w:eastAsia="Times New Roman" w:cs="Times New Roman" w:ascii="Times New Roman" w:hAnsi="Times New Roman"/>
                <w:sz w:val="27"/>
                <w:szCs w:val="27"/>
              </w:rPr>
              <w:t>У 2020 році в рамках співпраці з Волинським обласним благодійним фондом «Дитяча місія. Україна», 132 сім’ї учасників АТО були адресно забезпечено продуктовими наборами, 70 дітей переглянули музично</w:t>
            </w:r>
            <w:r>
              <w:rPr>
                <w:rFonts w:eastAsia="Times New Roman" w:cs="Times New Roman" w:ascii="Times New Roman" w:hAnsi="Times New Roman"/>
                <w:bCs/>
                <w:sz w:val="27"/>
                <w:szCs w:val="27"/>
              </w:rPr>
              <w:t>-</w:t>
            </w:r>
            <w:r>
              <w:rPr>
                <w:rFonts w:eastAsia="Times New Roman" w:cs="Times New Roman" w:ascii="Times New Roman" w:hAnsi="Times New Roman"/>
                <w:sz w:val="27"/>
                <w:szCs w:val="27"/>
              </w:rPr>
              <w:t xml:space="preserve">інтеграційний імпровіз «Новий рік на поріг», проведено новорічне свято для 450 дітей з сімей учасників АТО та ООС у Палаці культури м. Луцька, 15 дітей взяли участь у майстер-класі із декорування посуду для освячення води на Водохреще, 35 дітей взяли участь у мистецькому проєкті «Різдвяна майстерня», в рамках благодійної акції «Скоро до школи» 41 дитині першокласнику з сімей учасників АТО та з сімей загиблих учасників АТО вручено портфелі, 16 дітям надано канцелярію. У рамках роботи Кабінету екстреної допомоги 147 сімей учасників АТО отримали допомогу одягом та взуттям.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Соціальна та психологічна адаптації дітей-сиріт і дітей, позбавлених батьківського піклування, осіб з їх числа з метою підготовки до самостійного життя;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12780"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Під соціальним супроводженням у 2020 році перебувало 5 прийомних сімей, на вихованні яких </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9 прийомних дітей-сиріт та позбавлених батьківського піклування, 1 дитячий будинок сімейного типу, в якому виховується 5 дітей-вихованців. Проведено Різдвяні зустрічі для дітей-сиріт та дітей позбавлених батьківського піклування, які виховуються у прийомних сім’ях та дитячому будинку сімейного типу. Для 13 дітей-сиріт та дітей, позбавлених батьківського піклування, які навчаються в 10-11 класах загальноосвітніх шкіл Луцької міської територіальної громади, реалізовано соціальний проєкт «Частинка добра». Він спрямований на допомогу дітям особливої долі, досягнення професійного та особистісного успіху. Під час заходу діти отримали солодкі новорічні подарунки та термоси із логотипом «Луцьк - приємне відкриття» від Луцької міської ради. Здійснювалась соціальна робота з опікунськими сім’ями, в яких виховуються діти-сироти та діти, позбавлені батьківського піклування. Основні питання таких родин – це адаптаційний період, дозвілля дитини, особливості підліткового віку, конфлікт поколінь.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1080" w:leader="none"/>
              </w:tabs>
              <w:suppressAutoHyphens w:val="true"/>
              <w:jc w:val="both"/>
              <w:textAlignment w:val="baseline"/>
              <w:rPr>
                <w:rFonts w:cs="Arial"/>
              </w:rPr>
            </w:pPr>
            <w:r>
              <w:rPr>
                <w:rFonts w:cs="Times New Roman" w:ascii="Times New Roman" w:hAnsi="Times New Roman"/>
                <w:sz w:val="27"/>
                <w:szCs w:val="27"/>
              </w:rPr>
              <w:t>Проведення соціальної роботи з сім’ями, які виховують дітей з особливими потребами, сприяння діяльності громадських організацій та об’єднань, спрямованої на творчий розвиток, організацію змістовного дозвілля, відпочинку та спілкування дітей і молоді з обмеженими фізичними можливостями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За звітний період соціальною роботою охоплено 1181 сім’я де один чи кілька членів мають інвалідність, зокрема 1123 дитини з інвалідністю. Для 88 дітей з інвалідністю організовано благодійний захід з врученням новорічних подарунків від німецьких партнерів благодійного фонду «Дитяча місія. Україна»</w:t>
            </w:r>
            <w:r>
              <w:rPr>
                <w:rFonts w:eastAsia="Times New Roman" w:cs="Times New Roman" w:ascii="Times New Roman" w:hAnsi="Times New Roman"/>
                <w:bCs/>
                <w:sz w:val="27"/>
                <w:szCs w:val="27"/>
              </w:rPr>
              <w:t> ‒ </w:t>
            </w:r>
            <w:r>
              <w:rPr>
                <w:rFonts w:cs="Times New Roman" w:ascii="Times New Roman" w:hAnsi="Times New Roman"/>
                <w:sz w:val="27"/>
                <w:szCs w:val="27"/>
              </w:rPr>
              <w:t>Humedica. Організовано виставку дитячих художніх робіт у рамках конкурсу «Зимовий Луцьк», учасниками якої стали 20 дітей з інвалідністю.  Також організовано привітання керівництвом міста з новорічно-різдвяними святами вихованців громадських організацій «Батьків дітей з синдромом Дауна та іншими порушеннями розвитку», «Центр реабілітації осіб з інвалідністю «Джерело життя»», «Спілка батьків інвалідів з розладами аутичного спектру «Янголята», «Інклюзивні студії», «Кольори веселки», «Інсулін», «Кольорова Капустинка», «Равлик у долоні», «Повір у себе». Загалом 256 дітей отримали солодкі подарунки від Луцької міської ради. Колектив «Соняшник» громадської організації «Батьків дітей з синдромом Дауна та іншими порушеннями розвитку» взяв участь в ХІV Міжнародному фестивалі</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конкурсі «Україна єднає світ», який проходив у місті Києві.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10.</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1080" w:leader="none"/>
              </w:tabs>
              <w:suppressAutoHyphens w:val="true"/>
              <w:jc w:val="both"/>
              <w:textAlignment w:val="baseline"/>
              <w:rPr>
                <w:rFonts w:cs="Arial"/>
              </w:rPr>
            </w:pPr>
            <w:r>
              <w:rPr>
                <w:rFonts w:cs="Times New Roman" w:ascii="Times New Roman" w:hAnsi="Times New Roman"/>
                <w:sz w:val="27"/>
                <w:szCs w:val="27"/>
              </w:rPr>
              <w:t>Проведення Конкурсу соціальних проєктів, спрямованих на вирішення проблем сімей/осіб, які опинились в складних життєвих обставинах</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hd w:val="clear" w:color="auto" w:fill="FFFFFF"/>
              <w:suppressAutoHyphens w:val="true"/>
              <w:snapToGrid w:val="false"/>
              <w:ind w:firstLine="567"/>
              <w:jc w:val="both"/>
              <w:textAlignment w:val="baseline"/>
              <w:rPr>
                <w:rFonts w:cs="Arial"/>
              </w:rPr>
            </w:pPr>
            <w:r>
              <w:rPr>
                <w:rFonts w:cs="Times New Roman" w:ascii="Times New Roman" w:hAnsi="Times New Roman"/>
                <w:sz w:val="27"/>
                <w:szCs w:val="27"/>
              </w:rPr>
              <w:t>У 2020 році проведено Конкурс соціальних проєктів спрямованих на вирішення проблем сімей, осіб,</w:t>
            </w:r>
            <w:r>
              <w:rPr>
                <w:rFonts w:cs="Times New Roman" w:ascii="Times New Roman" w:hAnsi="Times New Roman"/>
                <w:b/>
                <w:bCs/>
                <w:sz w:val="27"/>
                <w:szCs w:val="27"/>
              </w:rPr>
              <w:t xml:space="preserve"> </w:t>
            </w:r>
            <w:r>
              <w:rPr>
                <w:rFonts w:cs="Times New Roman" w:ascii="Times New Roman" w:hAnsi="Times New Roman"/>
                <w:sz w:val="27"/>
                <w:szCs w:val="27"/>
              </w:rPr>
              <w:t>які опинились в складних життєвих обставинах для інститутів громадянського суспільства, з наданням фінансування проєктів з бюджету міської територіальної громади. Переможцями визнано 4 проєкти, які подані 4 інститутами громадянського суспільства, а саме: громадською організацією «Ресурсний центр «Кольорова капустинка»</w:t>
            </w:r>
            <w:r>
              <w:rPr>
                <w:rFonts w:eastAsia="Times New Roman" w:cs="Times New Roman" w:ascii="Times New Roman" w:hAnsi="Times New Roman"/>
                <w:bCs/>
                <w:sz w:val="27"/>
                <w:szCs w:val="27"/>
              </w:rPr>
              <w:t> ‒ </w:t>
            </w:r>
            <w:r>
              <w:rPr>
                <w:rFonts w:cs="Times New Roman" w:ascii="Times New Roman" w:hAnsi="Times New Roman"/>
                <w:sz w:val="27"/>
                <w:szCs w:val="27"/>
              </w:rPr>
              <w:t>проєкт «Дискусійний клуб «Книга для особливої мами», громадською організацією «Інклюзивні студії»</w:t>
            </w:r>
            <w:r>
              <w:rPr>
                <w:rFonts w:eastAsia="Times New Roman" w:cs="Times New Roman" w:ascii="Times New Roman" w:hAnsi="Times New Roman"/>
                <w:bCs/>
                <w:sz w:val="27"/>
                <w:szCs w:val="27"/>
              </w:rPr>
              <w:t> ‒ </w:t>
            </w:r>
            <w:r>
              <w:rPr>
                <w:rFonts w:cs="Times New Roman" w:ascii="Times New Roman" w:hAnsi="Times New Roman"/>
                <w:sz w:val="27"/>
                <w:szCs w:val="27"/>
              </w:rPr>
              <w:t>проєкт «Тріада успіху: діти</w:t>
            </w:r>
            <w:r>
              <w:rPr>
                <w:rFonts w:eastAsia="Times New Roman" w:cs="Times New Roman" w:ascii="Times New Roman" w:hAnsi="Times New Roman"/>
                <w:bCs/>
                <w:sz w:val="27"/>
                <w:szCs w:val="27"/>
              </w:rPr>
              <w:t> ‒ </w:t>
            </w:r>
            <w:r>
              <w:rPr>
                <w:rFonts w:cs="Times New Roman" w:ascii="Times New Roman" w:hAnsi="Times New Roman"/>
                <w:sz w:val="27"/>
                <w:szCs w:val="27"/>
              </w:rPr>
              <w:t>батьки</w:t>
            </w:r>
            <w:r>
              <w:rPr>
                <w:rFonts w:eastAsia="Times New Roman" w:cs="Times New Roman" w:ascii="Times New Roman" w:hAnsi="Times New Roman"/>
                <w:bCs/>
                <w:sz w:val="27"/>
                <w:szCs w:val="27"/>
              </w:rPr>
              <w:t> ‒ </w:t>
            </w:r>
            <w:r>
              <w:rPr>
                <w:rFonts w:cs="Times New Roman" w:ascii="Times New Roman" w:hAnsi="Times New Roman"/>
                <w:sz w:val="27"/>
                <w:szCs w:val="27"/>
              </w:rPr>
              <w:t>педагоги», благодійною організацією «Благодійний фонд «Діти здорові»</w:t>
            </w:r>
            <w:r>
              <w:rPr>
                <w:rFonts w:eastAsia="Times New Roman" w:cs="Times New Roman" w:ascii="Times New Roman" w:hAnsi="Times New Roman"/>
                <w:bCs/>
                <w:sz w:val="27"/>
                <w:szCs w:val="27"/>
              </w:rPr>
              <w:t> ‒ </w:t>
            </w:r>
            <w:r>
              <w:rPr>
                <w:rFonts w:cs="Times New Roman" w:ascii="Times New Roman" w:hAnsi="Times New Roman"/>
                <w:sz w:val="27"/>
                <w:szCs w:val="27"/>
              </w:rPr>
              <w:t>проєкт «Лікарняний клоун», Волинським обласним відділенням міжнародного благодійного фонду «Молодь з місією»</w:t>
            </w:r>
            <w:r>
              <w:rPr>
                <w:rFonts w:eastAsia="Times New Roman" w:cs="Times New Roman" w:ascii="Times New Roman" w:hAnsi="Times New Roman"/>
                <w:bCs/>
                <w:sz w:val="27"/>
                <w:szCs w:val="27"/>
              </w:rPr>
              <w:t> ‒ </w:t>
            </w:r>
            <w:r>
              <w:rPr>
                <w:rFonts w:cs="Times New Roman" w:ascii="Times New Roman" w:hAnsi="Times New Roman"/>
                <w:sz w:val="27"/>
                <w:szCs w:val="27"/>
              </w:rPr>
              <w:t>проєкт «#LytskFamili Fest-ONLINE». Укладено договори на реалізацію цих проєктів.</w:t>
            </w:r>
          </w:p>
        </w:tc>
      </w:tr>
      <w:tr>
        <w:trPr>
          <w:trHeight w:val="132"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11.</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1080" w:leader="none"/>
              </w:tabs>
              <w:suppressAutoHyphens w:val="true"/>
              <w:jc w:val="both"/>
              <w:textAlignment w:val="baseline"/>
              <w:rPr>
                <w:rFonts w:cs="Arial"/>
              </w:rPr>
            </w:pPr>
            <w:r>
              <w:rPr>
                <w:rFonts w:cs="Times New Roman" w:ascii="Times New Roman" w:hAnsi="Times New Roman"/>
                <w:sz w:val="27"/>
                <w:szCs w:val="27"/>
              </w:rPr>
              <w:t>Розвиток сімейних форм виховання дітей-сиріт, дітей, позбавлених батьківського піклування (усиновлення, опіка та піклування, прийомні сім’ї, дитячі будинки сімейного типу)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У 2020 році 31 дитині надано статус дитини</w:t>
            </w:r>
            <w:r>
              <w:rPr>
                <w:rFonts w:eastAsia="Times New Roman" w:cs="Times New Roman" w:ascii="Times New Roman" w:hAnsi="Times New Roman"/>
                <w:bCs/>
                <w:sz w:val="27"/>
                <w:szCs w:val="27"/>
              </w:rPr>
              <w:t> ‒ </w:t>
            </w:r>
            <w:r>
              <w:rPr>
                <w:rFonts w:cs="Times New Roman" w:ascii="Times New Roman" w:hAnsi="Times New Roman"/>
                <w:sz w:val="27"/>
                <w:szCs w:val="27"/>
              </w:rPr>
              <w:t>сироти, дитини, позбавленої батьківського піклування. Впродовж року усиновлено 4 дітей.</w:t>
            </w:r>
          </w:p>
          <w:p>
            <w:pPr>
              <w:pStyle w:val="Normal"/>
              <w:widowControl w:val="false"/>
              <w:suppressAutoHyphens w:val="true"/>
              <w:ind w:firstLine="510"/>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Працівниками служби у справах дітей обстежено умови проживання 136 дітей-сиріт та дітей, позбавлених батьківського піклування, підготовлено 111 висновків про стан утримання, навчання та виховання дітей у сім'ях опікунів.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12.</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1080" w:leader="none"/>
              </w:tabs>
              <w:suppressAutoHyphens w:val="true"/>
              <w:jc w:val="both"/>
              <w:textAlignment w:val="baseline"/>
              <w:rPr>
                <w:rFonts w:cs="Arial"/>
              </w:rPr>
            </w:pPr>
            <w:r>
              <w:rPr>
                <w:rFonts w:cs="Times New Roman" w:ascii="Times New Roman" w:hAnsi="Times New Roman"/>
                <w:spacing w:val="-2"/>
                <w:sz w:val="27"/>
                <w:szCs w:val="27"/>
              </w:rPr>
              <w:t>Активізація профілактичної роботи щодо запобігання правопорушенням у дитячому середовищі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Станом на 01.01.2021 року на обліку у службі у справах дітей знаходилось 115 дітей, які перебувають у складних життєвих обставинах, в т.ч. за категоріями: </w:t>
            </w:r>
          </w:p>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діти, які самовільно залишають місце навчання та проживання</w:t>
            </w:r>
            <w:r>
              <w:rPr>
                <w:rFonts w:eastAsia="Times New Roman" w:cs="Times New Roman" w:ascii="Times New Roman" w:hAnsi="Times New Roman"/>
                <w:bCs/>
                <w:sz w:val="27"/>
                <w:szCs w:val="27"/>
              </w:rPr>
              <w:t> ‒ </w:t>
            </w:r>
            <w:r>
              <w:rPr>
                <w:rFonts w:cs="Times New Roman" w:ascii="Times New Roman" w:hAnsi="Times New Roman"/>
                <w:sz w:val="27"/>
                <w:szCs w:val="27"/>
              </w:rPr>
              <w:t>19;</w:t>
            </w:r>
          </w:p>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діти, які виховуються в сім’ях, у яких батьки або особи, що їх заміняють, ухиляються від виконання батьківських обов'язків</w:t>
            </w:r>
            <w:r>
              <w:rPr>
                <w:rFonts w:eastAsia="Times New Roman" w:cs="Times New Roman" w:ascii="Times New Roman" w:hAnsi="Times New Roman"/>
                <w:bCs/>
                <w:sz w:val="27"/>
                <w:szCs w:val="27"/>
              </w:rPr>
              <w:t> ‒ </w:t>
            </w:r>
            <w:r>
              <w:rPr>
                <w:rFonts w:cs="Times New Roman" w:ascii="Times New Roman" w:hAnsi="Times New Roman"/>
                <w:sz w:val="27"/>
                <w:szCs w:val="27"/>
              </w:rPr>
              <w:t>93;</w:t>
            </w:r>
          </w:p>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діти, щодо яких скоєно насилля в сім’ї — 3.</w:t>
            </w:r>
          </w:p>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Направлено матеріали до Луцького ВП ГУНП у Волинській області для оформлення протоколів за ст. 184 КУпАП (ухилення батьків від виконання своїх обов`язків щодо виховання та утримання дітей) </w:t>
            </w:r>
            <w:r>
              <w:rPr>
                <w:rFonts w:eastAsia="Times New Roman" w:cs="Times New Roman" w:ascii="Times New Roman" w:hAnsi="Times New Roman"/>
                <w:bCs/>
                <w:sz w:val="27"/>
                <w:szCs w:val="27"/>
              </w:rPr>
              <w:t>‒ </w:t>
            </w:r>
            <w:r>
              <w:rPr>
                <w:rFonts w:cs="Times New Roman" w:ascii="Times New Roman" w:hAnsi="Times New Roman"/>
                <w:sz w:val="27"/>
                <w:szCs w:val="27"/>
              </w:rPr>
              <w:t xml:space="preserve">16. </w:t>
            </w:r>
          </w:p>
        </w:tc>
      </w:tr>
      <w:tr>
        <w:trPr>
          <w:trHeight w:val="27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Запобігання соціальному сирітству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За 2020 рік службою у справах дітей проведено: 250 виховних та попереджувально</w:t>
            </w:r>
            <w:r>
              <w:rPr>
                <w:rFonts w:eastAsia="Times New Roman" w:cs="Times New Roman" w:ascii="Times New Roman" w:hAnsi="Times New Roman"/>
                <w:bCs/>
                <w:sz w:val="27"/>
                <w:szCs w:val="27"/>
              </w:rPr>
              <w:t>-</w:t>
            </w:r>
            <w:r>
              <w:rPr>
                <w:rFonts w:cs="Times New Roman" w:ascii="Times New Roman" w:hAnsi="Times New Roman"/>
                <w:sz w:val="27"/>
                <w:szCs w:val="27"/>
              </w:rPr>
              <w:t>виховних заходів, 360 індивідуальних профілактичних бесід,</w:t>
            </w:r>
            <w:r>
              <w:rPr>
                <w:rFonts w:eastAsia="Times New Roman" w:cs="Times New Roman" w:ascii="Times New Roman" w:hAnsi="Times New Roman"/>
                <w:sz w:val="27"/>
                <w:szCs w:val="27"/>
              </w:rPr>
              <w:t xml:space="preserve"> </w:t>
            </w:r>
            <w:r>
              <w:rPr>
                <w:rFonts w:cs="Times New Roman" w:ascii="Times New Roman" w:hAnsi="Times New Roman"/>
                <w:sz w:val="27"/>
                <w:szCs w:val="27"/>
              </w:rPr>
              <w:t xml:space="preserve">137 індивідуальних консультацій.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Зменшення кількості дітей-сиріт та дітей, позбавлених батьківського піклування, які виховуються у закладах для дітей</w:t>
            </w:r>
            <w:r>
              <w:rPr>
                <w:rFonts w:eastAsia="Times New Roman" w:cs="Times New Roman" w:ascii="Times New Roman" w:hAnsi="Times New Roman"/>
                <w:bCs/>
                <w:sz w:val="27"/>
                <w:szCs w:val="27"/>
              </w:rPr>
              <w:t>-</w:t>
            </w:r>
            <w:r>
              <w:rPr>
                <w:rFonts w:cs="Times New Roman" w:ascii="Times New Roman" w:hAnsi="Times New Roman"/>
                <w:sz w:val="27"/>
                <w:szCs w:val="27"/>
              </w:rPr>
              <w:t>сиріт та дітей, позбавлених батьківського піклування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624"/>
              <w:jc w:val="both"/>
              <w:textAlignment w:val="baseline"/>
              <w:rPr>
                <w:rFonts w:cs="Arial"/>
              </w:rPr>
            </w:pPr>
            <w:r>
              <w:rPr>
                <w:rFonts w:cs="Times New Roman" w:ascii="Times New Roman" w:hAnsi="Times New Roman"/>
                <w:sz w:val="27"/>
                <w:szCs w:val="27"/>
              </w:rPr>
              <w:t>При влаштуванні дітей</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сиріт та дітей, позбавлених батьківського піклування, у випадку відсутності родичів, знайомих, які могли б взяти їх під опіку, розглядається питання щодо влаштування дітей у прийомні сім'ї, дитячі будинки сімейного типу. </w:t>
            </w:r>
          </w:p>
          <w:p>
            <w:pPr>
              <w:pStyle w:val="Normal"/>
              <w:widowControl w:val="false"/>
              <w:suppressAutoHyphens w:val="true"/>
              <w:ind w:firstLine="624"/>
              <w:jc w:val="both"/>
              <w:textAlignment w:val="baseline"/>
              <w:rPr>
                <w:rFonts w:cs="Arial"/>
              </w:rPr>
            </w:pPr>
            <w:r>
              <w:rPr>
                <w:rFonts w:cs="Times New Roman" w:ascii="Times New Roman" w:hAnsi="Times New Roman"/>
                <w:sz w:val="27"/>
                <w:szCs w:val="27"/>
              </w:rPr>
              <w:t xml:space="preserve">В 2020 році 2 дітей вищевказаної категорії влаштовано в дитячий будинок сімейного типу, що функціонує у м. Луцьку.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15.</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1080" w:leader="none"/>
              </w:tabs>
              <w:suppressAutoHyphens w:val="true"/>
              <w:jc w:val="both"/>
              <w:textAlignment w:val="baseline"/>
              <w:rPr>
                <w:rFonts w:cs="Arial"/>
              </w:rPr>
            </w:pPr>
            <w:r>
              <w:rPr>
                <w:rFonts w:cs="Times New Roman" w:ascii="Times New Roman" w:hAnsi="Times New Roman"/>
                <w:sz w:val="27"/>
                <w:szCs w:val="27"/>
              </w:rPr>
              <w:t>Надання дітям, які перебувають у складних життєвих обставинах, соціально-правової допомоги, в тому числі матеріальної</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За 2020 рік працівниками служби у справах дітей спільно з працівниками СЮП Луцького ВП ГУНП у Волинській області проведено 52 рейди вулицями міста, в ході яких виявлено 21 дитину, 14 з яких влаштовані у притулок для дітей Волинської ОДА, 7 -в заклади охорони здоров'я. Представлено інтереси 156 дітей у суді. Після проведеної роботи з родинами працівниками служби у справах дітей підготовлено 11 висновків про доцільність повернення дітей в сім'ю на виховання. Надано матеріальну допомогу 74 дітям на суму 34 ,2 тис. грн.</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16.</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1080" w:leader="none"/>
              </w:tabs>
              <w:suppressAutoHyphens w:val="true"/>
              <w:jc w:val="both"/>
              <w:textAlignment w:val="baseline"/>
              <w:rPr>
                <w:rFonts w:cs="Arial"/>
              </w:rPr>
            </w:pPr>
            <w:r>
              <w:rPr>
                <w:rFonts w:cs="Times New Roman" w:ascii="Times New Roman" w:hAnsi="Times New Roman"/>
                <w:sz w:val="27"/>
                <w:szCs w:val="27"/>
              </w:rPr>
              <w:t>Забезпечення створення та функціонування прийомних сімей та дитячих будинків сімейного типу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В місті Луцьку функціонує 1 дитячий будинок сімейного типу, у якому виховується 5 дітей-сиріт (вул. Кравчука, 28). Також на території міста проживає 5 прийомних сім’ї, де виховуються діти-сироти та 1 сім’я, яка проживає в с. Прилуцьке.</w:t>
            </w:r>
          </w:p>
        </w:tc>
      </w:tr>
      <w:tr>
        <w:trPr>
          <w:trHeight w:val="55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17.</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1080" w:leader="none"/>
              </w:tabs>
              <w:suppressAutoHyphens w:val="true"/>
              <w:jc w:val="both"/>
              <w:textAlignment w:val="baseline"/>
              <w:rPr>
                <w:rFonts w:cs="Arial"/>
              </w:rPr>
            </w:pPr>
            <w:r>
              <w:rPr>
                <w:rFonts w:cs="Times New Roman" w:ascii="Times New Roman" w:hAnsi="Times New Roman"/>
                <w:sz w:val="27"/>
                <w:szCs w:val="27"/>
              </w:rPr>
              <w:t>Допомога у вирішенні соціально-побутових питань дітям-сиротам, дітям, позбавленим батьківського піклування, дітям, які перебувають у складних життєвих обставинах</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Протягом звітного періоду при встановленні опіки/піклування вивчалися всі проблеми та потреби дітей-сиріт та дітей, позбавлених батьківського піклування, в т. ч. вивчається питання забезпечення їх житлом. Опікунів зобов'язано при досягнення дітьми 16 років, при потребі, ставити на квартирний облік для отримання житла у позачерговому порядку або соціального житла. Обстежено умови проживання 165 дітей, які проживають у сім'ях, що перебувають у складних життєвих обставинах.</w:t>
            </w:r>
          </w:p>
        </w:tc>
      </w:tr>
      <w:tr>
        <w:trPr>
          <w:trHeight w:val="7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18.</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630" w:leader="none"/>
              </w:tabs>
              <w:suppressAutoHyphens w:val="true"/>
              <w:jc w:val="both"/>
              <w:textAlignment w:val="baseline"/>
              <w:rPr>
                <w:rFonts w:cs="Arial"/>
              </w:rPr>
            </w:pPr>
            <w:r>
              <w:rPr>
                <w:rFonts w:cs="Times New Roman" w:ascii="Times New Roman" w:hAnsi="Times New Roman"/>
                <w:sz w:val="27"/>
                <w:szCs w:val="27"/>
              </w:rPr>
              <w:t>Проведення святкових заходів з врученням продуктових наборів дітям, які перебувають в складних життєвих обставинах, до Міжнародного дня захисту дітей, до дня Св. Миколая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Проведено акції: «Творімо добро» з врученням продуктових наборів для 50 дітей з нагоди Дня захисту дітей (використано 8,8 тис. грн), «Подарунок від Святого Миколая» з врученням продуктових наборів для 100 дітей до Дня Святого Миколая (використано 27,1тис. грн). </w:t>
            </w:r>
          </w:p>
        </w:tc>
      </w:tr>
      <w:tr>
        <w:trPr>
          <w:trHeight w:val="27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19.</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720" w:leader="none"/>
              </w:tabs>
              <w:suppressAutoHyphens w:val="true"/>
              <w:jc w:val="both"/>
              <w:textAlignment w:val="baseline"/>
              <w:rPr>
                <w:rFonts w:cs="Arial"/>
              </w:rPr>
            </w:pPr>
            <w:r>
              <w:rPr>
                <w:rFonts w:cs="Times New Roman" w:ascii="Times New Roman" w:hAnsi="Times New Roman"/>
                <w:sz w:val="27"/>
                <w:szCs w:val="27"/>
              </w:rPr>
              <w:t>Захист житлових прав дітей-сиріт, дітей, позбавлених батьківського піклування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12780" w:leader="none"/>
              </w:tabs>
              <w:suppressAutoHyphens w:val="true"/>
              <w:snapToGrid w:val="false"/>
              <w:ind w:firstLine="567"/>
              <w:jc w:val="both"/>
              <w:textAlignment w:val="baseline"/>
              <w:rPr>
                <w:rFonts w:cs="Arial"/>
              </w:rPr>
            </w:pPr>
            <w:r>
              <w:rPr>
                <w:rFonts w:cs="Times New Roman" w:ascii="Times New Roman" w:hAnsi="Times New Roman"/>
                <w:sz w:val="27"/>
                <w:szCs w:val="27"/>
              </w:rPr>
              <w:t>Опікунів зобов'язано при досягненні дітьми 16 років, при потребі, ставити їх на квартирний облік для отримання житла у позачерговому порядку. У 2020 році на обліку у виконавчому комітеті для отримання житла перебуває 20 дітей-сиріт, дітей позбавлених батьківського піклування та осіб з їх числа.</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20.</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720" w:leader="none"/>
              </w:tabs>
              <w:suppressAutoHyphens w:val="true"/>
              <w:jc w:val="both"/>
              <w:textAlignment w:val="baseline"/>
              <w:rPr>
                <w:rFonts w:cs="Arial"/>
              </w:rPr>
            </w:pPr>
            <w:r>
              <w:rPr>
                <w:rFonts w:cs="Times New Roman" w:ascii="Times New Roman" w:hAnsi="Times New Roman"/>
                <w:sz w:val="27"/>
                <w:szCs w:val="27"/>
              </w:rPr>
              <w:t>Придбання житла для дітей-сиріт, дітей, позбавлених батьківського піклування, та осіб з їх числа, проведення ремонтних робіт у житлі, яке належить даній категорії дітей</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567"/>
              <w:jc w:val="both"/>
              <w:textAlignment w:val="baseline"/>
              <w:rPr>
                <w:rFonts w:cs="Arial"/>
              </w:rPr>
            </w:pPr>
            <w:r>
              <w:rPr>
                <w:rFonts w:cs="Times New Roman" w:ascii="Times New Roman" w:hAnsi="Times New Roman"/>
                <w:bCs/>
                <w:sz w:val="27"/>
                <w:szCs w:val="27"/>
              </w:rPr>
              <w:t xml:space="preserve">Згідно міської Програми забезпечення житлом дітей-сиріт та дітей, позбавлених батьківського піклування, та осіб з їх числа на 2017 - 2021 роки передбачено кошти </w:t>
            </w:r>
            <w:r>
              <w:rPr>
                <w:rFonts w:cs="Times New Roman" w:ascii="Times New Roman" w:hAnsi="Times New Roman"/>
                <w:sz w:val="27"/>
                <w:szCs w:val="27"/>
              </w:rPr>
              <w:t>бюджетом міської територіальної громади</w:t>
            </w:r>
            <w:r>
              <w:rPr>
                <w:rFonts w:cs="Times New Roman" w:ascii="Times New Roman" w:hAnsi="Times New Roman"/>
                <w:bCs/>
                <w:sz w:val="27"/>
                <w:szCs w:val="27"/>
              </w:rPr>
              <w:t xml:space="preserve"> у сумі 350,0 тис. грн. </w:t>
            </w:r>
          </w:p>
          <w:p>
            <w:pPr>
              <w:pStyle w:val="Normal"/>
              <w:widowControl w:val="false"/>
              <w:suppressAutoHyphens w:val="true"/>
              <w:snapToGrid w:val="false"/>
              <w:ind w:firstLine="567"/>
              <w:jc w:val="both"/>
              <w:textAlignment w:val="baseline"/>
              <w:rPr>
                <w:rFonts w:cs="Arial"/>
              </w:rPr>
            </w:pPr>
            <w:r>
              <w:rPr>
                <w:rFonts w:cs="Times New Roman" w:ascii="Times New Roman" w:hAnsi="Times New Roman"/>
                <w:bCs/>
                <w:sz w:val="27"/>
                <w:szCs w:val="27"/>
              </w:rPr>
              <w:t>У</w:t>
            </w:r>
            <w:r>
              <w:rPr>
                <w:rFonts w:cs="Times New Roman" w:ascii="Times New Roman" w:hAnsi="Times New Roman"/>
                <w:sz w:val="27"/>
                <w:szCs w:val="27"/>
              </w:rPr>
              <w:t xml:space="preserve"> 2020 році</w:t>
            </w:r>
            <w:r>
              <w:rPr>
                <w:rFonts w:cs="Times New Roman" w:ascii="Times New Roman" w:hAnsi="Times New Roman"/>
                <w:b/>
                <w:bCs/>
                <w:sz w:val="27"/>
                <w:szCs w:val="27"/>
              </w:rPr>
              <w:t xml:space="preserve"> </w:t>
            </w:r>
            <w:r>
              <w:rPr>
                <w:rFonts w:cs="Times New Roman" w:ascii="Times New Roman" w:hAnsi="Times New Roman"/>
                <w:sz w:val="27"/>
                <w:szCs w:val="27"/>
              </w:rPr>
              <w:t>проведено</w:t>
            </w:r>
            <w:r>
              <w:rPr>
                <w:rFonts w:cs="Times New Roman" w:ascii="Times New Roman" w:hAnsi="Times New Roman"/>
                <w:bCs/>
                <w:sz w:val="27"/>
                <w:szCs w:val="27"/>
              </w:rPr>
              <w:t xml:space="preserve"> ремонтні роботи у квартирі соціального призначення (Щусєва,18, кв. 70) та надано 1 квартиру (Черняховського,1, кв. 121) особі з числа дітей, позбавлених батьківського піклування. Також 50,0 тис грн. надано матеріальної допомоги для проведення ремонтних робіт у житлі яке належить особам з числа дітей осіб.</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2.6. Культура</w:t>
      </w:r>
    </w:p>
    <w:tbl>
      <w:tblPr>
        <w:tblW w:w="15875"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7"/>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Зміцнення матеріальної бази культурно-мистецької інфраструктури Луцької міської територіальної громади, впровадження заходів з енергозбереження у закладах культури</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10"/>
              <w:jc w:val="both"/>
              <w:textAlignment w:val="baseline"/>
              <w:rPr>
                <w:rFonts w:cs="Arial"/>
              </w:rPr>
            </w:pPr>
            <w:r>
              <w:rPr>
                <w:rFonts w:cs="Times New Roman" w:ascii="Times New Roman" w:hAnsi="Times New Roman"/>
                <w:sz w:val="27"/>
                <w:szCs w:val="27"/>
              </w:rPr>
              <w:t>Протягом 2020 року було здійснено:</w:t>
            </w:r>
          </w:p>
          <w:p>
            <w:pPr>
              <w:pStyle w:val="Normal"/>
              <w:suppressAutoHyphens w:val="true"/>
              <w:ind w:firstLine="510"/>
              <w:jc w:val="both"/>
              <w:textAlignment w:val="baseline"/>
              <w:rPr>
                <w:rFonts w:cs="Arial"/>
              </w:rPr>
            </w:pPr>
            <w:r>
              <w:rPr>
                <w:rFonts w:cs="Times New Roman" w:ascii="Times New Roman" w:hAnsi="Times New Roman"/>
                <w:sz w:val="27"/>
                <w:szCs w:val="27"/>
              </w:rPr>
              <w:t>- поточний ремонт класів у музичних та художній школах міста (788, 0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частковий ремонт даху будівлі Палацу культури (49, 5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виготовлено проєктно</w:t>
            </w:r>
            <w:r>
              <w:rPr>
                <w:rFonts w:eastAsia="Times New Roman" w:cs="Times New Roman" w:ascii="Times New Roman" w:hAnsi="Times New Roman"/>
                <w:bCs/>
                <w:sz w:val="27"/>
                <w:szCs w:val="27"/>
              </w:rPr>
              <w:t> ‒ </w:t>
            </w:r>
            <w:r>
              <w:rPr>
                <w:rFonts w:cs="Times New Roman" w:ascii="Times New Roman" w:hAnsi="Times New Roman"/>
                <w:sz w:val="27"/>
                <w:szCs w:val="27"/>
              </w:rPr>
              <w:t>кошторисну документацію на капітальний ремонт даху Палацу культури (113, 8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проведено капітальний ремонт покрівлі музичної школи №2 (1 436, 7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облаштовано літні читальні зали при бібліотечних закладах (укомплектовано столами, кріслами, мольбертами на суму 5,0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утеплено фасад музичної школи №1 імені Фридерика Шопена (3 507, 9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здійснено модернізацію будівлі художньої школи (утеплено фасад будівлі, відремонтовано дах, встановлено 104 енергоощадних вікна, 10 588,0 тис. грн в рамках проєкту НЕФКО);</w:t>
            </w:r>
          </w:p>
          <w:p>
            <w:pPr>
              <w:pStyle w:val="Normal"/>
              <w:suppressAutoHyphens w:val="true"/>
              <w:ind w:firstLine="510"/>
              <w:jc w:val="both"/>
              <w:textAlignment w:val="baseline"/>
              <w:rPr>
                <w:rFonts w:cs="Arial"/>
              </w:rPr>
            </w:pPr>
            <w:r>
              <w:rPr>
                <w:rFonts w:cs="Times New Roman" w:ascii="Times New Roman" w:hAnsi="Times New Roman"/>
                <w:sz w:val="27"/>
                <w:szCs w:val="27"/>
              </w:rPr>
              <w:t>- добудовано музичну школу № 3 (збудовано новий корпус з концертною залою та 8 навчальними класами, проведено внутрішні роботи, 8 797 ,4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проведено поточний ремонт фойє та гардеробу у культурно-мистецькому центрі «Красне» (199,0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встановлено енергоощадні лампи у музичних школах (113 шт. на суму 6,0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xml:space="preserve">Придбано для музичних шкіл: комп’ютерне та звукотехнічне обладнання (252, 0 тис. грн), музичні інструменти (345,0 тис. грн), концертне вбрання для творчих колективів (89,0 тис грн), для клубних закладів: концертне взуття та сценічні костюми для зразкового аматорського ансамблю народного танцю «Волиняночка» (171,2 тис. грн), концертні костюми для учасників народного аматорського духового оркестру (88,1тис грн), комп’ютерну техніку (для культурно- мистецького центру «Красне» і будинку культури м-ну Вересневе на суму 45,0 тис грн), для бібліотечних закладів: комп’ютерну техніку 6 шт. (130, 0 тис. грн), меблі та обладнання (столи, стелажі, каталожні шафи, принтери на суму 271,5 тис.грн), літературу для поповнення бібліотечного фонду (240,0 тис. грн), проведено підписку періодичних видань (130,0 тис. грн). </w:t>
            </w:r>
          </w:p>
          <w:p>
            <w:pPr>
              <w:pStyle w:val="Normal"/>
              <w:suppressAutoHyphens w:val="true"/>
              <w:ind w:firstLine="510"/>
              <w:jc w:val="both"/>
              <w:textAlignment w:val="baseline"/>
              <w:rPr>
                <w:rFonts w:cs="Arial"/>
              </w:rPr>
            </w:pPr>
            <w:r>
              <w:rPr>
                <w:rFonts w:cs="Times New Roman" w:ascii="Times New Roman" w:hAnsi="Times New Roman"/>
                <w:sz w:val="27"/>
                <w:szCs w:val="27"/>
              </w:rPr>
              <w:t xml:space="preserve">Збільшено мережу закладів культури на 3 одиниці за рахунок приєднання Прилуцького будинку культури та бібліотек сіл Дачне і Прилуцьке.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культурно-мистецьких заходів у різних частинах Луцької міської територіальної громади, збільшення кількості клубних та бібліотечних формувань</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510"/>
              <w:jc w:val="both"/>
              <w:textAlignment w:val="baseline"/>
              <w:rPr>
                <w:rFonts w:eastAsia="Times New Roman" w:cs="Times New Roman"/>
                <w:lang w:bidi="ar-SA"/>
              </w:rPr>
            </w:pPr>
            <w:r>
              <w:rPr>
                <w:rFonts w:eastAsia="Times New Roman" w:cs="Times New Roman" w:ascii="Times New Roman" w:hAnsi="Times New Roman"/>
                <w:sz w:val="27"/>
                <w:szCs w:val="27"/>
                <w:lang w:bidi="ar-SA"/>
              </w:rPr>
              <w:t xml:space="preserve">Протягом звітного періоду близько було проведено близько 3000 культурно-мистецьких та культурологічних заходи. У зв’язку із введенням карантинних обмежень, культурні заходи з березні до червні місяців 2020 року проводилися у форматі онлайн (фестиваль «Великдень у Луцьку», заходи з відзначення Дня Європи, Дня пам’яті та примирення, Дня Матері, Міжнародного дня захисту дітей, до Дня пам’яті Чорнобильської трагедії та ін.). </w:t>
            </w:r>
          </w:p>
          <w:p>
            <w:pPr>
              <w:pStyle w:val="Normal"/>
              <w:ind w:firstLine="510"/>
              <w:jc w:val="both"/>
              <w:textAlignment w:val="baseline"/>
              <w:rPr>
                <w:rFonts w:eastAsia="Times New Roman" w:cs="Times New Roman"/>
                <w:lang w:bidi="ar-SA"/>
              </w:rPr>
            </w:pPr>
            <w:r>
              <w:rPr>
                <w:rFonts w:eastAsia="Times New Roman" w:cs="Times New Roman" w:ascii="Times New Roman" w:hAnsi="Times New Roman"/>
                <w:sz w:val="27"/>
                <w:szCs w:val="27"/>
                <w:lang w:bidi="ar-SA"/>
              </w:rPr>
              <w:t>З метою активізації творчого процесу та творчої самореалізації учнів мистецьких шкіл реалізовано 10 творчих конкурсів та мистецьких проєктів: «3D/DітиDімDистанційно», «Для тих, хто живе музикою», «ChildrenSing/Співають Діти», «Я люблю фортепіано», «Скрипковий ключ», «Весняні замальовки», «Музика в малюнках» та ін. У форматах онлайн та офлайн відбувалися заходи з відзначення Дня незалежності України. До Дня міста у вересні місяці реалізовано проєкти «Музичні імпровізації» у Центральному парку культури та відпочинку імені Лесі Українки.</w:t>
            </w:r>
            <w:r>
              <w:rPr>
                <w:rFonts w:eastAsia="Times New Roman" w:cs="Times New Roman"/>
                <w:lang w:bidi="ar-SA"/>
              </w:rPr>
              <w:t xml:space="preserve"> </w:t>
            </w:r>
            <w:r>
              <w:rPr>
                <w:rFonts w:eastAsia="Times New Roman" w:cs="Times New Roman" w:ascii="Times New Roman" w:hAnsi="Times New Roman"/>
                <w:sz w:val="27"/>
                <w:szCs w:val="27"/>
                <w:lang w:bidi="ar-SA"/>
              </w:rPr>
              <w:t xml:space="preserve">У жовтні місяці 2020 року в межах заходів з відзначення Міжнародного дня музики, проведено мистецьку акцію «Овація», як підсумок рейтингу серед учнів мистецьких шкіл міста. За результатами рейтингу обдарованим дітям вручено 7 мистецьких премій міського голови                   (5,0 тис. грн)та 44 відзнаки департаменту культури і грошову винагороду (1,0 тис грн кожному). Преміальний фонд – 96,4 тис. грн, 19 творчих колективів та 78 працівників галузі культури відзначено за підсумками рейтингової акції «Кращий в культурі», що проведено до Всеукраїнського дня працівників культури та майстрів народного мистецтва. </w:t>
            </w:r>
          </w:p>
          <w:p>
            <w:pPr>
              <w:pStyle w:val="Normal"/>
              <w:ind w:firstLine="510"/>
              <w:jc w:val="both"/>
              <w:textAlignment w:val="baseline"/>
              <w:rPr>
                <w:rFonts w:eastAsia="Times New Roman" w:cs="Times New Roman"/>
                <w:lang w:bidi="ar-SA"/>
              </w:rPr>
            </w:pPr>
            <w:r>
              <w:rPr>
                <w:rFonts w:eastAsia="Times New Roman" w:cs="Times New Roman" w:ascii="Times New Roman" w:hAnsi="Times New Roman"/>
                <w:sz w:val="27"/>
                <w:szCs w:val="27"/>
                <w:lang w:bidi="ar-SA"/>
              </w:rPr>
              <w:t xml:space="preserve">На базі художньої школи проведено третій міський конкурс дитячих малюнків «Місто святого Миколая». Роботи переможців конкурсу експонувалися в арт-галереї «Луцьк». </w:t>
            </w:r>
          </w:p>
          <w:p>
            <w:pPr>
              <w:pStyle w:val="Normal"/>
              <w:ind w:firstLine="510"/>
              <w:jc w:val="both"/>
              <w:textAlignment w:val="baseline"/>
              <w:rPr>
                <w:rFonts w:eastAsia="Times New Roman" w:cs="Times New Roman"/>
                <w:lang w:bidi="ar-SA"/>
              </w:rPr>
            </w:pPr>
            <w:r>
              <w:rPr>
                <w:rFonts w:eastAsia="Times New Roman" w:cs="Times New Roman" w:ascii="Times New Roman" w:hAnsi="Times New Roman"/>
                <w:sz w:val="27"/>
                <w:szCs w:val="27"/>
                <w:lang w:bidi="ar-SA"/>
              </w:rPr>
              <w:t xml:space="preserve">Проведено дійство засвічення головної новорічної ялинки міста, пряма трансляція якого відбувалася на ТРК «Аверс». </w:t>
            </w:r>
          </w:p>
          <w:p>
            <w:pPr>
              <w:pStyle w:val="Normal"/>
              <w:ind w:firstLine="510"/>
              <w:jc w:val="both"/>
              <w:textAlignment w:val="baseline"/>
              <w:rPr>
                <w:rFonts w:eastAsia="Times New Roman" w:cs="Times New Roman"/>
                <w:lang w:bidi="ar-SA"/>
              </w:rPr>
            </w:pPr>
            <w:r>
              <w:rPr>
                <w:rFonts w:eastAsia="Times New Roman" w:cs="Times New Roman" w:ascii="Times New Roman" w:hAnsi="Times New Roman"/>
                <w:sz w:val="27"/>
                <w:szCs w:val="27"/>
                <w:lang w:bidi="ar-SA"/>
              </w:rPr>
              <w:t>Спільно з Художнім музеєм Луцька започатковано проєкт «Луцьк</w:t>
            </w:r>
            <w:r>
              <w:rPr>
                <w:rFonts w:eastAsia="Times New Roman" w:cs="Times New Roman" w:ascii="Times New Roman" w:hAnsi="Times New Roman"/>
                <w:bCs/>
                <w:sz w:val="27"/>
                <w:szCs w:val="27"/>
                <w:lang w:bidi="ar-SA"/>
              </w:rPr>
              <w:t> ‒ </w:t>
            </w:r>
            <w:r>
              <w:rPr>
                <w:rFonts w:eastAsia="Times New Roman" w:cs="Times New Roman" w:ascii="Times New Roman" w:hAnsi="Times New Roman"/>
                <w:sz w:val="27"/>
                <w:szCs w:val="27"/>
                <w:lang w:bidi="ar-SA"/>
              </w:rPr>
              <w:t xml:space="preserve">місто Янголів». </w:t>
            </w:r>
          </w:p>
          <w:p>
            <w:pPr>
              <w:pStyle w:val="Normal"/>
              <w:ind w:firstLine="510"/>
              <w:jc w:val="both"/>
              <w:textAlignment w:val="baseline"/>
              <w:rPr>
                <w:rFonts w:eastAsia="Times New Roman" w:cs="Times New Roman"/>
                <w:lang w:bidi="ar-SA"/>
              </w:rPr>
            </w:pPr>
            <w:r>
              <w:rPr>
                <w:rFonts w:eastAsia="Times New Roman" w:cs="Times New Roman" w:ascii="Times New Roman" w:hAnsi="Times New Roman"/>
                <w:sz w:val="27"/>
                <w:szCs w:val="27"/>
                <w:lang w:bidi="ar-SA"/>
              </w:rPr>
              <w:t>Активно працюють з користувачами культурних послуг культурно-мистецький центр «Красне», де відбулося 189 заходів, будинок культури мікрорайону Вересневе (135 заходів), Теремнівський та Прилуцький будинки культури (109 заходів). 70 заходів підготували бібліотеки</w:t>
            </w:r>
            <w:r>
              <w:rPr>
                <w:rFonts w:eastAsia="Times New Roman" w:cs="Times New Roman" w:ascii="Times New Roman" w:hAnsi="Times New Roman"/>
                <w:bCs/>
                <w:sz w:val="27"/>
                <w:szCs w:val="27"/>
                <w:lang w:bidi="ar-SA"/>
              </w:rPr>
              <w:t> ‒ </w:t>
            </w:r>
            <w:r>
              <w:rPr>
                <w:rFonts w:eastAsia="Times New Roman" w:cs="Times New Roman" w:ascii="Times New Roman" w:hAnsi="Times New Roman"/>
                <w:sz w:val="27"/>
                <w:szCs w:val="27"/>
                <w:lang w:bidi="ar-SA"/>
              </w:rPr>
              <w:t xml:space="preserve">філії с. Прилуцьке та с. Дачне міської централізованої бібліотечної системи. Загальна сума видатків на організацію заходів – 1 966 098,0 грн. </w:t>
            </w:r>
          </w:p>
          <w:p>
            <w:pPr>
              <w:pStyle w:val="Normal"/>
              <w:ind w:firstLine="510"/>
              <w:jc w:val="both"/>
              <w:textAlignment w:val="baseline"/>
              <w:rPr>
                <w:rFonts w:eastAsia="Times New Roman" w:cs="Times New Roman"/>
                <w:lang w:bidi="ar-SA"/>
              </w:rPr>
            </w:pPr>
            <w:r>
              <w:rPr>
                <w:rFonts w:eastAsia="Times New Roman" w:cs="Times New Roman" w:ascii="Times New Roman" w:hAnsi="Times New Roman"/>
                <w:sz w:val="27"/>
                <w:szCs w:val="27"/>
                <w:lang w:bidi="ar-SA"/>
              </w:rPr>
              <w:t>У 2020 році кількість клубних формувань збільшилась на 4 одиниці (всього 58) у зв’язку із збільшенням мережі клубних закладів.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Облік та паспортизація об’єктів історико-культурної спадщини, проведення заходів щодо їх збереження та популяризації</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Протягом 2020 року укладено 25 охоронних договорів з користувачами пам’яток історико-культурної спадщини. Реалізовано проєкт «Тиждень відкритих пам’яток Луцька» до Міжнародного дня пам’яток і визначних місць та Дня пам’яток історії та культури. Працівники відділу охорони культурної спадщини долучалися до реалізації транскордонного проєкту Польща-Білорусь- Україна «Дві вежі», взяли участь у реалізації проєкту «Нове життя старого міста», проводили обстеження стану збереження та дотримання режимів використання об’єктів культурної спадщини, здійснювали інформування мешканців про нюанси збереження пам'яток (18 виступів у ЗМІ), підготовлено було пакет документів щодо внесення нових об'єктів у списку об'єктів культурної спадщини.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заходів міжнародного статусу, сприяння участі творчих колективів та окремих виконавців Луцької міської територіальної громади у міжнародних мистецьких заходах</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Проведено Міжнародний фестиваль «Різдво у Луцьку» за участі фольклорних колективів з Білорусі, Польщі, та регіонів України; декламаторський конкурс в рамках Українсько</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Польських зустрічей майстрів слова.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співпраці з Генеральним Консульством Польщі у Луцьку у Луцькій музичній школі №1 імені Фридерика Шопена реалізовано Міжнародний мистецький проєкт «Шопенівські читання», серед заходів якого</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виставка Кшиштофа Хейке під назвою «Шопенівський пейзаж» та концерт фортепіанної музики професорки Варшавського Музичного Університету імені Фридерика Шопена Марії Габрись-Хейке.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Реалізовано заходи грантового проєкту програми Посольства Федеративної Республіки Німеччина у місті Києві «Тижні Німеччини в Луцьку 2020: «Об’єднанні в Європі – 30 років Німецької єдності». У рамках Німецьких Тижнів проведено наступні заходи: бінаціональна фотовиставка «Вільна Європа», виставки творів німецьких художників України, документів та фотографій, конкурс-виставка дитячих художніх робіт, майстер-клас «Традиційна німецька вишивка», інструментальний музичний флешмоб, фотоквест та інші.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Творчі колективи музичної школи №1 взяли участь у ХІХ фестивалі колядок і щедрівок над Бугом (м. Влодава, Польща) та у заході «Вечір колядок та щедрівок» (м. Воля Ухруська, Польща).</w:t>
            </w:r>
            <w:r>
              <w:rPr>
                <w:rFonts w:eastAsia="Times New Roman" w:cs="Times New Roman" w:ascii="Times New Roman" w:hAnsi="Times New Roman"/>
                <w:sz w:val="27"/>
                <w:szCs w:val="27"/>
              </w:rPr>
              <w:t xml:space="preserve"> </w:t>
            </w:r>
            <w:r>
              <w:rPr>
                <w:rFonts w:cs="Times New Roman" w:ascii="Times New Roman" w:hAnsi="Times New Roman"/>
                <w:sz w:val="27"/>
                <w:szCs w:val="27"/>
              </w:rPr>
              <w:t>Зразковий аматорський ансамбль сучасного танцю «Антарес» культурно-мистецького центру «Красне» здобув перемогу у ІІ Міжнародному фестивалі-конкурсі мистецтв «Ровесник-2020», ІІІ Всеукраїнському хореографічному фестивалі-конкурсі дітей та молоді «Екзерсис-2020», ІІ Міжнародному дистанційному фестивалі - конкурсі «Таланти України», Всеукраїнському дистанційному фестивалі-конкурсі мистецтв «Атом добра та любові».</w:t>
            </w:r>
          </w:p>
          <w:p>
            <w:pPr>
              <w:pStyle w:val="Normal"/>
              <w:suppressAutoHyphens w:val="true"/>
              <w:snapToGrid w:val="false"/>
              <w:ind w:firstLine="567"/>
              <w:jc w:val="both"/>
              <w:textAlignment w:val="baseline"/>
              <w:rPr>
                <w:rFonts w:cs="Arial"/>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Творчі колективи музичних шкіл та більше 100 учнів мистецьких шкіл міста бради  участь у дистанційних міжнародних мистецьких конкурсах.</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Реалізація заходів у рамках Програми Ради Європи «Інтеркультурні міста»</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В рамках Програми «Інтеркультурні міста» у звітному році було проведено наступні заходи: історична година «Пам’ять про Голокост єврейського населення Волині» у Волинському краєзнавчому музеї; XIIІ Декламаторський конкурс польської поезії і прози; презентація казки про інклюзію у центральній бібліотеці для дітей; концерт до 210-ї річниці від дня народження польського композитора і піаніста Фридерика Шопена у музичній школі №1 імені Фридерика Шопена; участь у вебінарі з питань гентрифікації та взаємодії в громадському просторі за Програмою РЄ «Інтеркультурні міста» та участь міста Луцька в кампанії «Важливий кожен» за участі мерів міст ІСС до Міжнародного дня міграції; організовано та проведено серію тренінгів «Впровадження навичок інтеркультурної компетентності» для працівників виконавчих органів міської ради, громадських організацій та національних товариств; підготовлено інформацію для участі у дослідженні щодо</w:t>
            </w:r>
            <w:r>
              <w:rPr>
                <w:rFonts w:cs="Times New Roman" w:ascii="Times New Roman" w:hAnsi="Times New Roman"/>
                <w:sz w:val="27"/>
                <w:szCs w:val="27"/>
                <w:shd w:fill="FFFFFF" w:val="clear"/>
              </w:rPr>
              <w:t xml:space="preserve"> альтернативних наративів </w:t>
            </w:r>
            <w:r>
              <w:rPr>
                <w:rFonts w:cs="Times New Roman" w:ascii="Times New Roman" w:hAnsi="Times New Roman"/>
                <w:sz w:val="26"/>
                <w:szCs w:val="26"/>
                <w:shd w:fill="FFFFFF" w:val="clear"/>
              </w:rPr>
              <w:t>(</w:t>
            </w:r>
            <w:r>
              <w:rPr>
                <w:rFonts w:cs="Times New Roman" w:ascii="Times New Roman" w:hAnsi="Times New Roman"/>
                <w:sz w:val="26"/>
                <w:szCs w:val="26"/>
                <w:highlight w:val="white"/>
              </w:rPr>
              <w:t xml:space="preserve">сукупність пов'язаних між собою реальних чи вигаданих подій, фактів або вражень) </w:t>
            </w:r>
            <w:r>
              <w:rPr>
                <w:rFonts w:cs="Times New Roman" w:ascii="Times New Roman" w:hAnsi="Times New Roman"/>
                <w:sz w:val="26"/>
                <w:szCs w:val="26"/>
                <w:shd w:fill="FFFFFF" w:val="clear"/>
              </w:rPr>
              <w:t xml:space="preserve"> пов’язаних з інтеркуль</w:t>
            </w:r>
            <w:r>
              <w:rPr>
                <w:rFonts w:cs="Times New Roman" w:ascii="Times New Roman" w:hAnsi="Times New Roman"/>
                <w:sz w:val="27"/>
                <w:szCs w:val="27"/>
                <w:shd w:fill="FFFFFF" w:val="clear"/>
              </w:rPr>
              <w:t>турною комунікацією;. виготовлено соціальний відеоролик «Я пишаюсь с</w:t>
            </w:r>
            <w:r>
              <w:rPr>
                <w:rFonts w:cs="Times New Roman" w:ascii="Times New Roman" w:hAnsi="Times New Roman"/>
                <w:sz w:val="27"/>
                <w:szCs w:val="27"/>
              </w:rPr>
              <w:t>воїм інтеркультурним містом» до Міжнародного дня мігрантів.</w:t>
            </w:r>
          </w:p>
        </w:tc>
      </w:tr>
      <w:tr>
        <w:trPr>
          <w:trHeight w:val="453" w:hRule="atLeast"/>
        </w:trPr>
        <w:tc>
          <w:tcPr>
            <w:tcW w:w="56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Створення презентаційно-промоційних матеріалів про культурний потенціал Луцької міської територіальної громади</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6192"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Створено вебсайти мистецьких шкіл, оновлено вебсайт Палацу культури. Створено онлайн платформу #Culture_online, «Фейсбук»–спільноту #культурабезкарантину, #бібліотекабезкарантину. Виготовлено презентаційний альбом творів учасників мистецького об’єднання «Куля» «Мовчання – золото»; промоційний відеоролик Міжнародного етнофестивалю «Різдво у Луцьку», відеопрезентацію «Культурно-мистецькі події 2018-2020». </w:t>
            </w:r>
          </w:p>
          <w:p>
            <w:pPr>
              <w:pStyle w:val="Normal"/>
              <w:tabs>
                <w:tab w:val="clear" w:pos="709"/>
                <w:tab w:val="left" w:pos="6192"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Підготовлено буклети за результатами мистецької рейтингової акції «Овація», виставки творчих робіт викладачів школи «Осіння палітра», проєкту мистецького об’єднання «10 платформа» «Графіка в межах міста»,  виставки «Палітра мрій» до 25-річчя творчості художниці Тетяни Мялковської. </w:t>
            </w:r>
          </w:p>
        </w:tc>
      </w:tr>
      <w:tr>
        <w:trPr>
          <w:trHeight w:val="453" w:hRule="atLeast"/>
        </w:trPr>
        <w:tc>
          <w:tcPr>
            <w:tcW w:w="56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Залучення громадських осередків сфери культури до реалізації спільних культурно-мистецьких проєктів, підтримка творчих ініціатив</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6192"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У рамках співпраці з громадськими організаціями сектору культури, окремими митцями, реалізовано авторські проєкти співачки Т. Ціхоцької «Коляда з Тетяною Ціхоцькою» та вокальний конкурс «Зимова казка», художниці Т. Мялковської «проСвіт» та «Палітра мрій». </w:t>
            </w:r>
          </w:p>
          <w:p>
            <w:pPr>
              <w:pStyle w:val="Normal"/>
              <w:tabs>
                <w:tab w:val="clear" w:pos="709"/>
                <w:tab w:val="left" w:pos="6192" w:leader="none"/>
              </w:tabs>
              <w:suppressAutoHyphens w:val="true"/>
              <w:snapToGrid w:val="false"/>
              <w:ind w:firstLine="567"/>
              <w:jc w:val="both"/>
              <w:textAlignment w:val="baseline"/>
              <w:rPr>
                <w:rFonts w:cs="Arial"/>
              </w:rPr>
            </w:pPr>
            <w:r>
              <w:rPr>
                <w:rFonts w:cs="Times New Roman" w:ascii="Times New Roman" w:hAnsi="Times New Roman"/>
                <w:sz w:val="27"/>
                <w:szCs w:val="27"/>
              </w:rPr>
              <w:t>Спільно з громадськими організаціями «Волинський оберіг» та «Рукотвори Волині» реалізовано проєкти «Різдвяна майстерня», «Великодня майстерня», проведено ярмарки</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презентації народних ремесел в рамках заходів з відзначення Дня незалежності України, Дня міста. </w:t>
            </w:r>
          </w:p>
          <w:p>
            <w:pPr>
              <w:pStyle w:val="Normal"/>
              <w:tabs>
                <w:tab w:val="clear" w:pos="709"/>
                <w:tab w:val="left" w:pos="6192"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ГО «Товариство німців Волині» долучалися до проведення заходів в межах Тижнів Німеччини в Луцьку. </w:t>
            </w:r>
          </w:p>
          <w:p>
            <w:pPr>
              <w:pStyle w:val="Normal"/>
              <w:tabs>
                <w:tab w:val="clear" w:pos="709"/>
                <w:tab w:val="left" w:pos="6192" w:leader="none"/>
              </w:tabs>
              <w:suppressAutoHyphens w:val="true"/>
              <w:snapToGrid w:val="false"/>
              <w:ind w:firstLine="567"/>
              <w:jc w:val="both"/>
              <w:textAlignment w:val="baseline"/>
              <w:rPr>
                <w:rFonts w:cs="Arial"/>
              </w:rPr>
            </w:pPr>
            <w:r>
              <w:rPr>
                <w:rFonts w:cs="Times New Roman" w:ascii="Times New Roman" w:hAnsi="Times New Roman"/>
                <w:sz w:val="27"/>
                <w:szCs w:val="27"/>
              </w:rPr>
              <w:t>У заходах з відзначення 935-ї річниці міста Луцька взяли участь творчі колективи товариства польської культури ім. Тадеуша Костюшка, товариства чехів «Матіце Волинська», товариства німців Волині та Центру культури вірмен Волині «ЛОРИ БЕРД». Відбулося ряд фестивалів, зокрема: фестиваль вуличної культури «Ігоп Сitу» (ініціатор - ГО «АйронСіті»), фестиваль авторської пісні, фото та кіно «Вітрила пригод» (ініціатор - ГО «Волинський туристичний клуб «Ми»), Міжнародний літературний фестиваль «Фронтера» (ініціатор - ГО «стендаЛь») та інші.</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2.7. Туризм</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Розробка та виготовлення промоційної поліграфічної та сувенірної продукції, створення промороликів про Луцьку міську територіальну громаду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624"/>
              <w:jc w:val="both"/>
              <w:textAlignment w:val="baseline"/>
              <w:rPr>
                <w:rFonts w:cs="Arial"/>
              </w:rPr>
            </w:pPr>
            <w:r>
              <w:rPr>
                <w:rFonts w:cs="Times New Roman" w:ascii="Times New Roman" w:hAnsi="Times New Roman"/>
                <w:sz w:val="27"/>
                <w:szCs w:val="27"/>
              </w:rPr>
              <w:t>У 2020 році виготовлено сувенірну та поліграфічну продукцію: «календар подій» (1000 шт.), постери (9 шт.), кулькові ручки з логотипом (200 шт.), банери (9 шт.), сітілайти для соціальної реклами (6 шт.), карти-схеми Луцька (5000 шт.), інформаційна табличка «Пашквіль», календарі на 2021 рік (1300 шт.), табличка для ознакування трилінки, табличка для ознакування пам'ятника Анні Київській (2 шт.), банер з нагоди відзначення 935</w:t>
            </w:r>
            <w:r>
              <w:rPr>
                <w:rFonts w:eastAsia="Times New Roman" w:cs="Times New Roman" w:ascii="Times New Roman" w:hAnsi="Times New Roman"/>
                <w:bCs/>
                <w:sz w:val="27"/>
                <w:szCs w:val="27"/>
              </w:rPr>
              <w:t> ‒ </w:t>
            </w:r>
            <w:r>
              <w:rPr>
                <w:rFonts w:cs="Times New Roman" w:ascii="Times New Roman" w:hAnsi="Times New Roman"/>
                <w:sz w:val="27"/>
                <w:szCs w:val="27"/>
              </w:rPr>
              <w:t>річчя Луцька, банер з нагоди Різдва Христового та Нового року, листівки з нагоди відзначення 935</w:t>
            </w:r>
            <w:r>
              <w:rPr>
                <w:rFonts w:eastAsia="Times New Roman" w:cs="Times New Roman" w:ascii="Times New Roman" w:hAnsi="Times New Roman"/>
                <w:bCs/>
                <w:sz w:val="27"/>
                <w:szCs w:val="27"/>
              </w:rPr>
              <w:t> ‒ </w:t>
            </w:r>
            <w:r>
              <w:rPr>
                <w:rFonts w:cs="Times New Roman" w:ascii="Times New Roman" w:hAnsi="Times New Roman"/>
                <w:sz w:val="27"/>
                <w:szCs w:val="27"/>
              </w:rPr>
              <w:t>річчя Луцька (1000 шт.), закладки в книги (1800 шт.), сітілайти (10 шт.), настільна гра «Луцький Пан» (15 шт.).</w:t>
            </w:r>
          </w:p>
          <w:p>
            <w:pPr>
              <w:pStyle w:val="Normal"/>
              <w:suppressAutoHyphens w:val="true"/>
              <w:snapToGrid w:val="false"/>
              <w:ind w:firstLine="624"/>
              <w:jc w:val="both"/>
              <w:textAlignment w:val="baseline"/>
              <w:rPr>
                <w:rFonts w:cs="Arial"/>
              </w:rPr>
            </w:pPr>
            <w:r>
              <w:rPr>
                <w:rFonts w:cs="Times New Roman" w:ascii="Times New Roman" w:hAnsi="Times New Roman"/>
                <w:sz w:val="27"/>
                <w:szCs w:val="27"/>
              </w:rPr>
              <w:t xml:space="preserve">До відзначення Всесвітнього дня туризму було створено та презентовано новий проморолик «Луцьк – серце Волині». </w:t>
            </w:r>
          </w:p>
          <w:p>
            <w:pPr>
              <w:pStyle w:val="Normal"/>
              <w:suppressAutoHyphens w:val="true"/>
              <w:snapToGrid w:val="false"/>
              <w:ind w:firstLine="624"/>
              <w:jc w:val="both"/>
              <w:textAlignment w:val="baseline"/>
              <w:rPr>
                <w:rFonts w:cs="Arial"/>
              </w:rPr>
            </w:pPr>
            <w:r>
              <w:rPr>
                <w:rFonts w:cs="Times New Roman" w:ascii="Times New Roman" w:hAnsi="Times New Roman"/>
                <w:sz w:val="27"/>
                <w:szCs w:val="27"/>
              </w:rPr>
              <w:t xml:space="preserve">Відновлено та встановлено знищені інформаційні таблиці до історичних пам'яток міста, стрілки, які показують напрямок до визначних місць міста Луцька. </w:t>
            </w:r>
          </w:p>
          <w:p>
            <w:pPr>
              <w:pStyle w:val="Normal"/>
              <w:suppressAutoHyphens w:val="true"/>
              <w:snapToGrid w:val="false"/>
              <w:ind w:firstLine="624"/>
              <w:jc w:val="both"/>
              <w:textAlignment w:val="baseline"/>
              <w:rPr>
                <w:rFonts w:cs="Arial"/>
              </w:rPr>
            </w:pPr>
            <w:r>
              <w:rPr>
                <w:rFonts w:cs="Times New Roman" w:ascii="Times New Roman" w:hAnsi="Times New Roman"/>
                <w:sz w:val="27"/>
                <w:szCs w:val="27"/>
              </w:rPr>
              <w:t>Презентовано книгу Петра Троневича «Оповідання з давньої історії Луцька» шрифтом Брайля. Розроблено та втілено ідею тематичного календаря до відзначення 150 річниці від дня народження Лесі Українки, святкового банера до 935-ї річниці  міста Луцька та новорічно</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різдвяних свят.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Розробка Стратегії туристичного розвитку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624"/>
              <w:jc w:val="both"/>
              <w:textAlignment w:val="baseline"/>
              <w:rPr>
                <w:rFonts w:ascii="Times New Roman" w:hAnsi="Times New Roman" w:cs="Times New Roman"/>
                <w:sz w:val="27"/>
                <w:szCs w:val="27"/>
              </w:rPr>
            </w:pPr>
            <w:r>
              <w:rPr>
                <w:rFonts w:cs="Times New Roman" w:ascii="Times New Roman" w:hAnsi="Times New Roman"/>
                <w:sz w:val="27"/>
                <w:szCs w:val="27"/>
              </w:rPr>
              <w:t xml:space="preserve">Розробку Стратегії туристичного розвитку Луцької міської територіальної громади, у зв'язку з недостатнім фінансуванням, перенесено на 2022 рік.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Участь у міжнародних та національних туристичних виставках, форумах, конференціях, семінарах та представлення туристичного потенціалу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З метою представлення туристичного потенціалу міста працівники управління туризму міської ради брали участь у міжнародній туристичній виставці «ADVENTUR 2020» у м. Вільнюс (Литва), форумі гідів у місті Львів, практичному семінарі з презентації результатів дослідження князівського роду Сангушків у м. Хелм (Республіка Польща), онлайн конференції «Продюсування культурних та туристичних ініціатив, культурний менеджмент», онлайн конференції «Маркетинговий менеджмент», онлайн презентації ініціативи «Міста України - відновимо український туризм разом», онлайн конференції «FlixBus відкриває три нові лінії в Україні».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 xml:space="preserve">Організація та проведення престурів для вітчизняних та закордонних засобів масової інформації, блогерів, фамтурів для У зв'язку з карантином, запровадженим з метою запобігання поширенню вірусу COVID-19, проведення прес-турів для вітчизняних та закордонних засобів масової інформації, блогерів, фамтурів для туристичних операторів не проводились. туристичних операторів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Проведення прес-турів для вітчизняних та закордонних засобів масової інформації, блогерів, фамтурів для туристичних операторів не було здійснено у зв'язку з карантинними заходами, які запроваджено з метою запобігання поширенню вірусу COVID-19. </w:t>
            </w:r>
          </w:p>
        </w:tc>
      </w:tr>
      <w:tr>
        <w:trPr>
          <w:trHeight w:val="102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Підтримка і розвиток проєкту «Луцький кликун»</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510"/>
              <w:jc w:val="both"/>
              <w:textAlignment w:val="baseline"/>
              <w:rPr>
                <w:rFonts w:ascii="Times New Roman" w:hAnsi="Times New Roman" w:cs="Times New Roman"/>
                <w:sz w:val="27"/>
                <w:szCs w:val="27"/>
              </w:rPr>
            </w:pPr>
            <w:r>
              <w:rPr>
                <w:rFonts w:cs="Times New Roman" w:ascii="Times New Roman" w:hAnsi="Times New Roman"/>
                <w:sz w:val="27"/>
                <w:szCs w:val="27"/>
              </w:rPr>
              <w:t xml:space="preserve">Щодня протягом туристичного літнього сезону з В'їзної вежі Луцького замку відбувався ритуал сурмління та проголошення кликуном важливих для міста подій. Виготовлено артистичне взуття для Луцького кликуна. В рамках реалізації проєкту «Луцький кликун» встановили дві міні-скульптури кликунів. </w:t>
            </w:r>
          </w:p>
        </w:tc>
      </w:tr>
      <w:tr>
        <w:trPr>
          <w:trHeight w:val="32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Розміщення інформаційно-промоційних статей про Луцьку міську територіальну громаду у спеціалізованих виданнях</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510"/>
              <w:jc w:val="both"/>
              <w:textAlignment w:val="baseline"/>
              <w:rPr>
                <w:rFonts w:cs="Arial"/>
              </w:rPr>
            </w:pPr>
            <w:r>
              <w:rPr>
                <w:rFonts w:cs="Times New Roman" w:ascii="Times New Roman" w:hAnsi="Times New Roman"/>
                <w:sz w:val="27"/>
                <w:szCs w:val="27"/>
              </w:rPr>
              <w:t xml:space="preserve">Підготовлено та розміщено промоційні статті в газеті «День», на вебпорталі «Zruchno.Travel», в соціальній мережі «Фейсбук» та «Інстограм» а також на туристичних сайтах міст Київ, Одеса, Кам'янець-Подільський, інтернетпорталах «Discover Destination UA», «Bigmedia», www.life.pravda.com.ua. </w:t>
            </w:r>
          </w:p>
        </w:tc>
      </w:tr>
      <w:tr>
        <w:trPr>
          <w:trHeight w:val="799"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Проведення заходів з підготовки, перепідготовки та підвищення кваліфікації екскурсоводів та гідів-перекладачів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540"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Проведення заходів з підготовки, перепідготовки та підвищення кваліфікації екскурсоводів та гідів-перекладачів у звітному періоді не проводилися у зв’язку із пандемією коронавірусу . </w:t>
            </w:r>
          </w:p>
        </w:tc>
      </w:tr>
      <w:tr>
        <w:trPr>
          <w:trHeight w:val="130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Проведення семінарів для представників готельного та ресторанного бізнесу із залученням експертів національного та міжнародного рівня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540" w:leader="none"/>
              </w:tabs>
              <w:suppressAutoHyphens w:val="true"/>
              <w:snapToGrid w:val="false"/>
              <w:ind w:firstLine="494"/>
              <w:jc w:val="both"/>
              <w:textAlignment w:val="baseline"/>
              <w:rPr>
                <w:rFonts w:ascii="Times New Roman" w:hAnsi="Times New Roman" w:cs="Times New Roman"/>
                <w:sz w:val="27"/>
                <w:szCs w:val="27"/>
              </w:rPr>
            </w:pPr>
            <w:r>
              <w:rPr>
                <w:rFonts w:cs="Times New Roman" w:ascii="Times New Roman" w:hAnsi="Times New Roman"/>
                <w:sz w:val="27"/>
                <w:szCs w:val="27"/>
              </w:rPr>
              <w:t>Проведення семінарів для представників готельного та ресторанного бізнесу із залученням експертів національного та міжнародного рівня у звітному періоді не проводилися у зв’язку із пандемією коронавірусу.</w:t>
            </w:r>
          </w:p>
        </w:tc>
      </w:tr>
      <w:tr>
        <w:trPr>
          <w:trHeight w:val="1819"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highlight w:val="white"/>
              </w:rPr>
              <w:t>Проведення заходів в рамках промоції події 1429 року </w:t>
            </w:r>
            <w:r>
              <w:rPr>
                <w:rFonts w:cs="Times New Roman" w:ascii="Times New Roman" w:hAnsi="Times New Roman"/>
                <w:b/>
                <w:bCs/>
                <w:sz w:val="27"/>
                <w:szCs w:val="27"/>
                <w:highlight w:val="white"/>
              </w:rPr>
              <w:t>- </w:t>
            </w:r>
            <w:r>
              <w:rPr>
                <w:rFonts w:cs="Times New Roman" w:ascii="Times New Roman" w:hAnsi="Times New Roman"/>
                <w:sz w:val="27"/>
                <w:szCs w:val="27"/>
                <w:highlight w:val="white"/>
              </w:rPr>
              <w:t>З’їзду європейських монархів у місті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494"/>
              <w:jc w:val="both"/>
              <w:textAlignment w:val="baseline"/>
              <w:rPr>
                <w:rFonts w:cs="Arial"/>
              </w:rPr>
            </w:pPr>
            <w:r>
              <w:rPr>
                <w:rFonts w:cs="Times New Roman" w:ascii="Times New Roman" w:hAnsi="Times New Roman"/>
                <w:sz w:val="27"/>
                <w:szCs w:val="27"/>
              </w:rPr>
              <w:t xml:space="preserve">Відбулось засідання організаційного комітету з метою підведення підсумків відзначення                 590-ої річниці з'їзду європейських монархів у Луцьку та початком роботи над концепцією відзначення 600-ої річниці даної події. Було проведено публічні лекції на теми: «Луцький з'їзд європейських володарів 1429 рік: задум і втілення», «Наслідки Луцького з’їзду або чим завершились коронаційні змагання 1429 - 1430 рр.», «З'їзд чи конгрес: що насправді відбувалось у Луцьку в січні 1429 року». </w:t>
            </w:r>
          </w:p>
          <w:p>
            <w:pPr>
              <w:pStyle w:val="Normal"/>
              <w:widowControl w:val="false"/>
              <w:suppressAutoHyphens w:val="true"/>
              <w:snapToGrid w:val="false"/>
              <w:ind w:firstLine="494"/>
              <w:jc w:val="both"/>
              <w:textAlignment w:val="baseline"/>
              <w:rPr>
                <w:rFonts w:cs="Arial"/>
              </w:rPr>
            </w:pPr>
            <w:r>
              <w:rPr>
                <w:rFonts w:cs="Times New Roman" w:ascii="Times New Roman" w:hAnsi="Times New Roman"/>
                <w:sz w:val="27"/>
                <w:szCs w:val="27"/>
              </w:rPr>
              <w:t xml:space="preserve">З нагоди відзначення Дня міста у сквері на просп. Волі, 3 відбулося відкриття пам'ятника Анні Київській. </w:t>
            </w:r>
          </w:p>
        </w:tc>
      </w:tr>
      <w:tr>
        <w:trPr>
          <w:trHeight w:val="1819"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Arial"/>
              </w:rPr>
              <w:t>10.</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 xml:space="preserve">Проведення спільних заходів та акцій, реалізація проєктів з навчальними закладами, музеями Луцької міської територіальної громади.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352"/>
              <w:jc w:val="both"/>
              <w:textAlignment w:val="baseline"/>
              <w:rPr>
                <w:rFonts w:cs="Arial"/>
              </w:rPr>
            </w:pPr>
            <w:r>
              <w:rPr>
                <w:rFonts w:cs="Times New Roman" w:ascii="Times New Roman" w:hAnsi="Times New Roman"/>
                <w:sz w:val="27"/>
                <w:szCs w:val="27"/>
              </w:rPr>
              <w:t xml:space="preserve">Спільно з Волинським краєзнавчим музеєм було розроблено дизайн настільного та настінного календарів на 2021 рік, приурочений 150 річниці від дня народження Лесі Українки. В його оформленні було використано ілюстрації художниці Софії Караффи-Корбут, оригінали яких зберігаються у Колодяжненському літературно-меморіальному музеї Лесі Українки. </w:t>
            </w:r>
          </w:p>
        </w:tc>
      </w:tr>
    </w:tbl>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cs="Arial"/>
        </w:rPr>
      </w:pPr>
      <w:r>
        <w:rPr>
          <w:rFonts w:cs="Times New Roman" w:ascii="Times New Roman" w:hAnsi="Times New Roman"/>
          <w:b/>
          <w:sz w:val="27"/>
          <w:szCs w:val="27"/>
        </w:rPr>
        <w:t>2.8. Фізична культура та спорт</w:t>
      </w:r>
    </w:p>
    <w:tbl>
      <w:tblPr>
        <w:tblW w:w="15875"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7"/>
      </w:tblGrid>
      <w:tr>
        <w:trPr>
          <w:trHeight w:val="20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spacing w:val="-4"/>
              </w:rPr>
            </w:pPr>
            <w:r>
              <w:rPr>
                <w:rFonts w:cs="Times New Roman" w:ascii="Times New Roman" w:hAnsi="Times New Roman"/>
                <w:spacing w:val="-4"/>
                <w:sz w:val="27"/>
                <w:szCs w:val="27"/>
              </w:rPr>
              <w:t>Проведення заходів міжрегіонального та міжнародного рівня у галузі фізичної культури та спорту</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spacing w:val="-4"/>
              </w:rPr>
            </w:pPr>
            <w:r>
              <w:rPr>
                <w:rFonts w:cs="Times New Roman" w:ascii="Times New Roman" w:hAnsi="Times New Roman"/>
                <w:spacing w:val="-4"/>
                <w:sz w:val="27"/>
                <w:szCs w:val="27"/>
              </w:rPr>
              <w:t>У 2020 році проведено 139 заходів на загальну суму 851,1 тис. грн (міжнародний футбольний турнір на кубок ФК «Адреналін» серед дітей «Аdrenalin Christmas Cup 2020», всеукраїнський турнір з гандболу «Lutsk open 2020 серед юнаків, ХVІІІ всеукраїнський турнір з дзюдо пам’яті загиблих воїнів-афганців, всеукраїнський турнір з сумо «Кубок Любарта», турнір з футзалу серед ветеранів пам’яті Миколи Романюка, ІХ всеукраїнський волейбольний турнір пам’яті Сергія Семенюка, VІ міжнародний турнір з козацького двобою «PRIDE-2020, Міжнародні змагання з легкої атлетики зі спортивної ходьби «Луцька десятка» серед дорослих та юніорів; турнір з волейболу пам’яті Олексія Веремійчика; ХІ Всеукраїнський дитячо-юнацький турнір з рукопашного бою «Магістр бойових мистецтв» та інші).</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spacing w:val="-4"/>
              </w:rPr>
            </w:pPr>
            <w:r>
              <w:rPr>
                <w:rFonts w:cs="Times New Roman" w:ascii="Times New Roman" w:hAnsi="Times New Roman"/>
                <w:spacing w:val="-4"/>
                <w:sz w:val="27"/>
                <w:szCs w:val="27"/>
              </w:rPr>
              <w:t>Проведення фізкультурно-оздоровчих та спортивно-масових заходів з різних видів спорту серед усіх верств населення</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spacing w:val="-4"/>
              </w:rPr>
            </w:pPr>
            <w:r>
              <w:rPr>
                <w:rFonts w:cs="Times New Roman" w:ascii="Times New Roman" w:hAnsi="Times New Roman"/>
                <w:spacing w:val="-4"/>
                <w:sz w:val="27"/>
                <w:szCs w:val="27"/>
              </w:rPr>
              <w:t>У 2020 році  КЗ «Луцький МЦФЗН «Спорт для всіх»» проведено 406 заходів (11028 учасників) на загальну суму 78,4 тис. грн (загальноміська акція «Ранкова гімнастика для всіх», фестивалі спорту в різних мікрорайонах міста за місцем проживання, спортивно-масові заходи в рамках акції «Спортивна зима», турніри з шахів та шашок, міський фестиваль «Мама, тато, я – спортивна сім’я», змагання з дартсу, турнір з міні-футболу «Весняний кубок-2020», Фестиваль «Спортивна сім'я» серед сімей, де є діти з особливими потребами, з нагоди Міжнародного дня захисту дітей, турнір з міні-футболу «Дворова ліга-2020» серед дорослих команд та ін.</w:t>
            </w:r>
          </w:p>
        </w:tc>
      </w:tr>
      <w:tr>
        <w:trPr>
          <w:trHeight w:val="226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spacing w:val="-4"/>
              </w:rPr>
            </w:pPr>
            <w:r>
              <w:rPr>
                <w:rFonts w:cs="Times New Roman" w:ascii="Times New Roman" w:hAnsi="Times New Roman"/>
                <w:spacing w:val="-4"/>
                <w:sz w:val="27"/>
                <w:szCs w:val="27"/>
              </w:rPr>
              <w:t>Забезпечення участі спортсменів та збірних команд Луцької міської територіальної громади у змаганнях різного рівня, підтримка обдарованих спортсменів</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spacing w:val="-4"/>
              </w:rPr>
            </w:pPr>
            <w:r>
              <w:rPr>
                <w:rFonts w:cs="Times New Roman" w:ascii="Times New Roman" w:hAnsi="Times New Roman"/>
                <w:spacing w:val="-4"/>
                <w:sz w:val="27"/>
                <w:szCs w:val="27"/>
              </w:rPr>
              <w:t>У 2020 році збірні команди міста Луцька прийняли участь у 18 змаганнях різного рівня, на що було витрачено 67,8 тис. грн бюджетних коштів (ХVІІІ Всеукраїнського турнір з дзюдо пам’яті загиблих воїнів-афганців інтернаціоналістів, турнір з сумо «Кубок Любарта», відкритий кубок Рівненської області кіокушинкай карате, відкритий чемпіонат Волинської області з тхеквондо (ВТФ) у розділі «керугі» та «пумсе» серед дорослих, юніорів, кадетів, юнаків, молодших юнаків, дітей, змагання за програмою обласної спартакіади «Волинь спортивна – 2020» з тенісу настільного, легкої атлетики, гімнастики художньої та ін).</w:t>
            </w:r>
          </w:p>
          <w:p>
            <w:pPr>
              <w:pStyle w:val="Normal"/>
              <w:suppressAutoHyphens w:val="true"/>
              <w:snapToGrid w:val="false"/>
              <w:ind w:firstLine="567"/>
              <w:jc w:val="both"/>
              <w:textAlignment w:val="baseline"/>
              <w:rPr>
                <w:rFonts w:cs="Arial"/>
                <w:spacing w:val="-4"/>
              </w:rPr>
            </w:pPr>
            <w:r>
              <w:rPr>
                <w:rFonts w:cs="Times New Roman" w:ascii="Times New Roman" w:hAnsi="Times New Roman"/>
                <w:spacing w:val="-4"/>
                <w:sz w:val="27"/>
                <w:szCs w:val="27"/>
              </w:rPr>
              <w:t xml:space="preserve">Виплачено щомісячні стипендії 20 кращим спортсменам міста на загальну суму                            768,0 тис. грн та одноразові грошові винагороди – 311,718 тис. грн </w:t>
            </w:r>
          </w:p>
        </w:tc>
      </w:tr>
      <w:tr>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spacing w:val="-4"/>
              </w:rPr>
            </w:pPr>
            <w:r>
              <w:rPr>
                <w:rFonts w:cs="Times New Roman" w:ascii="Times New Roman" w:hAnsi="Times New Roman"/>
                <w:spacing w:val="-4"/>
                <w:sz w:val="27"/>
                <w:szCs w:val="27"/>
              </w:rPr>
              <w:t>Модернізація, реконструкція, капітальні ремонти та будівництво спортивних об’єктів та інших видів робіт (за місцем проживання та у місцях масового відпочинку)</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spacing w:val="-4"/>
              </w:rPr>
            </w:pPr>
            <w:r>
              <w:rPr>
                <w:rFonts w:cs="Times New Roman" w:ascii="Times New Roman" w:hAnsi="Times New Roman"/>
                <w:spacing w:val="-4"/>
                <w:sz w:val="27"/>
                <w:szCs w:val="27"/>
              </w:rPr>
              <w:t>У звітному році проведено капітальний ремонт спортивних майданчиків на:  просп. Соборності, 25б (987,4 тис. грн), вул. Володимирська, 95а (924,6 тис. грн), вул. Гордіюк, 43/45 (890,9 тис. грн), та на просп. Молоді, 4 (673,6 тис. грн). Також було</w:t>
            </w:r>
            <w:r>
              <w:rPr>
                <w:rFonts w:cs="Times New Roman" w:ascii="Times New Roman" w:hAnsi="Times New Roman"/>
                <w:spacing w:val="-4"/>
                <w:sz w:val="27"/>
                <w:szCs w:val="27"/>
                <w:highlight w:val="white"/>
              </w:rPr>
              <w:t xml:space="preserve"> встановлено глядацькі сидіння на суму 130,7 тис. грн на мультифункціональному спортивному майданчику для занять та змагань з баскетболу на вул. Глушець.</w:t>
            </w:r>
          </w:p>
        </w:tc>
      </w:tr>
    </w:tbl>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2.9. Охорона навколишнього природного середовища</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27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Відновлення і підтримка сприятливого гідрологічного режиму, санітарного стану благоустрою річок, створення водоохоронних зон</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ascii="Times New Roman" w:hAnsi="Times New Roman" w:cs="Times New Roman"/>
                <w:bCs/>
                <w:sz w:val="27"/>
                <w:szCs w:val="27"/>
              </w:rPr>
            </w:pPr>
            <w:r>
              <w:rPr>
                <w:rFonts w:cs="Times New Roman" w:ascii="Times New Roman" w:hAnsi="Times New Roman"/>
                <w:bCs/>
                <w:sz w:val="27"/>
                <w:szCs w:val="27"/>
              </w:rPr>
              <w:t>Виконувалися роботи з розчистки русла р. Стир від повалених, аварійних дерев. Вартість робіт склала 550,0 тис. грн.</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ascii="Times New Roman" w:hAnsi="Times New Roman" w:cs="Times New Roman"/>
                <w:bCs/>
                <w:sz w:val="27"/>
                <w:szCs w:val="27"/>
              </w:rPr>
            </w:pPr>
            <w:r>
              <w:rPr>
                <w:rFonts w:cs="Times New Roman" w:ascii="Times New Roman" w:hAnsi="Times New Roman"/>
                <w:bCs/>
                <w:sz w:val="27"/>
                <w:szCs w:val="27"/>
              </w:rPr>
            </w:r>
          </w:p>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Очищення русла річки Стир від повалених дерев, догляд за прибережною захисною смугою з метою покращення гідрологічного режиму та санітарного стану річки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Очищено русло р. Стир від повалених та аварійних дерев на проміжку від вул. Яровиця до моста с. Рованці. Роботи проведено ПП «Річковий порт Луцьк» на суму 518,9 тис. грн.</w:t>
            </w:r>
          </w:p>
        </w:tc>
      </w:tr>
      <w:tr>
        <w:trPr>
          <w:trHeight w:val="2611"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Утримання в належному стані прибережних захисних смуг та русел малих річок (Сапалаївка, Жидувка, Омеляник) в межах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Проведено викошування бур’янів та розчистку прибережної смуги р. Жидувка та р. Сапалаївка ПП «Центр-Буд» на загальну суму 24,5 тис. грн, укладено договір з фізичною особою (Рубан О.М.) на надання послуг з викошування борщівника на суму 10,0 тис. грн, та договір з НПП «Прип'ять-Стохід» на суму 42,0 тис. грн. Проведено очищення меліоративних каналів Центрального парку імені Лесі Українки від водної рослинності. В рамках загальноміських толок очищено від заторів, побутового сміття, сухого гілля прибережну захисну смугу річок</w:t>
            </w:r>
            <w:r>
              <w:rPr>
                <w:rFonts w:cs="Times New Roman" w:ascii="Times New Roman" w:hAnsi="Times New Roman"/>
                <w:sz w:val="27"/>
                <w:szCs w:val="27"/>
              </w:rPr>
              <w:t xml:space="preserve"> протяжністю близько 12,0 км.</w:t>
            </w:r>
            <w:r>
              <w:rPr>
                <w:rFonts w:cs="Times New Roman" w:ascii="Times New Roman" w:hAnsi="Times New Roman"/>
                <w:bCs/>
                <w:sz w:val="27"/>
                <w:szCs w:val="27"/>
              </w:rPr>
              <w:t xml:space="preserve"> </w:t>
            </w:r>
          </w:p>
        </w:tc>
      </w:tr>
      <w:tr>
        <w:trPr>
          <w:trHeight w:val="161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Відновлення гідрологічного режиму та санітарного стану заплави р.Стир в районі вулиці Гнідавська-Ковельська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В поточному році роботи з відновлення гідрологічного режиму та санітарного стану заплави р. Стир в районі вулиць Гнідавська-Ковельська не виконувались через відсутність фінансування. </w:t>
            </w:r>
          </w:p>
        </w:tc>
      </w:tr>
      <w:tr>
        <w:trPr>
          <w:trHeight w:val="136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Відновлення гідрологічного режиму та санітарного стану р. Жидувка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ascii="Times New Roman" w:hAnsi="Times New Roman" w:cs="Times New Roman"/>
                <w:bCs/>
                <w:sz w:val="27"/>
                <w:szCs w:val="27"/>
              </w:rPr>
            </w:pPr>
            <w:r>
              <w:rPr>
                <w:rFonts w:cs="Times New Roman" w:ascii="Times New Roman" w:hAnsi="Times New Roman"/>
                <w:bCs/>
                <w:sz w:val="27"/>
                <w:szCs w:val="27"/>
              </w:rPr>
              <w:t>В рамках загальноміських толок, які проходили 05 та 13 червня поточного року впорядковано частину заплави р. Жидувка. Прибрано ділянки від побутового сміття, викошено бур’яни, очищено від порослі та самонасіву на площі близько 4,0 га.</w:t>
            </w:r>
          </w:p>
        </w:tc>
      </w:tr>
      <w:tr>
        <w:trPr>
          <w:trHeight w:val="96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Реконструкція біологічних ставків на каналізаційно-очисних спорудах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Реконструкцію біологічних ставків на каналізаційно-очисних спорудах Луцької міської територіальної громади у звітному періоді виконано на суму 1000,0 тис. грн, вибрано 68,7 тис. м3 мулу з біоставів. </w:t>
            </w:r>
          </w:p>
        </w:tc>
      </w:tr>
      <w:tr>
        <w:trPr>
          <w:trHeight w:val="102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Дослідження водойм у с. Прилуцьке з метою відновлення їх водності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Ковельським міжрайонним управлінням водного господарства виконано роботи щодо дослідженню водойм та підготовлено технічний звіт на суму 85,3 тис. грн</w:t>
            </w:r>
            <w:r>
              <w:rPr>
                <w:rFonts w:cs="Times New Roman" w:ascii="Times New Roman" w:hAnsi="Times New Roman"/>
                <w:sz w:val="27"/>
                <w:szCs w:val="27"/>
                <w:highlight w:val="white"/>
              </w:rPr>
              <w:t>.</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highlight w:val="white"/>
              </w:rPr>
              <w:t>Було з’ясовано, що ставок в межах населеного пункту справа від траси (М 19) відновити не можна, оскільки у ньому низьке залягання грунтових вод, а ставок зліва від траси (М 19) можна частково відновити, однак для цього необхідно виготовити проєкт розчищення ставка (через систему Прозорро).</w:t>
            </w:r>
          </w:p>
        </w:tc>
      </w:tr>
      <w:tr>
        <w:trPr>
          <w:trHeight w:val="7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Будівництво зливової станції</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Будівництво зливової станції не здійснено, оскільки кошти перерозподілено на очищення біоставків на каналізаційно очисні споруди. </w:t>
            </w:r>
          </w:p>
        </w:tc>
      </w:tr>
      <w:tr>
        <w:trPr>
          <w:trHeight w:val="96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Придбання обладнання для моніторингу якості атмосферного повітря та проведення наукових досліджень</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Придбано обладнання для моніторингу якості атмосферного повітря та проведення наукових досліджень в кількості 7 шт. моніторингових станцій «Екотруба» (ФОП Лесюк Ю.В), вартістю            50,0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10.</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режимно-налагоджувальних робіт на газоспалювальному обладнанні місцевих підприємств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ДКП «Луцьктепло» виконано робіт на суму 335,5 тис. грн, «ДП АСЗ № 1», «АТ АК БМ» виконано робіт на суму 296,8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 xml:space="preserve">Введення в експлуатацію біоутилізатора для специфічних біологічних відходів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Роботи не здійснювались через відсутність території для розміщення обладнання, яка б відповідала встановленим вимогам до його експлуатації.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Реконструкція вентиляційної системи, придбання та встановлення пилогазоочисного устаткування місцевими підприємствами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КП «Луцькводоканал» проведено реконструкцію обладнання на повітродувній станції міських КОС на суму 250,0 тис. грн.</w:t>
            </w:r>
            <w:r>
              <w:rPr>
                <w:rFonts w:cs="Arial"/>
              </w:rPr>
              <w:t xml:space="preserve"> </w:t>
            </w:r>
            <w:r>
              <w:rPr>
                <w:rFonts w:cs="Times New Roman" w:ascii="Times New Roman" w:hAnsi="Times New Roman"/>
                <w:bCs/>
                <w:sz w:val="27"/>
                <w:szCs w:val="27"/>
              </w:rPr>
              <w:t xml:space="preserve">ПАТ «СКФ Україна» придбано та встановлено пилогазоочисне устаткування вартістю 969,0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 xml:space="preserve">Запровадження компостування органічних відходів на територіях комунальних закладів дошкільної освіти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зв’язку із тривалим періодом дистанційного навчання захід не проводився.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Ведення моніторингу показників вмісту небезпечних речовин в атмосферному повітрі від стаціонарних та пересувних джерел забруднення місцевими підприємствами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Здійснено лабораторний контроль за якісним складом стічних вод ПАТ «СКФ Україна» та ДП «АСЗ № 1» АТ «АК БМ» на суму 14,7 тис. грн. Роботи щодо лабораторного контролю джерел викидів забруднюючих речовин в атмосферне повітря цими підприємствами виконано на суму               16,1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15.</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 xml:space="preserve">Проведення заходів щодо екологічно безпечного збирання, перевезення, зберігання, утилізації та знешкодження відходів (відпрацьовані люмінесцентні лампи, побутові хімічні джерела струму та ін.)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Протягом року на території міста зібрано та передано на утилізацію 1911 шт. відпрацьованих компактних люмінесцентних ламп, 212 шт. термометрів та 2 т. батарейок і акумуляторів від мобільних телефонів. Вартість послуги щодо утилізації даних відходів склало 23,2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16.</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Утилізація промислових відходів, облаштування та вдосконалення існуючих майданчиків для тимчасового зберігання відходів, придбання обладнання для роздільного збору відходів місцевими підприємствами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У 2020 році КП «Луцькводоканал» вивезено мулу з каналізаційнор-очисних споруд на                    65,0 тис. тонн (2 000,0 тис. грн). </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ПАТ «СКФ Україна» проведено роботи із утилізації відходів на суму 906,2 тис. грн, будівництво нового складу для зберігання відходів І класу небезпеки на суму 83,7 тис. грн, модернізацію майданчика для зберігання відпрацьованих нафтомастил на суму 68,0 тис. грн. </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ДП «АСЗ № 1» АТ «АК «Богдан Моторс» виконано робіт із утилізації відходів на суму                   58,0 тис. грн. </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КЗ «Луцька міська клінічна лікарня» виконано робіт із утилізації відходів на 35,0 тис. грн.</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Придбано контейнери для роздільного збору відходів ПАТ «Луцьк ФУДЗ» та ТзОВ «Теріхем Тервакоскі» на суму 20,4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17.</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заходів із озеленення Луцької міської територіальної громади, збереження і утримання територій, об’єктів природно-заповідного фонду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У весняний період висаджено 120 шт. дерев, 17 кущів за власні кошти комунальних закладів освіти, у осінній період - 850 дерев та 400 шт. кущів. Створено ботанічний куточок у закладі дошкільної освіти № 13. Всього витрачено на озеленення 38,8 тис. грн. </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Національним університетом біоресурсів та природокористування України, ПП «Луцькземресурс» проведено топо-геодезичну зйомку земельної ділянки на вул. Шопена для оформлення документів землекористування під ботанічною пам’яткою природи місцевого значення «Платан західний» вартістю 6,4 тис. грн. Прийнято рішення про надання дозволу на розробку проєкту відведення земельної ділянки де розміщений «Платан західний». На утримання об’єктів ПЗФ використано 54,4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18.</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заходів з утримання та збереження територій парків, скверів, пляжів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У 2020 році розпочато інвентаризацію зелених насаджень загального користування на електронній платформі Inspectree. Внесено дані про 1331 дерев. За використання системи сплачено кошти в суму 45,0 тис. грн. </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Проведено експериментальну обробку 33 шт. дерев породи гіркокаштан кінський від шкідника мінуючої молі. Експеримент не дав очікуваного позитивного результату. ВОМВП «Профілактична дезінфекція» проведено обробку території парків від кліщів та комарів на суму 49,3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19.</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заходів та акцій щодо охорони навколишнього природного середовища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Проведено загальноміські акції «Ековесна 2020», «Чистоліто 2020», «Чиста Україна — чиста Земля». На придбання пакетів для сміття, рукавиць, мішків та проведення зариблення каналів Центрального парку рослиноїдними видами риб було використано 40,9 тис грн.</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Виготовлення поліграфічної продукції екологічної тематики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Відповідно до рішення виконавчого комітету Луцької міської ради від 04.06.2020 № 267-1 «Про звільнення розповсюджувачів </w:t>
            </w:r>
            <w:r>
              <w:rPr>
                <w:rFonts w:cs="Times New Roman" w:ascii="Times New Roman" w:hAnsi="Times New Roman"/>
                <w:sz w:val="27"/>
                <w:szCs w:val="27"/>
              </w:rPr>
              <w:t>зовнішньої реклами від плати за тимчасове користування місцем розміщення засобів зовнішньої реклами» на період розміщення інформації про проведення екологічної акції «Чистоліто-2020»</w:t>
            </w:r>
            <w:r>
              <w:rPr>
                <w:rFonts w:cs="Times New Roman" w:ascii="Times New Roman" w:hAnsi="Times New Roman"/>
                <w:bCs/>
                <w:sz w:val="27"/>
                <w:szCs w:val="27"/>
              </w:rPr>
              <w:t xml:space="preserve"> КП «Луцькреклама» було забезпечено власними коштами здійснити розробку макету, друк та розміщення постерів. Загальна вартість виготовлення постерів склала 3,2 тис. грн.</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Також було виготовлено 5 постерів до проведення Всеукраїнської акції «Озеленення країни».</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Arial"/>
              </w:rPr>
              <w:t>22.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Додаткові заходи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Заходи щодо охорони тваринного світу</w:t>
            </w:r>
            <w:r>
              <w:rPr>
                <w:rFonts w:cs="Times New Roman" w:ascii="Times New Roman" w:hAnsi="Times New Roman"/>
                <w:b/>
                <w:bCs/>
                <w:sz w:val="27"/>
                <w:szCs w:val="27"/>
              </w:rPr>
              <w:t xml:space="preserve"> </w:t>
            </w:r>
            <w:r>
              <w:rPr>
                <w:rFonts w:cs="Times New Roman" w:ascii="Times New Roman" w:hAnsi="Times New Roman"/>
                <w:sz w:val="27"/>
                <w:szCs w:val="27"/>
              </w:rPr>
              <w:t>Делегація міжнародної організації «Чотири лапи» перебувала в місті 26 днів. На проживання та харчування членів делегації витрачено 89,7 тис. грн. За цей час проведено стерилізацію, дезінфекцію, вакцинацію та ідентифікацію 292 тварин (собаки та коти). Наукові дослідження ТзОВ «Науковий парк Державної екологічної академії післядипломної освіти та управління «Чорнобиль» Проведено комплексний екологічний аудит м. Луцька (вартість 190, 0 тис. грн).</w:t>
            </w:r>
          </w:p>
        </w:tc>
      </w:tr>
    </w:tbl>
    <w:p>
      <w:pPr>
        <w:pStyle w:val="Normal"/>
        <w:tabs>
          <w:tab w:val="clear" w:pos="709"/>
          <w:tab w:val="left" w:pos="54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s>
        <w:suppressAutoHyphens w:val="true"/>
        <w:jc w:val="center"/>
        <w:textAlignment w:val="baseline"/>
        <w:rPr>
          <w:rFonts w:cs="Arial"/>
        </w:rPr>
      </w:pPr>
      <w:r>
        <w:rPr>
          <w:rFonts w:cs="Times New Roman" w:ascii="Times New Roman" w:hAnsi="Times New Roman"/>
          <w:b/>
          <w:sz w:val="27"/>
          <w:szCs w:val="27"/>
        </w:rPr>
        <w:t>2.10. Цивільний захист населення, техногенна безпека</w:t>
      </w:r>
    </w:p>
    <w:tbl>
      <w:tblPr>
        <w:tblW w:w="15875"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686"/>
        <w:gridCol w:w="11624"/>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68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6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spacing w:val="-4"/>
              </w:rPr>
            </w:pPr>
            <w:r>
              <w:rPr>
                <w:rFonts w:cs="Times New Roman" w:ascii="Times New Roman" w:hAnsi="Times New Roman"/>
                <w:spacing w:val="-4"/>
                <w:sz w:val="27"/>
                <w:szCs w:val="27"/>
              </w:rPr>
              <w:t>Забезпечення належного протипожежного стану підприємств, установ та закладів комунальної власності Луцької міської територіальної громади (облаштування систем протипожежної сигналізації в комунальних закладах освіти, культури та охорони здоров’я, обробка вогнетривким розчином дерев’яних конструкцій горищ комунальних закладів освіти, доукомплектація комунальних дошкільних навчальних закладів протипожежним інвентарем</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Контролюючими органами управління ДСНС України у Волинській області в поточному році перевірено усі навчальні заклади та заклади охорони здоров'я (з цілодобовим перебуванням людей). Складено відповідні акти та приписи перевірок, встановлено терміни усунення недоліків. Позапланові перевірки здійснювались за дорученням Прем'єра Міністра України від 05.12.2019 № 01-01/1018.</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720" w:leader="none"/>
              </w:tabs>
              <w:suppressAutoHyphens w:val="true"/>
              <w:jc w:val="both"/>
              <w:textAlignment w:val="baseline"/>
              <w:rPr>
                <w:rFonts w:cs="Arial"/>
                <w:spacing w:val="-4"/>
              </w:rPr>
            </w:pPr>
            <w:r>
              <w:rPr>
                <w:rFonts w:cs="Times New Roman" w:ascii="Times New Roman" w:hAnsi="Times New Roman"/>
                <w:spacing w:val="-4"/>
                <w:sz w:val="27"/>
                <w:szCs w:val="27"/>
              </w:rPr>
              <w:t>Проведення технічної інвентаризації захисних споруд цивільного захисту, як об’єктів нерухомого майна  усіх форм власності</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624"/>
              <w:jc w:val="both"/>
              <w:textAlignment w:val="baseline"/>
              <w:rPr>
                <w:rFonts w:cs="Arial"/>
              </w:rPr>
            </w:pPr>
            <w:r>
              <w:rPr>
                <w:rFonts w:cs="Times New Roman" w:ascii="Times New Roman" w:hAnsi="Times New Roman"/>
                <w:bCs/>
                <w:sz w:val="27"/>
                <w:szCs w:val="27"/>
              </w:rPr>
              <w:t xml:space="preserve">Станом на 01.01.2021 в місті Луцьку проінвентаризовано 69 захисних споруди, не проведено технічну інвентаризацію, як об'єктів нерухомого майна на 27, в основному на приватних підприємствах. Основними причинами не проведення технічної інвентаризації захисних споруд цивільного захисту є відсутність коштів у балансоутримувачів. Усі захисні споруди міської комунальної власності проінвентаризовано. </w:t>
            </w:r>
          </w:p>
        </w:tc>
      </w:tr>
      <w:tr>
        <w:trPr>
          <w:trHeight w:val="453" w:hRule="atLeast"/>
        </w:trPr>
        <w:tc>
          <w:tcPr>
            <w:tcW w:w="565" w:type="dxa"/>
            <w:tcBorders>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Arial"/>
              </w:rPr>
              <w:t>3.</w:t>
            </w:r>
          </w:p>
        </w:tc>
        <w:tc>
          <w:tcPr>
            <w:tcW w:w="3686" w:type="dxa"/>
            <w:tcBorders>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spacing w:val="-4"/>
              </w:rPr>
            </w:pPr>
            <w:r>
              <w:rPr>
                <w:rFonts w:cs="Times New Roman" w:ascii="Times New Roman" w:hAnsi="Times New Roman"/>
                <w:bCs/>
                <w:spacing w:val="-4"/>
                <w:sz w:val="27"/>
                <w:szCs w:val="27"/>
              </w:rPr>
              <w:t>Приведення в в належний стан захисних</w:t>
            </w:r>
            <w:r>
              <w:rPr>
                <w:rFonts w:cs="Times New Roman" w:ascii="Times New Roman" w:hAnsi="Times New Roman"/>
                <w:bCs/>
                <w:spacing w:val="-4"/>
                <w:sz w:val="27"/>
                <w:szCs w:val="27"/>
                <w:highlight w:val="white"/>
              </w:rPr>
              <w:t xml:space="preserve"> </w:t>
            </w:r>
            <w:r>
              <w:rPr>
                <w:rFonts w:cs="Times New Roman" w:ascii="Times New Roman" w:hAnsi="Times New Roman"/>
                <w:bCs/>
                <w:spacing w:val="-4"/>
                <w:sz w:val="27"/>
                <w:szCs w:val="27"/>
              </w:rPr>
              <w:t>споруд цивільного захисту Луцької міської територіальної громади.</w:t>
            </w:r>
          </w:p>
        </w:tc>
        <w:tc>
          <w:tcPr>
            <w:tcW w:w="11624" w:type="dxa"/>
            <w:tcBorders>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Кошти на ремонт захисних споруд в поточному році не виділялись.</w:t>
            </w:r>
          </w:p>
        </w:tc>
      </w:tr>
      <w:tr>
        <w:trPr>
          <w:trHeight w:val="453" w:hRule="atLeast"/>
        </w:trPr>
        <w:tc>
          <w:tcPr>
            <w:tcW w:w="56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Arial"/>
              </w:rPr>
              <w:t>4.</w:t>
            </w:r>
          </w:p>
        </w:tc>
        <w:tc>
          <w:tcPr>
            <w:tcW w:w="36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spacing w:val="-4"/>
              </w:rPr>
            </w:pPr>
            <w:r>
              <w:rPr>
                <w:rFonts w:cs="Times New Roman" w:ascii="Times New Roman" w:hAnsi="Times New Roman"/>
                <w:spacing w:val="-4"/>
                <w:sz w:val="27"/>
                <w:szCs w:val="27"/>
              </w:rPr>
              <w:t>Проведення профілактичних та практичних заходів у сфері цивільного захисту, техногенної та пожежної безпеки з метою досягнення прийнятного ризику виникнення надзвичайних ситуацій техногенного характеру, недопущення людських і зменшення матеріальних втрат.</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З метою запобігання виникнення надзвичайних ситуацій здійснено ремонт магістрального каналізаційного колектора Привокзального району в районі вулиць Огієнка - Шопена та виконано протипожежні заходи на полігоні твердих побутових відходів.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Подальше вдосконалення інформаційного забезпечення у сфері цивільного захисту</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Просвітницько-інформаційна робота з населенням щодо правил поведінки в умовах надзвичайних ситуацій проводилась через офіційний сайт міської ради, де розміщено порядок дій щодо всіх можливих НС. В департаменті ЦНАП організовано роботу консультаційного пункту через показ слайдів, відеороликів для населення, яке відвідує установу. У газеті «Луцький замок» розміщувались статті щодо дій у можливих НС та заходів з їх попередження (всього 5 статей). </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В закладах освіти організовувались тематичні виставки, конкурси постерів з тематики цивільного захисту та дій у надзвичайних ситуаціях, оновлювались інформаційно-довідкові куточки цивільного захисту. </w:t>
            </w:r>
          </w:p>
        </w:tc>
      </w:tr>
      <w:tr>
        <w:trPr>
          <w:trHeight w:val="78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Створення матеріального резерву для оперативного реагування під час виникнення надзвичайних ситуацій</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Розпорядженням міського голови від 06.02.2015 року № 39 «Про створення матеріальних резервів» затверджений порядок створення і використання місцевого резерву та номенклатура обсягів. У 2020 році використано 772,4 тис. грн на придбання деззасобів для протидії COVID-19 та захисного пожежного одягу і взуття.</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Розвиток та удосконалення системи оповіщення населення про загрози виникнення надзвичайних ситуацій</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bCs/>
                <w:sz w:val="27"/>
                <w:szCs w:val="27"/>
              </w:rPr>
              <w:t xml:space="preserve">Для оповіщення населення в місті Луцьку встановлено 10 електросирен, також є  один радіовузол на 9400 радіоточок. В листопаді місяці 2020 року проведено комплексну перевірку системи оповіщення «Сигнал – ВО», де проконтрольовано хід включення системи оповіщення, проходження сигналів, які доводяться до керівництва міста. </w:t>
            </w:r>
          </w:p>
          <w:p>
            <w:pPr>
              <w:pStyle w:val="Normal"/>
              <w:suppressAutoHyphens w:val="true"/>
              <w:ind w:firstLine="567"/>
              <w:jc w:val="both"/>
              <w:textAlignment w:val="baseline"/>
              <w:rPr>
                <w:rFonts w:cs="Arial"/>
              </w:rPr>
            </w:pPr>
            <w:r>
              <w:rPr>
                <w:rFonts w:cs="Times New Roman" w:ascii="Times New Roman" w:hAnsi="Times New Roman"/>
                <w:bCs/>
                <w:sz w:val="27"/>
                <w:szCs w:val="27"/>
              </w:rPr>
              <w:t xml:space="preserve">Кошти для удосконалення системи оповіщення в поточному році не виділялись. </w:t>
            </w:r>
          </w:p>
        </w:tc>
      </w:tr>
      <w:tr>
        <w:trPr>
          <w:trHeight w:val="453" w:hRule="atLeast"/>
        </w:trPr>
        <w:tc>
          <w:tcPr>
            <w:tcW w:w="56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textAlignment w:val="baseline"/>
              <w:rPr>
                <w:rFonts w:cs="Arial"/>
              </w:rPr>
            </w:pPr>
            <w:r>
              <w:rPr>
                <w:rFonts w:cs="Times New Roman" w:ascii="Times New Roman" w:hAnsi="Times New Roman"/>
                <w:bCs/>
                <w:sz w:val="27"/>
                <w:szCs w:val="27"/>
              </w:rPr>
              <w:t>8.</w:t>
            </w:r>
          </w:p>
        </w:tc>
        <w:tc>
          <w:tcPr>
            <w:tcW w:w="36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Організація рятування людей на водних об’єктах Луцької міської територіальної громади в літній період у визначених місцях масового відпочинку</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Для забезпечення безпеки населення міста під час літнього відпочинку прийнята Програма «Організації рятування людей на водних об'єктах міста в літній період 2020-2021 років». В період купального сезону (з 1.06. до 31 08. 2020 ) організовано роботу двох рятувальних постів в місцях масового відпочинку громадян на річці Стир (Центральний парк культури і відпочинку імені Лесі Українки) та на Теремнівській водоймі. </w:t>
            </w:r>
          </w:p>
        </w:tc>
      </w:tr>
      <w:tr>
        <w:trPr>
          <w:trHeight w:val="453" w:hRule="atLeast"/>
        </w:trPr>
        <w:tc>
          <w:tcPr>
            <w:tcW w:w="565" w:type="dxa"/>
            <w:tcBorders>
              <w:left w:val="single" w:sz="4" w:space="0" w:color="000000"/>
              <w:bottom w:val="single" w:sz="4" w:space="0" w:color="000000"/>
              <w:right w:val="single" w:sz="4" w:space="0" w:color="000000"/>
            </w:tcBorders>
            <w:shd w:color="auto" w:fill="auto" w:val="clear"/>
          </w:tcPr>
          <w:p>
            <w:pPr>
              <w:pStyle w:val="Normal"/>
              <w:suppressAutoHyphens w:val="true"/>
              <w:snapToGrid w:val="false"/>
              <w:textAlignment w:val="baseline"/>
              <w:rPr>
                <w:rFonts w:cs="Arial"/>
              </w:rPr>
            </w:pPr>
            <w:r>
              <w:rPr>
                <w:rFonts w:cs="Times New Roman" w:ascii="Times New Roman" w:hAnsi="Times New Roman"/>
                <w:sz w:val="27"/>
                <w:szCs w:val="27"/>
              </w:rPr>
              <w:t>9.</w:t>
            </w:r>
          </w:p>
        </w:tc>
        <w:tc>
          <w:tcPr>
            <w:tcW w:w="36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Додаткові заходи  під час карантину</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624"/>
              <w:jc w:val="both"/>
              <w:textAlignment w:val="baseline"/>
              <w:rPr>
                <w:rFonts w:cs="Arial"/>
              </w:rPr>
            </w:pPr>
            <w:r>
              <w:rPr>
                <w:rFonts w:cs="Times New Roman" w:ascii="Times New Roman" w:hAnsi="Times New Roman"/>
                <w:sz w:val="27"/>
                <w:szCs w:val="27"/>
              </w:rPr>
              <w:t xml:space="preserve">На час оголошеного карантину пов’язаного із поширенням коронавірусної інфекції, у місті було організовано роботу комісії з питань техногенно-екологічної безпеки та надзвичайних ситуацій. До комісії увійшли керівники виконавчих органів міської ради та представники усіх силових підрозділів міста (Служби безпеки України, Луцького відділу поліції ГУНП у Волинській області, Луцького міськрайонного відділу УДСНС України у Волинській області та ін). </w:t>
            </w:r>
          </w:p>
          <w:p>
            <w:pPr>
              <w:pStyle w:val="Normal"/>
              <w:suppressAutoHyphens w:val="true"/>
              <w:ind w:firstLine="624"/>
              <w:jc w:val="both"/>
              <w:textAlignment w:val="baseline"/>
              <w:rPr>
                <w:rFonts w:cs="Arial"/>
              </w:rPr>
            </w:pPr>
            <w:r>
              <w:rPr>
                <w:rFonts w:cs="Times New Roman" w:ascii="Times New Roman" w:hAnsi="Times New Roman"/>
                <w:sz w:val="27"/>
                <w:szCs w:val="27"/>
              </w:rPr>
              <w:t>На засіданнях комісії обговорювались питання пов’язані із епідеміологічною ситуацією у місті (аналіз ситуації із захворюваннями на СОVID-19, порушення карантинних обмежень, впровадження протиепідемічних заходів, перевірки дотримання самоізоляції громадянами, які повернулися до нашого міста з-за кордону і т.п).</w:t>
            </w:r>
          </w:p>
          <w:p>
            <w:pPr>
              <w:pStyle w:val="Normal"/>
              <w:suppressAutoHyphens w:val="true"/>
              <w:ind w:firstLine="624"/>
              <w:jc w:val="both"/>
              <w:textAlignment w:val="baseline"/>
              <w:rPr>
                <w:rFonts w:cs="Arial"/>
              </w:rPr>
            </w:pPr>
            <w:r>
              <w:rPr>
                <w:rFonts w:cs="Times New Roman" w:ascii="Times New Roman" w:hAnsi="Times New Roman"/>
                <w:sz w:val="27"/>
                <w:szCs w:val="27"/>
              </w:rPr>
              <w:t>У звітному періоді за результатами окремих рішень комісії було підготовлено 9 проєктів рішень міської ради щодо встановлення, а також послаблення карантинних обмежень на території міста та населених пунктах Прилуцького старостинського округу.</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3. РОЗВИТОК ІНФРАСТРУКТУРИ</w:t>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3.1. Житлово-комунальне господарство</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686"/>
        <w:gridCol w:w="11625"/>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1.</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Санітарне утримання та озеленення проспектів, вулиць і майданів Луцької міської територіальної громади</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 xml:space="preserve">Загальна сума витрат за 2020 рік на санітарне прибирання склала 38 593,4 тис. грн, на зимове утримання – 6 576,8 тис. грн. На ліквідацію стихійних сміттєзвалищ було використано                      4 922,1 тис. грн. </w:t>
            </w:r>
          </w:p>
          <w:p>
            <w:pPr>
              <w:pStyle w:val="Normal"/>
              <w:suppressAutoHyphens w:val="true"/>
              <w:ind w:firstLine="567"/>
              <w:jc w:val="both"/>
              <w:textAlignment w:val="baseline"/>
              <w:rPr>
                <w:rFonts w:cs="Arial"/>
              </w:rPr>
            </w:pPr>
            <w:r>
              <w:rPr>
                <w:rFonts w:cs="Times New Roman" w:ascii="Times New Roman" w:hAnsi="Times New Roman"/>
                <w:sz w:val="27"/>
                <w:szCs w:val="27"/>
              </w:rPr>
              <w:t>В галузі озеленення міських територій виконано роботи: викошування газонів загальною площею 1259,9 тис.м</w:t>
            </w:r>
            <w:r>
              <w:rPr>
                <w:rFonts w:cs="Times New Roman" w:ascii="Times New Roman" w:hAnsi="Times New Roman"/>
                <w:sz w:val="27"/>
                <w:szCs w:val="27"/>
                <w:vertAlign w:val="superscript"/>
              </w:rPr>
              <w:t>2</w:t>
            </w:r>
            <w:r>
              <w:rPr>
                <w:rFonts w:cs="Times New Roman" w:ascii="Times New Roman" w:hAnsi="Times New Roman"/>
                <w:sz w:val="27"/>
                <w:szCs w:val="27"/>
              </w:rPr>
              <w:t>, вирізування самонасіву 5,5 тис. м</w:t>
            </w:r>
            <w:r>
              <w:rPr>
                <w:rFonts w:cs="Times New Roman" w:ascii="Times New Roman" w:hAnsi="Times New Roman"/>
                <w:sz w:val="27"/>
                <w:szCs w:val="27"/>
                <w:vertAlign w:val="superscript"/>
              </w:rPr>
              <w:t>2</w:t>
            </w:r>
            <w:r>
              <w:rPr>
                <w:rFonts w:cs="Times New Roman" w:ascii="Times New Roman" w:hAnsi="Times New Roman"/>
                <w:sz w:val="27"/>
                <w:szCs w:val="27"/>
              </w:rPr>
              <w:t>, висаджування 152,5 тис. шт. квітів, формувальна обрізка крон 483 дерева, санітарне підрізання гілок 834 дерева, видалення пошкоджених 25 дерев для усунення наслідків негоди та ін.</w:t>
            </w:r>
          </w:p>
          <w:p>
            <w:pPr>
              <w:pStyle w:val="Normal"/>
              <w:suppressAutoHyphens w:val="true"/>
              <w:ind w:firstLine="567"/>
              <w:jc w:val="both"/>
              <w:textAlignment w:val="baseline"/>
              <w:rPr>
                <w:rFonts w:cs="Arial"/>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 xml:space="preserve">В галузі санітарного утримання елементів благоустрою виконано миття скляних навісів на зупинках громадського транспорту на загальну суму 47,1 тис. грн, та обслуговування мобільних туалетних кабін (11 шт.) на суму 315,2 тис. грн. </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Обслуговування пляжних територій у частині благоустрою</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xml:space="preserve">Проведено поточний ремонт пляжного обладнання пляжу на річці Стир та місця масового відпочинку «Теремнівські ставки» на суму 33,1 тис. грн. </w:t>
            </w:r>
          </w:p>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xml:space="preserve">ДУ «Волинський лабораторний центр МОЗ України» проведено періодичний лабораторний контроль за якістю води і ґрунту на пляжі в Центральному парку культури та відпочинку                      імені Лесі Українки та в місці масового відпочинку на Теремнівських ставках, всього на суму                20,8 тис. грн.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Утримання фонтанного господарства</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highlight w:val="white"/>
              </w:rPr>
              <w:t xml:space="preserve">У святкові та вихідні дні забезпечено роботу 5 фонтанів міста: двох фонтанів на просп. Волі, на майдані Президента Грушевського, на вул. Лесі Українки, на вул. Глушець і насосної станції в Центральному парку культури і відпочинку імені Лесі Українки. </w:t>
            </w:r>
          </w:p>
          <w:p>
            <w:pPr>
              <w:pStyle w:val="Normal"/>
              <w:widowControl w:val="false"/>
              <w:suppressAutoHyphens w:val="true"/>
              <w:ind w:firstLine="567"/>
              <w:jc w:val="both"/>
              <w:textAlignment w:val="baseline"/>
              <w:rPr>
                <w:rFonts w:cs="Arial"/>
              </w:rPr>
            </w:pPr>
            <w:r>
              <w:rPr>
                <w:rFonts w:cs="Times New Roman" w:ascii="Times New Roman" w:hAnsi="Times New Roman"/>
                <w:sz w:val="27"/>
                <w:szCs w:val="27"/>
                <w:highlight w:val="white"/>
              </w:rPr>
              <w:t xml:space="preserve">Вартість послуг з утримання фонтанів та насосної станції із використанням електроенергії та води склало 380,5 тис. грн.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Гуманізація поводження з тваринами (відлов бродячих тварин).</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На виконання заходів Програми регулювання чисельності безпритульних тварин гуманними методами у місті Луцьку на 2019-2020 роки, на 2020 рік передбачено бюджетом Луцької міської територіальної громади - 3 300,0 тис. грн, фактично виділено 3 255,9 тис. грн. На послуги з відлову, масової стерилізації, вакцинації безпритульних тварин, лікування, транспортні витрати, витрати на продукти харчування фактично виділено 363,60 тис. грн.</w:t>
            </w:r>
          </w:p>
        </w:tc>
      </w:tr>
      <w:tr>
        <w:trPr>
          <w:trHeight w:val="7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Водовідведення дощових і талих вод з території міста.</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На відведення дощових і талих вод з території міста витрачено 3 200,0 тис. грн (прочищення зливової мережі міста, ремонт колодязів, відновлення решіток, прочищення зливової мережі).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Ремонт об’єктів та елементів благоустрою міста.</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567"/>
              <w:jc w:val="both"/>
              <w:textAlignment w:val="baseline"/>
              <w:rPr>
                <w:rFonts w:cs="Arial"/>
              </w:rPr>
            </w:pPr>
            <w:r>
              <w:rPr>
                <w:rFonts w:cs="Times New Roman" w:ascii="Times New Roman" w:hAnsi="Times New Roman"/>
                <w:sz w:val="27"/>
                <w:szCs w:val="27"/>
              </w:rPr>
              <w:t>Перелік об’єктів та елементів благоустрою міста на яких було проведено поточний, капітальний ремонти та реконструкцію наведено у Додатку 3.</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Встановлення вузлів обліку теплової енергії та реконструкція теплових мереж житлових будинків (на умовах співфінансування з мешканцями).</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ascii="Times New Roman" w:hAnsi="Times New Roman" w:cs="Times New Roman"/>
                <w:sz w:val="27"/>
                <w:szCs w:val="27"/>
              </w:rPr>
            </w:pPr>
            <w:r>
              <w:rPr>
                <w:rFonts w:cs="Times New Roman" w:ascii="Times New Roman" w:hAnsi="Times New Roman"/>
                <w:sz w:val="27"/>
                <w:szCs w:val="27"/>
              </w:rPr>
              <w:t>В 2020 році проведено роботи з реконструкції системи опалення з влаштуванням вузла обліку теплової енергії в житлових будинках на вул. Винниченка, 47, просп. Грушевського, 22 та                  просп. Перемоги, 21, Перемоги, 25, вул. Привокзальна, 13а на загальну суму 443,4 тис. грн, з них  327,9 тис. грн </w:t>
            </w:r>
            <w:r>
              <w:rPr>
                <w:rFonts w:eastAsia="Times New Roman" w:cs="Times New Roman" w:ascii="Times New Roman" w:hAnsi="Times New Roman"/>
                <w:sz w:val="27"/>
                <w:szCs w:val="27"/>
              </w:rPr>
              <w:t>‒</w:t>
            </w:r>
            <w:r>
              <w:rPr>
                <w:rFonts w:cs="Times New Roman" w:ascii="Times New Roman" w:hAnsi="Times New Roman"/>
                <w:sz w:val="27"/>
                <w:szCs w:val="27"/>
              </w:rPr>
              <w:t> фінансування з бюджету, 115,5 тис. грн </w:t>
            </w:r>
            <w:r>
              <w:rPr>
                <w:rFonts w:eastAsia="Times New Roman" w:cs="Times New Roman" w:ascii="Times New Roman" w:hAnsi="Times New Roman"/>
                <w:sz w:val="27"/>
                <w:szCs w:val="27"/>
              </w:rPr>
              <w:t>‒</w:t>
            </w:r>
            <w:r>
              <w:rPr>
                <w:rFonts w:cs="Times New Roman" w:ascii="Times New Roman" w:hAnsi="Times New Roman"/>
                <w:sz w:val="27"/>
                <w:szCs w:val="27"/>
              </w:rPr>
              <w:t xml:space="preserve"> співфінансування мешканців будинків.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rPr>
              <w:t>8.</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 xml:space="preserve">Ремонт фасадів житлових будинків визнаних пам’ятками архітектури національного значення та таких, що «псують» архітектурну виразність міста і потребують ремонту </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xml:space="preserve">В 2020 році за кошти бюджету Луцької міської територіальної громади проведено капітальний ремонт фасадів 20-ти житлових будинків: на вул. Братковського, 1, 1а, 6, 9, 11, 17, 19б, 20, 20а, 21, 33, 35, вул. Драгоманова, 2, 4, 11, 25, вул. Базарна, 2, вул. Плитниця, 2б, вул. Богдана Хмельницького, 8, вул. Данила Галицького, 12 на загальну суму 1 259,6 тис. грн. </w:t>
            </w:r>
          </w:p>
        </w:tc>
      </w:tr>
      <w:tr>
        <w:trPr>
          <w:trHeight w:val="7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rPr>
              <w:t>9.</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 xml:space="preserve">Проведення робіт з підсилення «несучих» конструкцій житлових будинків, які визнані такими, що загрожують втраті несучої здатності та можуть привести до надзвичайної ситуації </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xml:space="preserve">В 2020 році проведено роботи щодо підсилення «несучих» конструкцій житлового будинку на вул. 8-го Березня, 35. Загальна вартість робіт - 63,9 грн.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rPr>
              <w:t>10.</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Встановлення приладів, які забезпечують цілодобове холодне водопостачання житлових будинків (перетворювачі частоти на підвищувальних насосах в центральних теплових пунктах)</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Цільові бюджетні призначення на зазначений вид робіт були відсутніми.</w:t>
            </w:r>
          </w:p>
        </w:tc>
      </w:tr>
      <w:tr>
        <w:trPr>
          <w:trHeight w:val="27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11.</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Капітальний ремонт ліфтів, покрівель, інженерних мереж  та проведення капітальних ремонтів житлових будинків ОСББ на території м. Луцька (на умовах співфінансування з мешканцями міста)</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У звітному році капітальні ремонти ліфтів, покрівель, інженерних мереж відбувались відповідно до умов «Програми капітального ремонту житлового фонду Луцької міської територіальної громади на 2020-2024 роки», яка затверджена рішенням Луцької міської ради від 29.01.2020 року № 69/87 (далі Програма). Відповідно до затверджених графіків проведення капітальних ремонтів ліфтів (які відпрацювали гранично встановлений термін 25 років) в житлових будинках у 2020 році виконано ремонт 74-х ліфтів на загальну суму 6 547,5 тис. грн (Додаток 4).  Проведено капітальний ремонт покрівель на умовах співфінансування в 6-ти житлових будинках (1 028,5 тис. грн кошти бюджету ЛМТГ, 445,5 тис. грн – співфінансування мешканців будинку) та капітальний ремонт інженерних мереж в 43-х житлових будинках                      (170,9 тис. грн </w:t>
              <w:noBreakHyphen/>
              <w:t> фінансування з бюджету ЛМТГ, 70,6 тис. грн – співфінансування мешканців). В 2020 році проведено капітальний ремонт інженерних мереж в 43-х житлових будинках міста (7 277,4 тис. грн. фінансування з бюджету ЛМТГ, 2 984,4 тис. грн – сума співфінанс</w:t>
            </w:r>
            <w:r>
              <w:rPr>
                <w:rFonts w:cs="TimesNewRomanPSMT" w:ascii="TimesNewRomanPSMT" w:hAnsi="TimesNewRomanPSMT"/>
                <w:sz w:val="27"/>
                <w:szCs w:val="27"/>
              </w:rPr>
              <w:t>ування мешканців).</w:t>
            </w:r>
          </w:p>
          <w:p>
            <w:pPr>
              <w:pStyle w:val="Normal"/>
              <w:widowControl w:val="false"/>
              <w:suppressAutoHyphens w:val="true"/>
              <w:ind w:firstLine="510"/>
              <w:jc w:val="both"/>
              <w:textAlignment w:val="baseline"/>
              <w:rPr>
                <w:rFonts w:cs="Arial"/>
              </w:rPr>
            </w:pPr>
            <w:r>
              <w:rPr>
                <w:rFonts w:cs="TimesNewRomanPSMT" w:ascii="TimesNewRomanPSMT" w:hAnsi="TimesNewRomanPSMT"/>
                <w:sz w:val="27"/>
                <w:szCs w:val="27"/>
              </w:rPr>
              <w:t>Проведено капітальний ремонт мощення житлових будинків на просп.</w:t>
            </w:r>
            <w:r>
              <w:rPr>
                <w:rFonts w:cs="Calibri" w:ascii="Calibri" w:hAnsi="Calibri"/>
                <w:sz w:val="27"/>
                <w:szCs w:val="27"/>
              </w:rPr>
              <w:t> </w:t>
            </w:r>
            <w:r>
              <w:rPr>
                <w:rFonts w:cs="TimesNewRomanPSMT" w:ascii="TimesNewRomanPSMT" w:hAnsi="TimesNewRomanPSMT"/>
                <w:sz w:val="27"/>
                <w:szCs w:val="27"/>
              </w:rPr>
              <w:t>Грушевського, 18 та вул. Саперів, 10 на загальну суму 241,5 тис. грн (170,9 тис. грн</w:t>
            </w:r>
            <w:r>
              <w:rPr>
                <w:rFonts w:cs="TimesNewRomanPS-BoldMT" w:ascii="TimesNewRomanPS-BoldMT" w:hAnsi="TimesNewRomanPS-BoldMT"/>
                <w:sz w:val="27"/>
                <w:szCs w:val="27"/>
              </w:rPr>
              <w:t xml:space="preserve"> </w:t>
            </w:r>
            <w:r>
              <w:rPr>
                <w:rFonts w:cs="TimesNewRomanPSMT" w:ascii="TimesNewRomanPSMT" w:hAnsi="TimesNewRomanPSMT"/>
                <w:sz w:val="27"/>
                <w:szCs w:val="27"/>
              </w:rPr>
              <w:t>сума фінансування з бюджету ЛМТГ, 70,6 тис. грн - сума співфінансування мешканців).</w:t>
            </w:r>
          </w:p>
        </w:tc>
      </w:tr>
      <w:tr>
        <w:trPr>
          <w:trHeight w:val="416"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12.</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Відшкодування частини відсотків кредитів та тіла</w:t>
            </w:r>
            <w:r>
              <w:rPr>
                <w:rFonts w:cs="Times New Roman" w:ascii="Times New Roman" w:hAnsi="Times New Roman"/>
                <w:i/>
                <w:iCs/>
                <w:sz w:val="27"/>
                <w:szCs w:val="27"/>
              </w:rPr>
              <w:t xml:space="preserve"> </w:t>
            </w:r>
            <w:r>
              <w:rPr>
                <w:rFonts w:cs="Times New Roman" w:ascii="Times New Roman" w:hAnsi="Times New Roman"/>
                <w:sz w:val="27"/>
                <w:szCs w:val="27"/>
              </w:rPr>
              <w:t>кредиту на впровадження заходів енергозбереження в житлових будинках ОСББ та ЖБК (встановлення ІТП, влаштування вікон, утеплення фасадів).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Відшкодування частини тіла кредиту та відсотків за залученими кредитами для ОСББ та ЖБК нашого міста відбувалось в межах дії Програми відшкодування частини суми кредитів ОСББ та ЖБК Луцької міської територіальної громади, залучених на впровадження в будинках енергоефективних заходів на 2018-2020 роки.</w:t>
            </w:r>
          </w:p>
          <w:p>
            <w:pPr>
              <w:pStyle w:val="Normal"/>
              <w:suppressAutoHyphens w:val="true"/>
              <w:ind w:firstLine="567"/>
              <w:jc w:val="both"/>
              <w:textAlignment w:val="baseline"/>
              <w:rPr>
                <w:rFonts w:cs="Arial"/>
              </w:rPr>
            </w:pPr>
            <w:r>
              <w:rPr>
                <w:rFonts w:cs="Times New Roman" w:ascii="Times New Roman" w:hAnsi="Times New Roman"/>
                <w:sz w:val="27"/>
                <w:szCs w:val="27"/>
              </w:rPr>
              <w:t>У 2020 році за рахунок бюджету міської територіальної громади на відшкодування відсоткових ставок згідно з 52 кредитними договорами оплачено 2,25 млн. грн, на відшкодування ОСББ частини сум кредиту згідно з 23 кредитними договорами використано 2,98 млн. грн коштів бюджету Луцької міської територіальної громади.</w:t>
            </w:r>
          </w:p>
        </w:tc>
      </w:tr>
      <w:tr>
        <w:trPr>
          <w:trHeight w:val="27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13.</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Вдосконалення системи поводження з відходами шляхом впровадження роздільного збору сміття на території міста та повний перехід на контейнери для збору твердих побутових відходів типу «євро»</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eastAsia="Calibri" w:cs="Times New Roman" w:ascii="Times New Roman" w:hAnsi="Times New Roman"/>
                <w:sz w:val="27"/>
                <w:szCs w:val="27"/>
              </w:rPr>
              <w:t>Протягом 2020 року здійснювались організаційно-практичні заходи щодо забезпечення сортування твердих побутових відходів за їх видами для переробки та утилізації. Проведено роботи щодо капітального ремонту контейнерних майданчиків для збору твердих побутових відходів з облаштуванням металевих навісів в кількості 17 штук на суму 760,5 тис. гривень.</w:t>
            </w:r>
          </w:p>
          <w:p>
            <w:pPr>
              <w:pStyle w:val="Normal"/>
              <w:suppressAutoHyphens w:val="true"/>
              <w:ind w:firstLine="567"/>
              <w:jc w:val="both"/>
              <w:textAlignment w:val="baseline"/>
              <w:rPr>
                <w:rFonts w:cs="Arial"/>
              </w:rPr>
            </w:pPr>
            <w:r>
              <w:rPr>
                <w:rFonts w:eastAsia="Calibri" w:cs="Times New Roman" w:ascii="Times New Roman" w:hAnsi="Times New Roman"/>
                <w:sz w:val="27"/>
                <w:szCs w:val="27"/>
              </w:rPr>
              <w:t xml:space="preserve">Луцька міська територіальна громада охоплена заходами з роздільного збору твердих побутових відходів (суха і волога фракція та ПЕТ-пляшка). </w:t>
            </w:r>
          </w:p>
          <w:p>
            <w:pPr>
              <w:pStyle w:val="Normal"/>
              <w:suppressAutoHyphens w:val="true"/>
              <w:ind w:firstLine="567"/>
              <w:jc w:val="both"/>
              <w:textAlignment w:val="baseline"/>
              <w:rPr>
                <w:rFonts w:cs="Arial"/>
              </w:rPr>
            </w:pPr>
            <w:r>
              <w:rPr>
                <w:rFonts w:eastAsia="Calibri" w:cs="Times New Roman" w:ascii="Times New Roman" w:hAnsi="Times New Roman"/>
                <w:sz w:val="27"/>
                <w:szCs w:val="27"/>
              </w:rPr>
              <w:t>В 2020 році було закуплено 30 контейнерів металевих для збору твердих побутових відходів, євростандарт, оцинкований, об’ємом 1,1м³ вартістю 256,7 тис гривень.</w:t>
            </w:r>
          </w:p>
          <w:p>
            <w:pPr>
              <w:pStyle w:val="Normal"/>
              <w:suppressAutoHyphens w:val="true"/>
              <w:ind w:firstLine="567"/>
              <w:jc w:val="both"/>
              <w:textAlignment w:val="baseline"/>
              <w:rPr>
                <w:rFonts w:cs="Arial"/>
              </w:rPr>
            </w:pPr>
            <w:r>
              <w:rPr>
                <w:rFonts w:eastAsia="Calibri" w:cs="Times New Roman" w:ascii="Times New Roman" w:hAnsi="Times New Roman"/>
                <w:sz w:val="27"/>
                <w:szCs w:val="27"/>
              </w:rPr>
              <w:t xml:space="preserve">З метою належного інформування населення Луцької міської територіальної громади про заходи та процеси з організації сортування твердих побутових відходів в ЗМІ забезпечено розміщення відповідних інформаційних матеріалів.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14</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Будівництво,</w:t>
            </w:r>
            <w:r>
              <w:rPr>
                <w:rFonts w:cs="Times New Roman" w:ascii="Times New Roman" w:hAnsi="Times New Roman"/>
                <w:i/>
                <w:iCs/>
                <w:sz w:val="27"/>
                <w:szCs w:val="27"/>
              </w:rPr>
              <w:t xml:space="preserve"> </w:t>
            </w:r>
            <w:r>
              <w:rPr>
                <w:rFonts w:cs="Times New Roman" w:ascii="Times New Roman" w:hAnsi="Times New Roman"/>
                <w:sz w:val="27"/>
                <w:szCs w:val="27"/>
              </w:rPr>
              <w:t>реконструкція, поточний та капітальний ремонт об’єктів вулично-дорожньої мережі міста, в тому числі турнікетного, пішохідного та транспортного огородження, мережі зливової каналізації</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eastAsia="Calibri" w:cs="Times New Roman" w:ascii="Times New Roman" w:hAnsi="Times New Roman"/>
                <w:sz w:val="27"/>
                <w:szCs w:val="27"/>
              </w:rPr>
              <w:t xml:space="preserve">Впродовж 2020 року проведено роботи з поточного ремонту на 227 об'єктах. Сума виконаних робіт разом з вартістю виготовлення проєктно-кошторисної документації становить                           31 629,1 тис. грн (Додаток 5). Площа відновлення твердого покриття – 51 070 м². </w:t>
            </w:r>
          </w:p>
          <w:p>
            <w:pPr>
              <w:pStyle w:val="Normal"/>
              <w:suppressAutoHyphens w:val="true"/>
              <w:ind w:firstLine="567"/>
              <w:jc w:val="both"/>
              <w:textAlignment w:val="baseline"/>
              <w:rPr>
                <w:rFonts w:cs="Arial"/>
              </w:rPr>
            </w:pPr>
            <w:r>
              <w:rPr>
                <w:rFonts w:eastAsia="Calibri" w:cs="Times New Roman" w:ascii="Times New Roman" w:hAnsi="Times New Roman"/>
                <w:sz w:val="27"/>
                <w:szCs w:val="27"/>
              </w:rPr>
              <w:t xml:space="preserve">Сума виконаних робіт з капітального ремонту вулиць разом з вартістю виготовлення проєктно-кошторисної документації та проведенням технічного нагляду становить 60 160,8 тис. грн. Площа відновлення твердого покриття – 39 453 м² (Додаток 6). </w:t>
            </w:r>
          </w:p>
          <w:p>
            <w:pPr>
              <w:pStyle w:val="Normal"/>
              <w:suppressAutoHyphens w:val="true"/>
              <w:ind w:firstLine="567"/>
              <w:jc w:val="both"/>
              <w:textAlignment w:val="baseline"/>
              <w:rPr>
                <w:rFonts w:cs="Arial"/>
              </w:rPr>
            </w:pPr>
            <w:r>
              <w:rPr>
                <w:rFonts w:eastAsia="Calibri" w:cs="Times New Roman" w:ascii="Times New Roman" w:hAnsi="Times New Roman"/>
                <w:sz w:val="27"/>
                <w:szCs w:val="27"/>
              </w:rPr>
              <w:t xml:space="preserve">Виконано роботи з встановлення та обслуговування дорожніх знаків на суму 751,9 тис. грн. </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15.</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Капітальний ремонт прибудинкових територій</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10"/>
              <w:jc w:val="both"/>
              <w:textAlignment w:val="baseline"/>
              <w:rPr>
                <w:rFonts w:cs="Arial"/>
              </w:rPr>
            </w:pPr>
            <w:r>
              <w:rPr>
                <w:rFonts w:eastAsia="Times New Roman" w:cs="Times New Roman" w:ascii="Times New Roman" w:hAnsi="Times New Roman"/>
                <w:sz w:val="27"/>
                <w:szCs w:val="27"/>
              </w:rPr>
              <w:t>У 2020 році з</w:t>
            </w:r>
            <w:r>
              <w:rPr>
                <w:rFonts w:eastAsia="Calibri" w:cs="Times New Roman" w:ascii="Times New Roman" w:hAnsi="Times New Roman"/>
                <w:sz w:val="27"/>
                <w:szCs w:val="27"/>
              </w:rPr>
              <w:t>авершено капітальний ремонт на 6 прибудинкових територіях. Всього розпочато ремонти на 10-ти. Сума виконаних робіт разом із вартістю виготовлення проєктно-кошторисної документації та проведенням технічного нагляду становить 23 119,3 тис. грн. Площа відновлення твердого покриття – 27 450 м. (Додаток 7).</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16.</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Будівництво та реконструкція мереж зовнішнього освітлення об’єктів світлофорного господарства міста</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eastAsia="Calibri" w:cs="Times New Roman" w:ascii="Times New Roman" w:hAnsi="Times New Roman"/>
                <w:sz w:val="27"/>
                <w:szCs w:val="27"/>
              </w:rPr>
              <w:t>Сума виконаних робіт із будівництва та реконструкції мереж зовнішнього освітлення на вулицях міста разом із вартістю виготовлення ПКД та проведенням технічного нагляду склала                     7 236,2 тис. грн. Встановлено 568 нових світильників.</w:t>
            </w:r>
          </w:p>
          <w:p>
            <w:pPr>
              <w:pStyle w:val="Normal"/>
              <w:suppressAutoHyphens w:val="true"/>
              <w:ind w:firstLine="567"/>
              <w:jc w:val="both"/>
              <w:textAlignment w:val="baseline"/>
              <w:rPr>
                <w:rFonts w:cs="Arial"/>
              </w:rPr>
            </w:pPr>
            <w:r>
              <w:rPr>
                <w:rFonts w:eastAsia="Calibri" w:cs="Times New Roman" w:ascii="Times New Roman" w:hAnsi="Times New Roman"/>
                <w:sz w:val="27"/>
                <w:szCs w:val="27"/>
              </w:rPr>
              <w:t>Розпочато будівництво світлофорного об’єкта на перехресті вул. Героїв УПА </w:t>
            </w:r>
            <w:r>
              <w:rPr>
                <w:rFonts w:eastAsia="Times New Roman" w:cs="Times New Roman" w:ascii="Times New Roman" w:hAnsi="Times New Roman"/>
                <w:sz w:val="27"/>
                <w:szCs w:val="27"/>
              </w:rPr>
              <w:t>‒</w:t>
            </w:r>
            <w:r>
              <w:rPr>
                <w:rFonts w:eastAsia="Calibri" w:cs="Times New Roman" w:ascii="Times New Roman" w:hAnsi="Times New Roman"/>
                <w:sz w:val="27"/>
                <w:szCs w:val="27"/>
              </w:rPr>
              <w:t> вул. Салтикова-Щедріна. Сума виконаних робіт становить 464, 665 тис. грн (Додатки 8,9).</w:t>
            </w:r>
          </w:p>
        </w:tc>
      </w:tr>
      <w:tr>
        <w:trPr>
          <w:trHeight w:val="7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17.</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 xml:space="preserve">Запровадження автоматизованого управління керування світлофорними об’єктами та зовнішнім освітленням. </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highlight w:val="white"/>
              </w:rPr>
              <w:t xml:space="preserve">Відповідно до Програми покращення безпеки транскордонної дорожньої інфраструктури Хелма та Луцька відбувся тендер на </w:t>
            </w:r>
            <w:r>
              <w:rPr>
                <w:rFonts w:cs="Times New Roman" w:ascii="Times New Roman" w:hAnsi="Times New Roman"/>
                <w:bCs/>
                <w:sz w:val="27"/>
                <w:szCs w:val="27"/>
                <w:highlight w:val="white"/>
                <w:lang w:bidi="ar-SA"/>
              </w:rPr>
              <w:t>капітальний ремонт світлофорних об’єктів (від вул. Задворецької до вул. Купріна) у м. Луцьку. П</w:t>
            </w:r>
            <w:r>
              <w:rPr>
                <w:rFonts w:cs="Times New Roman" w:ascii="Times New Roman" w:hAnsi="Times New Roman"/>
                <w:sz w:val="27"/>
                <w:szCs w:val="27"/>
                <w:lang w:bidi="ar-SA"/>
              </w:rPr>
              <w:t>ереможцем визначено КП «Луцьке електротехнічне підприємство – Луцьксвітло». Вартість робіт </w:t>
            </w:r>
            <w:r>
              <w:rPr>
                <w:rFonts w:eastAsia="Times New Roman" w:cs="Times New Roman" w:ascii="Times New Roman" w:hAnsi="Times New Roman"/>
                <w:sz w:val="27"/>
                <w:szCs w:val="27"/>
                <w:lang w:bidi="ar-SA"/>
              </w:rPr>
              <w:t xml:space="preserve">‒  </w:t>
            </w:r>
            <w:r>
              <w:rPr>
                <w:rFonts w:cs="Times New Roman" w:ascii="Times New Roman" w:hAnsi="Times New Roman"/>
                <w:sz w:val="27"/>
                <w:szCs w:val="27"/>
                <w:lang w:bidi="ar-SA"/>
              </w:rPr>
              <w:t xml:space="preserve">11 890,0 тис. грн. У звітному періоді завершено роботи на 12 об’єктах (3 728,9 тис. грн) ще на 12 об’єктах роботи виконано частково.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lang w:bidi="ar-SA"/>
              </w:rPr>
              <w:t>18.</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 xml:space="preserve">Паспортизація вулиць та інженерних споруд Луцької міської територіальної громади </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Бюджетом Луцької міської територіальної громади кошти у звітному періоді не передбачено.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19.</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Поховальна справа (утримання кладовищ, поховання одиноких громадян, чергування катафалка)</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624"/>
              <w:jc w:val="both"/>
              <w:textAlignment w:val="baseline"/>
              <w:rPr>
                <w:rFonts w:cs="Arial"/>
              </w:rPr>
            </w:pPr>
            <w:r>
              <w:rPr>
                <w:rFonts w:cs="Times New Roman" w:ascii="Times New Roman" w:hAnsi="Times New Roman"/>
                <w:sz w:val="27"/>
                <w:szCs w:val="27"/>
              </w:rPr>
              <w:t xml:space="preserve">На утримання 5 міських кладовищ (на вул. Рівненська, Потебні, Чернишевського, Володимирська та в с. Гаразджа) та 3 кладовищ сіл (в приєднаних селах Прилуцьке, Сапогове, Дачне), 3 братських могил (на вул. Теремнівська, Львівська, Василя Мойсея (меморіал), 3 місць увіковічення пам’яті загиблих (Гнідавська гірка, Сестринське на вул. Потебні, Єврейське на Вересневому) витрачено 4 321,8 тис. грн. </w:t>
            </w:r>
          </w:p>
          <w:p>
            <w:pPr>
              <w:pStyle w:val="Normal"/>
              <w:widowControl w:val="false"/>
              <w:suppressAutoHyphens w:val="true"/>
              <w:snapToGrid w:val="false"/>
              <w:ind w:firstLine="624"/>
              <w:jc w:val="both"/>
              <w:textAlignment w:val="baseline"/>
              <w:rPr>
                <w:rFonts w:cs="Arial"/>
              </w:rPr>
            </w:pPr>
            <w:r>
              <w:rPr>
                <w:rFonts w:cs="Times New Roman" w:ascii="Times New Roman" w:hAnsi="Times New Roman"/>
                <w:sz w:val="27"/>
                <w:szCs w:val="27"/>
              </w:rPr>
              <w:t xml:space="preserve">Вартість робіт із поховання одиноких громадян склала 61,1 тис. грн. </w:t>
            </w:r>
          </w:p>
          <w:p>
            <w:pPr>
              <w:pStyle w:val="Normal"/>
              <w:widowControl w:val="false"/>
              <w:suppressAutoHyphens w:val="true"/>
              <w:snapToGrid w:val="false"/>
              <w:ind w:firstLine="624"/>
              <w:jc w:val="both"/>
              <w:textAlignment w:val="baseline"/>
              <w:rPr>
                <w:rFonts w:cs="Arial"/>
              </w:rPr>
            </w:pPr>
            <w:r>
              <w:rPr>
                <w:rFonts w:cs="Times New Roman" w:ascii="Times New Roman" w:hAnsi="Times New Roman"/>
                <w:sz w:val="27"/>
                <w:szCs w:val="27"/>
              </w:rPr>
              <w:t xml:space="preserve">На цілодобове чергування автокатафалка для потреб МВ УМВС України у Волинській області витрачено 500,00 тис. грн. На надзвичайні ситуації (захоронення померлих внаслідок захворювання на коронавірус) витрачено 200,00 тис. грн. </w:t>
            </w:r>
          </w:p>
          <w:p>
            <w:pPr>
              <w:pStyle w:val="Normal"/>
              <w:widowControl w:val="false"/>
              <w:suppressAutoHyphens w:val="true"/>
              <w:snapToGrid w:val="false"/>
              <w:ind w:firstLine="624"/>
              <w:jc w:val="both"/>
              <w:textAlignment w:val="baseline"/>
              <w:rPr>
                <w:rFonts w:cs="Arial"/>
              </w:rPr>
            </w:pPr>
            <w:r>
              <w:rPr>
                <w:rFonts w:cs="Times New Roman" w:ascii="Times New Roman" w:hAnsi="Times New Roman"/>
                <w:sz w:val="27"/>
                <w:szCs w:val="27"/>
              </w:rPr>
              <w:t xml:space="preserve">Загальні видатки у галузі поховальної справи склали 5 082,9 тис. грн.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rPr>
              <w:t>20</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Додаткові з</w:t>
            </w:r>
            <w:r>
              <w:rPr>
                <w:rFonts w:cs="Times New Roman" w:ascii="Times New Roman" w:hAnsi="Times New Roman"/>
                <w:sz w:val="27"/>
                <w:szCs w:val="27"/>
              </w:rPr>
              <w:t>аходи, які впровадженні під час карантину</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 xml:space="preserve">В місті Луцьку є 1630 багатоквартирних будинків різної форми власності. У цих будинках налічується 3015 під’їздів. З метою запобігання поширенню масових інфекційних захворювань на території Луцької міської територіальної громади та відповідно до протоколу засідання міської комісії з питань техногенно-екологічної ситуації, проводилися заходи із дизинфекції та санітарної обробки під’їздів житлових будинків та доріг міста. </w:t>
            </w:r>
          </w:p>
          <w:p>
            <w:pPr>
              <w:pStyle w:val="Normal"/>
              <w:suppressAutoHyphens w:val="true"/>
              <w:ind w:firstLine="705"/>
              <w:jc w:val="both"/>
              <w:textAlignment w:val="baseline"/>
              <w:rPr>
                <w:rFonts w:cs="Arial"/>
              </w:rPr>
            </w:pPr>
            <w:r>
              <w:rPr>
                <w:rFonts w:cs="Times New Roman" w:ascii="Times New Roman" w:hAnsi="Times New Roman"/>
                <w:sz w:val="27"/>
                <w:szCs w:val="27"/>
              </w:rPr>
              <w:t xml:space="preserve">Зокрема із резервного фонду </w:t>
            </w:r>
            <w:r>
              <w:rPr>
                <w:rFonts w:cs="Times New Roman" w:ascii="Times New Roman" w:hAnsi="Times New Roman"/>
                <w:bCs/>
                <w:sz w:val="27"/>
                <w:szCs w:val="27"/>
              </w:rPr>
              <w:t>бюджету міської територіальної громади</w:t>
            </w:r>
            <w:r>
              <w:rPr>
                <w:rFonts w:cs="Times New Roman" w:ascii="Times New Roman" w:hAnsi="Times New Roman"/>
                <w:sz w:val="27"/>
                <w:szCs w:val="27"/>
              </w:rPr>
              <w:t xml:space="preserve"> виділено:</w:t>
            </w:r>
          </w:p>
          <w:p>
            <w:pPr>
              <w:pStyle w:val="Normal"/>
              <w:suppressAutoHyphens w:val="true"/>
              <w:ind w:firstLine="705"/>
              <w:jc w:val="both"/>
              <w:textAlignment w:val="baseline"/>
              <w:rPr>
                <w:rFonts w:cs="Arial"/>
              </w:rPr>
            </w:pPr>
            <w:r>
              <w:rPr>
                <w:rFonts w:cs="Times New Roman" w:ascii="Times New Roman" w:hAnsi="Times New Roman"/>
                <w:sz w:val="27"/>
                <w:szCs w:val="27"/>
              </w:rPr>
              <w:t>- ЛСКАП «Луцькспецкомунтранс»1 450 тис. грн на закупівлю деззасобів (розчину) для доріг міста та всіх житлово-комунальних підприємств і ОСББ (реалізовано товарів на                               суму 1 216,6 тис. грн);</w:t>
            </w:r>
          </w:p>
          <w:p>
            <w:pPr>
              <w:pStyle w:val="Normal"/>
              <w:suppressAutoHyphens w:val="true"/>
              <w:ind w:firstLine="705"/>
              <w:jc w:val="both"/>
              <w:textAlignment w:val="baseline"/>
              <w:rPr>
                <w:rFonts w:cs="Arial"/>
              </w:rPr>
            </w:pPr>
            <w:r>
              <w:rPr>
                <w:rFonts w:cs="Times New Roman" w:ascii="Times New Roman" w:hAnsi="Times New Roman"/>
                <w:sz w:val="27"/>
                <w:szCs w:val="27"/>
              </w:rPr>
              <w:t>- 935,0 тис. грн житлово - експлуатаційним підприємствам для придбання матеріалів (костюмів, респіраторів, розприскувачів і т.д), реалізовано на суму 435,6 тис.грн.</w:t>
            </w:r>
          </w:p>
          <w:p>
            <w:pPr>
              <w:pStyle w:val="Normal"/>
              <w:suppressAutoHyphens w:val="true"/>
              <w:ind w:firstLine="705"/>
              <w:jc w:val="both"/>
              <w:textAlignment w:val="baseline"/>
              <w:rPr>
                <w:rFonts w:cs="Arial"/>
              </w:rPr>
            </w:pPr>
            <w:r>
              <w:rPr>
                <w:rFonts w:cs="Times New Roman" w:ascii="Times New Roman" w:hAnsi="Times New Roman"/>
                <w:sz w:val="27"/>
                <w:szCs w:val="27"/>
              </w:rPr>
              <w:t>- 200,0 тис. грн Луцькому спеціалізованому комбінату комунально-побутового обслуговування (придбання захисних костюмів, рукавичок, засобів дезінфекції для працівників ритуальних послуг);</w:t>
            </w:r>
          </w:p>
          <w:p>
            <w:pPr>
              <w:pStyle w:val="Normal"/>
              <w:suppressAutoHyphens w:val="true"/>
              <w:ind w:firstLine="705"/>
              <w:jc w:val="both"/>
              <w:textAlignment w:val="baseline"/>
              <w:rPr>
                <w:rFonts w:cs="Arial"/>
              </w:rPr>
            </w:pPr>
            <w:r>
              <w:rPr>
                <w:rFonts w:cs="Times New Roman" w:ascii="Times New Roman" w:hAnsi="Times New Roman"/>
                <w:sz w:val="27"/>
                <w:szCs w:val="27"/>
              </w:rPr>
              <w:t xml:space="preserve">Також виділено з бюджету Луцької міської територіальної громади : </w:t>
            </w:r>
          </w:p>
          <w:p>
            <w:pPr>
              <w:pStyle w:val="Normal"/>
              <w:suppressAutoHyphens w:val="true"/>
              <w:ind w:firstLine="705"/>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rPr>
              <w:t>- 199,9 тис. грн на встановлення обмежувачів руху на блокпостах та вулицях міста;</w:t>
            </w:r>
          </w:p>
          <w:p>
            <w:pPr>
              <w:pStyle w:val="Normal"/>
              <w:suppressAutoHyphens w:val="true"/>
              <w:ind w:firstLine="624"/>
              <w:jc w:val="both"/>
              <w:textAlignment w:val="baseline"/>
              <w:rPr>
                <w:rFonts w:cs="Arial"/>
              </w:rPr>
            </w:pPr>
            <w:r>
              <w:rPr>
                <w:rFonts w:eastAsia="Times New Roman" w:cs="Times New Roman" w:ascii="Times New Roman" w:hAnsi="Times New Roman"/>
                <w:sz w:val="27"/>
                <w:szCs w:val="27"/>
              </w:rPr>
              <w:t> </w:t>
            </w:r>
            <w:r>
              <w:rPr>
                <w:rFonts w:cs="Times New Roman" w:ascii="Times New Roman" w:hAnsi="Times New Roman"/>
                <w:sz w:val="27"/>
                <w:szCs w:val="27"/>
              </w:rPr>
              <w:t xml:space="preserve">- 49,2 тис. грн - дезинфекція парку (кліщів, комарів). </w:t>
            </w:r>
          </w:p>
          <w:p>
            <w:pPr>
              <w:pStyle w:val="Normal"/>
              <w:suppressAutoHyphens w:val="true"/>
              <w:ind w:firstLine="705"/>
              <w:jc w:val="both"/>
              <w:textAlignment w:val="baseline"/>
              <w:rPr>
                <w:rFonts w:cs="Arial"/>
              </w:rPr>
            </w:pPr>
            <w:r>
              <w:rPr>
                <w:rFonts w:cs="Times New Roman" w:ascii="Times New Roman" w:hAnsi="Times New Roman"/>
                <w:sz w:val="27"/>
                <w:szCs w:val="27"/>
              </w:rPr>
              <w:t xml:space="preserve">У м. Луцьку є 215 км. асфальтованих доріг. Для дезінфекційної обробки асфальтного покриття вулиць було залучено два спецавтомобілі ЛСКАП «Луцькспецкомунтранс», які працювали щоденно (періодичність обробки однієї і тієї вулиці два рази в тиждень). На день проводилася обробка приблизно 35 - 45 км. вулиць. </w:t>
            </w:r>
          </w:p>
          <w:p>
            <w:pPr>
              <w:pStyle w:val="Normal"/>
              <w:suppressAutoHyphens w:val="true"/>
              <w:ind w:firstLine="705"/>
              <w:jc w:val="both"/>
              <w:textAlignment w:val="baseline"/>
              <w:rPr>
                <w:rFonts w:cs="Arial"/>
              </w:rPr>
            </w:pPr>
            <w:r>
              <w:rPr>
                <w:rFonts w:cs="Times New Roman" w:ascii="Times New Roman" w:hAnsi="Times New Roman"/>
                <w:sz w:val="27"/>
                <w:szCs w:val="27"/>
              </w:rPr>
              <w:t>Дизінфекція під’їздів проводилась силами працівників ЖКП № 2, 3, 7, 11, ТзОВ «МЖК», ЖЕК № 8 ЖБК та силами ОСББ міста. Дезинфікуючий розчин вказаним підприємствам доставлявся на місце розташування підприємств, а для ОСББ видавався згідно списку (пункт роздачі на вул. Теремнівській, 68, із розрахунку 10,0 л на один під’їзд).</w:t>
            </w:r>
          </w:p>
        </w:tc>
      </w:tr>
    </w:tbl>
    <w:p>
      <w:pPr>
        <w:pStyle w:val="Normal"/>
        <w:suppressAutoHyphens w:val="true"/>
        <w:jc w:val="center"/>
        <w:textAlignment w:val="baseline"/>
        <w:rPr>
          <w:rFonts w:ascii="Times New Roman" w:hAnsi="Times New Roman" w:cs="Times New Roman"/>
          <w:sz w:val="27"/>
          <w:szCs w:val="27"/>
        </w:rPr>
      </w:pPr>
      <w:r>
        <w:rPr>
          <w:rFonts w:cs="Times New Roman" w:ascii="Times New Roman" w:hAnsi="Times New Roman"/>
          <w:sz w:val="27"/>
          <w:szCs w:val="27"/>
        </w:rPr>
      </w:r>
    </w:p>
    <w:p>
      <w:pPr>
        <w:pStyle w:val="Normal"/>
        <w:suppressAutoHyphens w:val="true"/>
        <w:jc w:val="center"/>
        <w:textAlignment w:val="baseline"/>
        <w:rPr>
          <w:rFonts w:cs="Arial"/>
        </w:rPr>
      </w:pPr>
      <w:r>
        <w:rPr>
          <w:rFonts w:cs="Times New Roman" w:ascii="Times New Roman" w:hAnsi="Times New Roman"/>
          <w:b/>
          <w:sz w:val="27"/>
          <w:szCs w:val="27"/>
        </w:rPr>
        <w:t>3.2. Транспортна інфраструктура</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686"/>
        <w:gridCol w:w="11625"/>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Придбання 30 нових низькопідлогових тролейбусів за проєктом «Міський громадський транспорт України».</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lang w:eastAsia="ru-RU" w:bidi="ar-SA"/>
              </w:rPr>
              <w:t>27 квітня 2020 року між Луцькою міською радою та ДП «Автоскладальний завод № 1 АТ Автомобільна Компанія Богдан Моторс» підписано контракт на поставку 29 нових низькопідлогових 12-метрових тролейбусів, включно із запасними частинами та витратними матеріалами, а також набір обладнання та інструментів для обслуговування, ремонту та пов'язаних із цим послуг. Кредит у розмірі 4,9 млн євро для оновлення парку громадського транспорту міста надається у рамках проєкту «Міський громадський транспорт України» (UUPTP) Європейським інвестиційним банком.</w:t>
            </w:r>
          </w:p>
          <w:p>
            <w:pPr>
              <w:pStyle w:val="Normal"/>
              <w:suppressAutoHyphens w:val="true"/>
              <w:ind w:firstLine="567"/>
              <w:jc w:val="both"/>
              <w:textAlignment w:val="baseline"/>
              <w:rPr>
                <w:rFonts w:cs="Arial"/>
              </w:rPr>
            </w:pPr>
            <w:r>
              <w:rPr>
                <w:rFonts w:cs="Times New Roman" w:ascii="Times New Roman" w:hAnsi="Times New Roman"/>
                <w:sz w:val="27"/>
                <w:szCs w:val="27"/>
                <w:lang w:eastAsia="ru-RU" w:bidi="ar-SA"/>
              </w:rPr>
              <w:t>Перші два нових тролейбуси розпочали свою роботу у жовтні місяці 2020 року, поставка решти 27 тролейбусів запланована на серпень місяць 2021 року (згідно графіку).</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Модернізація та реконструкція контактної мережі.</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lang w:eastAsia="ru-RU" w:bidi="ar-SA"/>
              </w:rPr>
              <w:t>Протягом звітного року відремонтовано спецчастину контактної мережі «перехрестя» (Київський майдан, Автозавод, готель «Лучеськ», вул. Червоного Хреста, ТЦ «Глобус»), спецчастину контактної мережі «сходна стрілка» (вул. Володимирська, Площа Героїв Майдану, вул. Червоного Хреста), спецчастину контактної мережі «автоматична стрілка» (вул. Ковельська поблизу будівлі «ПАККО»), натяжні ізолятори контактної мережі (280 шт.).</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Оновлення зупинок громадського транспорту за проєктом «Використання екологічних і розумних технологій у системі громадського транспорту міста Луцька».</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510"/>
              <w:jc w:val="both"/>
              <w:textAlignment w:val="baseline"/>
              <w:rPr>
                <w:rFonts w:cs="Arial"/>
              </w:rPr>
            </w:pPr>
            <w:r>
              <w:rPr>
                <w:rFonts w:eastAsia="Times New Roman" w:cs="Times New Roman" w:ascii="Times New Roman" w:hAnsi="Times New Roman"/>
                <w:kern w:val="0"/>
                <w:sz w:val="27"/>
                <w:szCs w:val="27"/>
                <w:lang w:eastAsia="ru-RU" w:bidi="ar-SA"/>
              </w:rPr>
              <w:t xml:space="preserve">Через портал державних закупівель Prozorro у травні було оголошено тендер на закупівлю та встановлення розумних зупинок у місті, які матимуть сучасний дизайн, дерев’яні лавки, контейнери для роздільного збору сміття, внутрішнє освітлення, комплект відеоспостереження, електронне інформаційне табло для відображення часу прибуття громадського транспорту. </w:t>
            </w:r>
          </w:p>
          <w:p>
            <w:pPr>
              <w:pStyle w:val="Normal"/>
              <w:ind w:firstLine="510"/>
              <w:jc w:val="both"/>
              <w:textAlignment w:val="baseline"/>
              <w:rPr>
                <w:rFonts w:cs="Arial"/>
              </w:rPr>
            </w:pPr>
            <w:r>
              <w:rPr>
                <w:rFonts w:eastAsia="Times New Roman" w:cs="Times New Roman" w:ascii="Times New Roman" w:hAnsi="Times New Roman"/>
                <w:kern w:val="0"/>
                <w:sz w:val="27"/>
                <w:szCs w:val="27"/>
                <w:lang w:eastAsia="ru-RU" w:bidi="ar-SA"/>
              </w:rPr>
              <w:t xml:space="preserve">Кошти в розмірі 3,66 млн грн надавалися Федеральним міністерством економічного співробітництва та розвитку Німеччини через Engagement Global gGmbH за проєктом «Використання екологічних і розумних технологій у системі громадського транспорту міста Луцька». </w:t>
            </w:r>
          </w:p>
          <w:p>
            <w:pPr>
              <w:pStyle w:val="Normal"/>
              <w:ind w:firstLine="567"/>
              <w:jc w:val="both"/>
              <w:textAlignment w:val="baseline"/>
              <w:rPr>
                <w:rFonts w:cs="Arial"/>
              </w:rPr>
            </w:pPr>
            <w:r>
              <w:rPr>
                <w:rFonts w:eastAsia="Times New Roman" w:cs="Times New Roman" w:ascii="Times New Roman" w:hAnsi="Times New Roman"/>
                <w:kern w:val="0"/>
                <w:sz w:val="27"/>
                <w:szCs w:val="27"/>
                <w:lang w:eastAsia="ru-RU" w:bidi="ar-SA"/>
              </w:rPr>
              <w:t>За результатами торгів, укладено договори з підрядником СП ТОВ «МОДЕРН-ЕКСПО» Термін поставки товарів - 26.02.2021 року.</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Оптимізація маршрутної мережі громадського транспорту та її розвиток на території Луцької міської територіальної громади.</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567"/>
              <w:jc w:val="both"/>
              <w:textAlignment w:val="baseline"/>
              <w:rPr>
                <w:rFonts w:cs="Arial"/>
              </w:rPr>
            </w:pPr>
            <w:r>
              <w:rPr>
                <w:rFonts w:cs="Times New Roman" w:ascii="Times New Roman" w:hAnsi="Times New Roman"/>
                <w:sz w:val="27"/>
                <w:szCs w:val="27"/>
              </w:rPr>
              <w:t xml:space="preserve">Відновлено роботу автобусного маршруту № 19 до с. Сапогове через с. Прилуцьке. Організовано роботу автобусів маршруту № 9 до району Вересневе. </w:t>
            </w:r>
          </w:p>
          <w:p>
            <w:pPr>
              <w:pStyle w:val="Normal"/>
              <w:widowControl w:val="false"/>
              <w:suppressAutoHyphens w:val="true"/>
              <w:snapToGrid w:val="false"/>
              <w:ind w:firstLine="567"/>
              <w:jc w:val="both"/>
              <w:textAlignment w:val="baseline"/>
              <w:rPr>
                <w:rFonts w:cs="Arial"/>
              </w:rPr>
            </w:pPr>
            <w:r>
              <w:rPr>
                <w:rFonts w:cs="Times New Roman" w:ascii="Times New Roman" w:hAnsi="Times New Roman"/>
                <w:sz w:val="27"/>
                <w:szCs w:val="27"/>
              </w:rPr>
              <w:t xml:space="preserve">Внесено зміни у схему руху автобусів маршруту№ 26 в частині проїзду на проспектах Перемоги, Соборності, Молоді, Відродження, вулиці Рівненській до ТЦ «Епіцентр». Рух автобусів маршруту № 32 організовано до с. Липини. </w:t>
            </w:r>
          </w:p>
          <w:p>
            <w:pPr>
              <w:pStyle w:val="Normal"/>
              <w:widowControl w:val="false"/>
              <w:suppressAutoHyphens w:val="true"/>
              <w:snapToGrid w:val="false"/>
              <w:ind w:firstLine="567"/>
              <w:jc w:val="both"/>
              <w:textAlignment w:val="baseline"/>
              <w:rPr>
                <w:rFonts w:cs="Arial"/>
              </w:rPr>
            </w:pPr>
            <w:r>
              <w:rPr>
                <w:rFonts w:cs="Times New Roman" w:ascii="Times New Roman" w:hAnsi="Times New Roman"/>
                <w:sz w:val="27"/>
                <w:szCs w:val="27"/>
              </w:rPr>
              <w:t xml:space="preserve">Відкрито автобусний маршрут № 37 до с. Жабка. Внесено зміни в схему руху автобусів маршрутів № 9 та № 10 в частині заїзду до нового ринку. Збільшено кількість автобусів на маршрутах № 9 (два автобуси), № 25 (один автобус), № 29 (один автобус), № 28 (один автобус), № 26 (один автобус). Проведено конкурси на перевезення пасажирів та залучено перевізників на маршрути №№ 3, 6, 9, 11, 19, 22а, 23, 27, 27а, 28, 32.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Впровадження  та удосконалення автоматизованої системи обліку оплати проїзду на пасажирському транспорті.</w:t>
            </w:r>
          </w:p>
          <w:p>
            <w:pPr>
              <w:pStyle w:val="Normal"/>
              <w:suppressAutoHyphens w:val="true"/>
              <w:jc w:val="both"/>
              <w:textAlignment w:val="baseline"/>
              <w:rPr>
                <w:rFonts w:cs="Arial"/>
              </w:rPr>
            </w:pPr>
            <w:r>
              <w:rPr>
                <w:rFonts w:cs="Times New Roman" w:ascii="Times New Roman" w:hAnsi="Times New Roman"/>
                <w:sz w:val="27"/>
                <w:szCs w:val="27"/>
              </w:rPr>
              <w:t>та покращення транспортної логістики в місті.</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720" w:leader="none"/>
                <w:tab w:val="left" w:pos="900" w:leader="none"/>
                <w:tab w:val="left" w:pos="7371" w:leader="none"/>
              </w:tabs>
              <w:suppressAutoHyphens w:val="true"/>
              <w:snapToGrid w:val="false"/>
              <w:ind w:firstLine="510"/>
              <w:jc w:val="both"/>
              <w:textAlignment w:val="baseline"/>
              <w:rPr>
                <w:rFonts w:cs="Arial"/>
              </w:rPr>
            </w:pPr>
            <w:r>
              <w:rPr>
                <w:rFonts w:cs="Times New Roman" w:ascii="Times New Roman" w:hAnsi="Times New Roman"/>
                <w:sz w:val="27"/>
                <w:szCs w:val="27"/>
              </w:rPr>
              <w:t xml:space="preserve">Укладено договори про організацію та обслуговування електронних систем з 13 перевізниками міського електро - та автотранспорту. Обладнання автоматизованої системи обліку оплати проїзду функціонує у 42 тролейбусах, 167 автобусах. Оператором електронних систем ТОВ «СІТІ КАРД СИСТЕМ» забезпечено функціонування 40 терміналів з продажу та поповнення електронних квитків. </w:t>
            </w:r>
          </w:p>
          <w:p>
            <w:pPr>
              <w:pStyle w:val="Normal"/>
              <w:tabs>
                <w:tab w:val="clear" w:pos="709"/>
                <w:tab w:val="left" w:pos="720" w:leader="none"/>
                <w:tab w:val="left" w:pos="900" w:leader="none"/>
                <w:tab w:val="left" w:pos="7371" w:leader="none"/>
              </w:tabs>
              <w:suppressAutoHyphens w:val="true"/>
              <w:snapToGrid w:val="false"/>
              <w:ind w:firstLine="510"/>
              <w:jc w:val="both"/>
              <w:textAlignment w:val="baseline"/>
              <w:rPr>
                <w:rFonts w:cs="Arial"/>
              </w:rPr>
            </w:pPr>
            <w:r>
              <w:rPr>
                <w:rFonts w:cs="Times New Roman" w:ascii="Times New Roman" w:hAnsi="Times New Roman"/>
                <w:sz w:val="27"/>
                <w:szCs w:val="27"/>
              </w:rPr>
              <w:t xml:space="preserve">Оновлено мобільний додаток Citycard Lutsk, а саме: додано можливість здійснення оплати за проїзд за допомогою технології NFC, надано доступ до перегляду руху коштів по електронним квиткам, як пластикового варіанту, так і згенерованого у додатку. Відкрито особистий кабінет на порталі citycard net з можливістю відслідковування таких даних про громадський транспорт як рух онлайн, графіки руху транспорту, перегляд балансу та руху коштів за електронним квитком. Розробникам програмного забезпечення надано «api-доступ» до місцеположення транспортних засобів згідно даних, згенерованими в АСООП. </w:t>
            </w:r>
          </w:p>
          <w:p>
            <w:pPr>
              <w:pStyle w:val="Normal"/>
              <w:tabs>
                <w:tab w:val="clear" w:pos="709"/>
                <w:tab w:val="left" w:pos="720" w:leader="none"/>
                <w:tab w:val="left" w:pos="900" w:leader="none"/>
                <w:tab w:val="left" w:pos="7371" w:leader="none"/>
              </w:tabs>
              <w:suppressAutoHyphens w:val="true"/>
              <w:snapToGrid w:val="false"/>
              <w:ind w:firstLine="510"/>
              <w:jc w:val="both"/>
              <w:textAlignment w:val="baseline"/>
              <w:rPr>
                <w:rFonts w:cs="Arial"/>
              </w:rPr>
            </w:pPr>
            <w:r>
              <w:rPr>
                <w:rFonts w:cs="Times New Roman" w:ascii="Times New Roman" w:hAnsi="Times New Roman"/>
                <w:sz w:val="27"/>
                <w:szCs w:val="27"/>
              </w:rPr>
              <w:t xml:space="preserve">На Єдиному державному вебпорталі відкритих даних оновлено набір «Дані про місцезнаходження громадського транспорту в режимі реального часу. </w:t>
            </w:r>
          </w:p>
        </w:tc>
      </w:tr>
      <w:tr>
        <w:trPr>
          <w:trHeight w:val="453" w:hRule="atLeast"/>
        </w:trPr>
        <w:tc>
          <w:tcPr>
            <w:tcW w:w="1587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
                <w:bCs/>
                <w:sz w:val="27"/>
                <w:szCs w:val="27"/>
              </w:rPr>
              <w:t>Заходи, які були додатково впроваджені під час карантину</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ascii="Times New Roman" w:hAnsi="Times New Roman" w:cs="Times New Roman"/>
                <w:bCs/>
                <w:sz w:val="27"/>
                <w:szCs w:val="27"/>
              </w:rPr>
            </w:pPr>
            <w:r>
              <w:rPr>
                <w:rFonts w:cs="Times New Roman" w:ascii="Times New Roman" w:hAnsi="Times New Roman"/>
                <w:bCs/>
                <w:sz w:val="27"/>
                <w:szCs w:val="27"/>
              </w:rPr>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Перевезення працівників медичних закладів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720" w:leader="none"/>
                <w:tab w:val="left" w:pos="900" w:leader="none"/>
                <w:tab w:val="left" w:pos="7371" w:leader="none"/>
              </w:tabs>
              <w:suppressAutoHyphens w:val="true"/>
              <w:snapToGrid w:val="false"/>
              <w:ind w:firstLine="658"/>
              <w:jc w:val="both"/>
              <w:textAlignment w:val="baseline"/>
              <w:rPr>
                <w:rFonts w:cs="Arial"/>
              </w:rPr>
            </w:pPr>
            <w:r>
              <w:rPr>
                <w:rFonts w:cs="Times New Roman" w:ascii="Times New Roman" w:hAnsi="Times New Roman"/>
                <w:sz w:val="27"/>
                <w:szCs w:val="27"/>
              </w:rPr>
              <w:t>Під час жорстких карантинних обмежень, які діяли у місті протягом березня - травня, перевізниками міста було залучено 35 автобусів для забезпечення перевезень працівників медичних закладів. Розроблені логічні маршрути для оптимального підвезення до місць праці та повернення до місць проживання. За кожним медичним закладом були закріплені окремі транспортні засоби, що унеможливило перебування одночасно в салоні працівників різних лікарень (1 543,5 тис. грн).</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ascii="Times New Roman" w:hAnsi="Times New Roman" w:cs="Times New Roman"/>
                <w:bCs/>
                <w:sz w:val="27"/>
                <w:szCs w:val="27"/>
              </w:rPr>
            </w:pPr>
            <w:r>
              <w:rPr>
                <w:rFonts w:cs="Times New Roman" w:ascii="Times New Roman" w:hAnsi="Times New Roman"/>
                <w:bCs/>
                <w:sz w:val="27"/>
                <w:szCs w:val="27"/>
              </w:rPr>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Заходи з захисту від поширення захворюваності</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720" w:leader="none"/>
                <w:tab w:val="left" w:pos="900" w:leader="none"/>
                <w:tab w:val="left" w:pos="7371"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Усі водії автобусів були забезпечені засобами індивідуального захисту: масками, рукавичками, дезінфекторами. У кожному транспортному засобі проводилась дезінфекція шляхом вологого прибирання салону, протирання поручней. </w:t>
            </w:r>
          </w:p>
          <w:p>
            <w:pPr>
              <w:pStyle w:val="Normal"/>
              <w:tabs>
                <w:tab w:val="clear" w:pos="709"/>
                <w:tab w:val="left" w:pos="720" w:leader="none"/>
                <w:tab w:val="left" w:pos="900" w:leader="none"/>
                <w:tab w:val="left" w:pos="7371" w:leader="none"/>
              </w:tabs>
              <w:suppressAutoHyphens w:val="true"/>
              <w:snapToGrid w:val="false"/>
              <w:ind w:firstLine="567"/>
              <w:jc w:val="both"/>
              <w:textAlignment w:val="baseline"/>
              <w:rPr>
                <w:rFonts w:cs="Arial"/>
              </w:rPr>
            </w:pPr>
            <w:r>
              <w:rPr>
                <w:rFonts w:cs="Times New Roman" w:ascii="Times New Roman" w:hAnsi="Times New Roman"/>
                <w:sz w:val="27"/>
                <w:szCs w:val="27"/>
              </w:rPr>
              <w:t>КП «Луцьке підприємство електротранспорту» визначило пункти, де протягом дня відповідальними особами підприємства проводиться дезінфекція поручней, сидінь, підлоги у тролейбусах. Це райони КРЗ, ГПЗ, Вересневе, Київський майдан.</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ascii="Times New Roman" w:hAnsi="Times New Roman" w:cs="Times New Roman"/>
                <w:bCs/>
                <w:sz w:val="27"/>
                <w:szCs w:val="27"/>
              </w:rPr>
            </w:pPr>
            <w:r>
              <w:rPr>
                <w:rFonts w:cs="Times New Roman" w:ascii="Times New Roman" w:hAnsi="Times New Roman"/>
                <w:bCs/>
                <w:sz w:val="27"/>
                <w:szCs w:val="27"/>
              </w:rPr>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Заходи з перевезення пасажирів під час карантину</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Відповідно до рішення міської ради від 29.05.2020 № 80/1 «Про внесення змін до рішення міської ради від 16.03.2020 № 72/4 «Про тимчасове зупинення роботи об’єктів загального користування, розташованих у м. Луцьку та населених пунктах Прилуцького старостинського округу та з метою попередження розповсюдження захворюваності на гостру респіраторну інфекцію, спричинену коронавірусом COVID-19» з 01.06.2020 відновлено роботу громадського транспорту. Дозволено перевезення пасажирів в межах кількості місць для сидіння, передбачених технічною характеристикою транспортного засобу або визначеної в реєстраційних документах на цей транспортний засіб. Громадянам дозволено перебувати в громадському транспорті лише в засобах індивідуального захисту, зокрема у респіраторах або у захисних масках.</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bCs/>
          <w:spacing w:val="-1"/>
          <w:sz w:val="27"/>
          <w:szCs w:val="27"/>
          <w:lang w:eastAsia="ru-RU"/>
        </w:rPr>
      </w:pPr>
      <w:r>
        <w:rPr>
          <w:rFonts w:cs="Times New Roman" w:ascii="Times New Roman" w:hAnsi="Times New Roman"/>
          <w:b/>
          <w:bCs/>
          <w:spacing w:val="-1"/>
          <w:sz w:val="27"/>
          <w:szCs w:val="27"/>
          <w:lang w:eastAsia="ru-RU"/>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3.3. Містобудівна політика</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686"/>
        <w:gridCol w:w="11625"/>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68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Реконструкція КЗ «Луцька музична школа № 3» на вул. Гнідавській, 65.</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Реконструкцію КЗ «Луцька музична школа № 3» на вул. Гнідавській, 65 завершено. Виконано робіт на суму 11 413,6 тис. грн (згідно договору на закупівлю робіт за державні кошти підрядником було ТзОВ «АЛЬФА-БУД ЗАХІД» ).</w:t>
            </w:r>
          </w:p>
          <w:p>
            <w:pPr>
              <w:pStyle w:val="Normal"/>
              <w:suppressAutoHyphens w:val="true"/>
              <w:snapToGrid w:val="false"/>
              <w:jc w:val="both"/>
              <w:textAlignment w:val="baseline"/>
              <w:rPr>
                <w:rFonts w:ascii="Times New Roman" w:hAnsi="Times New Roman" w:cs="Times New Roman"/>
                <w:sz w:val="27"/>
                <w:szCs w:val="27"/>
              </w:rPr>
            </w:pPr>
            <w:r>
              <w:rPr>
                <w:rFonts w:cs="Times New Roman" w:ascii="Times New Roman" w:hAnsi="Times New Roman"/>
                <w:sz w:val="27"/>
                <w:szCs w:val="27"/>
              </w:rPr>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Капітальний ремонт фасадів Луцької міської дитячої поліклініки на                     просп. Волі, 3а в м. Луцьку</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bCs/>
                <w:sz w:val="27"/>
                <w:szCs w:val="27"/>
              </w:rPr>
              <w:t>У звітному періоді роботи не виконувались. Всього виконано робіт на суму 2 970,0 тис. грн (47,0 %). Згідно договору на закупівлю робіт за державні кошти підрядником є ПП «Ефект».</w:t>
            </w:r>
          </w:p>
          <w:p>
            <w:pPr>
              <w:pStyle w:val="Normal"/>
              <w:widowControl w:val="false"/>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Розроблення схеми планування території Луцької міської територіальної громади</w:t>
            </w:r>
          </w:p>
          <w:p>
            <w:pPr>
              <w:pStyle w:val="Normal"/>
              <w:suppressAutoHyphens w:val="true"/>
              <w:jc w:val="both"/>
              <w:textAlignment w:val="baseline"/>
              <w:rPr>
                <w:rFonts w:ascii="Times New Roman" w:hAnsi="Times New Roman" w:cs="Times New Roman"/>
                <w:b/>
                <w:b/>
                <w:bCs/>
                <w:sz w:val="27"/>
                <w:szCs w:val="27"/>
              </w:rPr>
            </w:pPr>
            <w:r>
              <w:rPr>
                <w:rFonts w:cs="Times New Roman" w:ascii="Times New Roman" w:hAnsi="Times New Roman"/>
                <w:b/>
                <w:bCs/>
                <w:sz w:val="27"/>
                <w:szCs w:val="27"/>
              </w:rPr>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Роботи щодо розробки схеми планування території Луцької міської територіальної громади у звітному періоді не проводилися.</w:t>
            </w:r>
          </w:p>
          <w:p>
            <w:pPr>
              <w:pStyle w:val="Normal"/>
              <w:suppressAutoHyphens w:val="true"/>
              <w:snapToGrid w:val="false"/>
              <w:ind w:firstLine="510"/>
              <w:jc w:val="both"/>
              <w:textAlignment w:val="baseline"/>
              <w:rPr>
                <w:rFonts w:cs="Arial"/>
              </w:rPr>
            </w:pPr>
            <w:r>
              <w:rPr>
                <w:rFonts w:cs="Times New Roman" w:ascii="Times New Roman" w:hAnsi="Times New Roman"/>
                <w:bCs/>
                <w:sz w:val="27"/>
                <w:szCs w:val="27"/>
              </w:rPr>
              <w:t>Однак, оголошено Всеукраїнський відкритий архітектурний конкурс на найкращу концепцію облаштування території, прилеглої до Луцького замку.</w:t>
            </w:r>
            <w:r>
              <w:rPr>
                <w:rFonts w:cs="Times New Roman" w:ascii="Times New Roman" w:hAnsi="Times New Roman"/>
                <w:sz w:val="27"/>
                <w:szCs w:val="27"/>
              </w:rPr>
              <w:t xml:space="preserve"> Там повинні бути зелені насадження, дитячі майданчики, при цьому допускається торгівля продовольчими товарами за умови належного оформлення і дотримання санітарних вимог. Можлива торгівля сувенірами, облаштування парковки, різноманітні атракції, що будуть цікаві лучанам і гостям міста.</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Загалом, на конкурс подано 19 конкурсних проєктів з усієї України.</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Архітектурний конкурс, проводився у 2 тури. В ІІ турі прийняло участь 6 конкурсних проєктів, серед яких професійним міжнародним журі було визначено переможців.</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Призовий фонд конкурсу склав 200,0 тис.грн., з яких 150 тис. грн. – премії переможців конкурсу, а 50,0 тис. грн. – заохочувальні премії учасникам ІІ туру.</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І премію отримала архітекторка з м. Дубно – Лисюк Мар’яна Миколаївна (премія                  75,0 тис. грн.).</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За результатами Всеукраїнського архітектурного конкурсу, членами журі відзначено три конкурсні проєкти, які в подальшому стануть основою для проєктів облаштування території, прилеглої до Луцького замку.</w:t>
            </w:r>
          </w:p>
        </w:tc>
      </w:tr>
      <w:tr>
        <w:trPr>
          <w:trHeight w:val="41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Розроблення та затвердження детальних планів території забудови районів Луцької міської територіальної громади</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Прийнято рішення міської ради щодо надання дозволів на розроблення (коригування) детальних планів території міста: від 22.07.2020 № 88/12 «Про надання дозволу на розроблення проєкту детального плану території вздовж просп. Волі (від проїзду між будинками № 52 та № 54 на просп Волі до вул. Кременецької)».</w:t>
            </w:r>
          </w:p>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xml:space="preserve">Рішення виконавчого комітету щодо затвердження проєктів детальних планів території міста: </w:t>
            </w:r>
          </w:p>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від 08.09.2020 № 490-1 «Про затвердження проєкту детального плану території вулиці Клима Савура у місті Луцьку»;</w:t>
            </w:r>
          </w:p>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від 16.10.2020 № 602-1 «Про затвердження коригування проєкту детального плану території мікрорайону в межах вулиць Карпенка-Карого, В’ячеслава Чорновола, Ветеранів та проспекту Соборності»;</w:t>
            </w:r>
          </w:p>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xml:space="preserve">- від 16.10.2020 № 603-1 «Про затвердження коригування проєкту детального плану території в межах вулиць Львівської, Цегельної та Супутника у місті Луцьку».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Розвиток містобудівного кадастру.</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Відповідно до «Програми розвитку інформаційної системи містобудівного кадастру на території міста Луцька» д</w:t>
            </w:r>
            <w:r>
              <w:rPr>
                <w:rFonts w:cs="Times New Roman" w:ascii="Times New Roman" w:hAnsi="Times New Roman"/>
                <w:bCs/>
                <w:sz w:val="27"/>
                <w:szCs w:val="27"/>
              </w:rPr>
              <w:t xml:space="preserve">ля забезпечення впровадження нової системи координат УСК-2000 (МСК-07) на територію міста Луцька у 2020 році виконано роботи щодо часткової реконструкції геодезичної мережі міста та прив’язку її до Державної геодезичної мережі у системі координат УСК-2000 (МСК-07), розроблено локальне трансформаційне поле на територію міста для коректного переводу існуючих картографічних та інших графічних матеріалів (містобудівної документації) із місцевої системи координат (МСК), СК-42, СК-63 у систему координат УСК-2000 або МСК-07 (Волинської області). </w:t>
            </w:r>
          </w:p>
          <w:p>
            <w:pPr>
              <w:pStyle w:val="Normal"/>
              <w:widowControl w:val="false"/>
              <w:suppressAutoHyphens w:val="true"/>
              <w:ind w:firstLine="510"/>
              <w:jc w:val="both"/>
              <w:textAlignment w:val="baseline"/>
              <w:rPr>
                <w:rFonts w:cs="Arial"/>
              </w:rPr>
            </w:pPr>
            <w:r>
              <w:rPr>
                <w:rFonts w:cs="Times New Roman" w:ascii="Times New Roman" w:hAnsi="Times New Roman"/>
                <w:bCs/>
                <w:sz w:val="27"/>
                <w:szCs w:val="27"/>
              </w:rPr>
              <w:t xml:space="preserve">Виготовлено топографічні плани та ортофотоплани на територію Прилуцького старостинського округу (с. Прилуцьке, Дачне, Жабка, Сапогове). Завершено роботи щодо внесення на геопортал відкритих даних Луцької міської ради дозвільної містобудівної документації починаючи з 2011 року по 2020 рік включно (містобудівні умови та обмеження, будівельні паспорти). </w:t>
            </w:r>
          </w:p>
          <w:p>
            <w:pPr>
              <w:pStyle w:val="Normal"/>
              <w:widowControl w:val="false"/>
              <w:suppressAutoHyphens w:val="true"/>
              <w:ind w:firstLine="510"/>
              <w:jc w:val="both"/>
              <w:textAlignment w:val="baseline"/>
              <w:rPr>
                <w:rFonts w:cs="Arial"/>
              </w:rPr>
            </w:pPr>
            <w:r>
              <w:rPr>
                <w:rFonts w:cs="Times New Roman" w:ascii="Times New Roman" w:hAnsi="Times New Roman"/>
                <w:bCs/>
                <w:sz w:val="27"/>
                <w:szCs w:val="27"/>
              </w:rPr>
              <w:t xml:space="preserve">Розпочато роботи щодо ведення адресного реєстру населених пунктів Прилуцького старостинського округу. </w:t>
            </w:r>
          </w:p>
        </w:tc>
      </w:tr>
    </w:tbl>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3.4. Енергозбереження та енергоефективність</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686"/>
        <w:gridCol w:w="11625"/>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900" w:leader="none"/>
              </w:tabs>
              <w:suppressAutoHyphens w:val="true"/>
              <w:jc w:val="both"/>
              <w:textAlignment w:val="baseline"/>
              <w:rPr>
                <w:rFonts w:cs="Arial"/>
              </w:rPr>
            </w:pPr>
            <w:r>
              <w:rPr>
                <w:rFonts w:cs="Times New Roman" w:ascii="Times New Roman" w:hAnsi="Times New Roman"/>
                <w:sz w:val="27"/>
                <w:szCs w:val="27"/>
              </w:rPr>
              <w:t>Проведення інструментальних обстежень будівель бюджетних закладів, в яких були впроваджені заходи з енергозбереження та з  високим питомим споживання енергоносіїв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285" w:leader="none"/>
              </w:tabs>
              <w:suppressAutoHyphens w:val="true"/>
              <w:ind w:firstLine="567"/>
              <w:jc w:val="both"/>
              <w:textAlignment w:val="baseline"/>
              <w:rPr>
                <w:rFonts w:cs="Arial"/>
              </w:rPr>
            </w:pPr>
            <w:r>
              <w:rPr>
                <w:rFonts w:cs="Times New Roman" w:ascii="Times New Roman" w:hAnsi="Times New Roman"/>
                <w:bCs/>
                <w:sz w:val="27"/>
                <w:szCs w:val="27"/>
              </w:rPr>
              <w:t>У 2020 році було проведено обстеження закладу дошкільної освіти № 19, навчально-виховного комплексу № 9, загальноосвітньої школи І-Ш ступенів № 25, навчально - виховного комплексу № 26, Луцького ліцею № 27, Луцької художньої школи, музичної школи № 1 імені Фридерика Шопена. Окремо було проведено інструментальні обстеження закладів бюджетної сфери сіл, а саме: Озденіж, Іванчиці, Брище, Зміїнець, Милуші, Княгининок, Рокині, Сирники, Жидичин, Прилуцьке, Сапогове, Дачне, Кульчин, Липляни.</w:t>
            </w:r>
          </w:p>
          <w:p>
            <w:pPr>
              <w:pStyle w:val="Normal"/>
              <w:suppressAutoHyphens w:val="true"/>
              <w:snapToGrid w:val="false"/>
              <w:ind w:firstLine="567"/>
              <w:jc w:val="both"/>
              <w:textAlignment w:val="baseline"/>
              <w:rPr>
                <w:rFonts w:ascii="Times New Roman" w:hAnsi="Times New Roman" w:cs="Times New Roman"/>
                <w:bCs/>
                <w:sz w:val="27"/>
                <w:szCs w:val="27"/>
              </w:rPr>
            </w:pPr>
            <w:r>
              <w:rPr>
                <w:rFonts w:cs="Times New Roman" w:ascii="Times New Roman" w:hAnsi="Times New Roman"/>
                <w:bCs/>
                <w:sz w:val="27"/>
                <w:szCs w:val="27"/>
              </w:rPr>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900" w:leader="none"/>
              </w:tabs>
              <w:suppressAutoHyphens w:val="true"/>
              <w:jc w:val="both"/>
              <w:textAlignment w:val="baseline"/>
              <w:rPr>
                <w:rFonts w:cs="Arial"/>
              </w:rPr>
            </w:pPr>
            <w:r>
              <w:rPr>
                <w:rFonts w:cs="Times New Roman" w:ascii="Times New Roman" w:hAnsi="Times New Roman"/>
                <w:sz w:val="27"/>
                <w:szCs w:val="27"/>
              </w:rPr>
              <w:t>Розширення бази об’єктів моніторингу споживання енергоносіїв закладів бюджетної сфери із використанням системи онлайн моніторингу «ЕнергоПлан»</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900" w:leader="none"/>
              </w:tabs>
              <w:suppressAutoHyphens w:val="true"/>
              <w:snapToGrid w:val="false"/>
              <w:ind w:firstLine="567"/>
              <w:jc w:val="both"/>
              <w:textAlignment w:val="baseline"/>
              <w:rPr>
                <w:rFonts w:cs="Arial"/>
              </w:rPr>
            </w:pPr>
            <w:r>
              <w:rPr>
                <w:rFonts w:cs="Times New Roman" w:ascii="Times New Roman" w:hAnsi="Times New Roman"/>
                <w:sz w:val="27"/>
                <w:szCs w:val="27"/>
              </w:rPr>
              <w:t>У базу об’єктів моніторингу із використанням системи онлайн моніторингу «ЕнергоПлан» додано Прилуцький ліцей № 29, школу, яка знаходиться на території села Жидичин, школу та заклад дошкільної освіти села Княгининок, Прилуцький Будинок культури, амбулаторію сімейної медицини № 6 села Прилуцьке.</w:t>
            </w:r>
          </w:p>
          <w:p>
            <w:pPr>
              <w:pStyle w:val="Normal"/>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ascii="Times New Roman" w:hAnsi="Times New Roman" w:cs="Times New Roman"/>
                <w:bCs/>
                <w:sz w:val="27"/>
                <w:szCs w:val="27"/>
              </w:rPr>
            </w:pPr>
            <w:r>
              <w:rPr>
                <w:rFonts w:cs="Times New Roman" w:ascii="Times New Roman" w:hAnsi="Times New Roman"/>
                <w:bCs/>
                <w:sz w:val="27"/>
                <w:szCs w:val="27"/>
              </w:rPr>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900" w:leader="none"/>
              </w:tabs>
              <w:suppressAutoHyphens w:val="true"/>
              <w:jc w:val="both"/>
              <w:textAlignment w:val="baseline"/>
              <w:rPr>
                <w:rFonts w:cs="Arial"/>
              </w:rPr>
            </w:pPr>
            <w:r>
              <w:rPr>
                <w:rFonts w:cs="Times New Roman" w:ascii="Times New Roman" w:hAnsi="Times New Roman"/>
                <w:sz w:val="27"/>
                <w:szCs w:val="27"/>
              </w:rPr>
              <w:t>Проведення та участь у щорічних Днях Сталої Енергії</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bCs/>
                <w:sz w:val="27"/>
                <w:szCs w:val="27"/>
              </w:rPr>
              <w:t>У вересні 2020 року в умовах карантинних обмежень, було проведено наступні заходи із відзначення щорічного Дня Сталої Енергії: у</w:t>
            </w:r>
            <w:r>
              <w:rPr>
                <w:rFonts w:cs="Times New Roman" w:ascii="Times New Roman" w:hAnsi="Times New Roman"/>
                <w:bCs/>
                <w:iCs/>
                <w:sz w:val="27"/>
                <w:szCs w:val="27"/>
              </w:rPr>
              <w:t xml:space="preserve"> бібліотеці-філії № 6 проведено виставку щодо новітніх технологій енергозбереження та енергоефективності у будівлях та популяризації ощадливого використання енергоресурсів, у бюджетних закладах, які включено до системи моніторингу «Енергоплан», розміщено плакати Display (сертифікат з обрахунком рівня енергоефективності будівель), у департаменті ЦНАП було розміщено інформаційний ролик та буклети «Можливості програми «Енергодім» для ОСББ», проведено конкурс малюнків для учнів шкіл на тему «Збережемо енергію – збережемо природу».</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900" w:leader="none"/>
              </w:tabs>
              <w:suppressAutoHyphens w:val="true"/>
              <w:jc w:val="both"/>
              <w:textAlignment w:val="baseline"/>
              <w:rPr>
                <w:rFonts w:cs="Arial"/>
              </w:rPr>
            </w:pPr>
            <w:r>
              <w:rPr>
                <w:rFonts w:cs="Times New Roman" w:ascii="Times New Roman" w:hAnsi="Times New Roman"/>
                <w:sz w:val="27"/>
                <w:szCs w:val="27"/>
              </w:rPr>
              <w:t>Впровадження проєкту «Енергоефективність в громадських будівлях міста Луцька» у співпраці з НЕФКО</w:t>
            </w:r>
          </w:p>
          <w:p>
            <w:pPr>
              <w:pStyle w:val="Normal"/>
              <w:tabs>
                <w:tab w:val="clear" w:pos="709"/>
                <w:tab w:val="left" w:pos="900" w:leader="none"/>
              </w:tabs>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eastAsia="Times New Roman" w:cs="Times New Roman" w:ascii="Times New Roman" w:hAnsi="Times New Roman"/>
                <w:bCs/>
                <w:sz w:val="27"/>
                <w:szCs w:val="27"/>
              </w:rPr>
              <w:t>У звітному році з</w:t>
            </w:r>
            <w:r>
              <w:rPr>
                <w:rFonts w:cs="Times New Roman" w:ascii="Times New Roman" w:hAnsi="Times New Roman"/>
                <w:bCs/>
                <w:sz w:val="27"/>
                <w:szCs w:val="27"/>
              </w:rPr>
              <w:t xml:space="preserve">авершено роботи щодо заміни ламп розжарення на енергоощадні та встановлення нового кухонного обладнання у бюджетних закладах управління освіти Луцької міської ради, замінено труби централізованого теплопостачання у Луцькому ліцеї № 28 ( вул. Дубнівська,32,м. Луцьк). </w:t>
            </w:r>
          </w:p>
          <w:p>
            <w:pPr>
              <w:pStyle w:val="Normal"/>
              <w:suppressAutoHyphens w:val="true"/>
              <w:ind w:firstLine="567"/>
              <w:jc w:val="both"/>
              <w:textAlignment w:val="baseline"/>
              <w:rPr>
                <w:rFonts w:cs="Arial"/>
              </w:rPr>
            </w:pPr>
            <w:r>
              <w:rPr>
                <w:rFonts w:cs="Times New Roman" w:ascii="Times New Roman" w:hAnsi="Times New Roman"/>
                <w:sz w:val="27"/>
                <w:szCs w:val="27"/>
              </w:rPr>
              <w:t>Утеплено покрівлі та фасади, замінено вікна у з</w:t>
            </w:r>
            <w:r>
              <w:rPr>
                <w:rFonts w:cs="Times New Roman" w:ascii="Times New Roman" w:hAnsi="Times New Roman"/>
                <w:bCs/>
                <w:sz w:val="27"/>
                <w:szCs w:val="27"/>
              </w:rPr>
              <w:t>агальноосвітній школі І-ІІ ступенів № 11 – колегіумі</w:t>
            </w:r>
            <w:r>
              <w:rPr>
                <w:rFonts w:cs="Times New Roman" w:ascii="Times New Roman" w:hAnsi="Times New Roman"/>
                <w:sz w:val="27"/>
                <w:szCs w:val="27"/>
              </w:rPr>
              <w:t xml:space="preserve"> та загальноосвітній школі І-Ш ступенів № 16, н</w:t>
            </w:r>
            <w:r>
              <w:rPr>
                <w:rFonts w:cs="Times New Roman" w:ascii="Times New Roman" w:hAnsi="Times New Roman"/>
                <w:bCs/>
                <w:sz w:val="27"/>
                <w:szCs w:val="27"/>
              </w:rPr>
              <w:t xml:space="preserve">авчально-виховному комплексі № 9, </w:t>
            </w:r>
            <w:r>
              <w:rPr>
                <w:rFonts w:eastAsia="Times New Roman" w:cs="Times New Roman" w:ascii="Times New Roman" w:hAnsi="Times New Roman"/>
                <w:bCs/>
                <w:sz w:val="27"/>
                <w:szCs w:val="27"/>
              </w:rPr>
              <w:t>у навчально-виховному комплексі загальноосвітній школі І-ІІІ ступенів № 22 – ліцеї, навчально-виховному комплексі загальноосвітній школі І-ІІ ступенів № 24 – технологічному ліцеї, загальноосвітній школі І-Ш ступенів № 15, загальноосвітній школі І-Ш ступенів № 17,навчально-виховному комплексі № 26, загальноосвітній школі І-Ш ступенів № 25, Луцькому ліцеї № 28 (2 корпуси), у загальноосвітній школі І-Ш ступенів № 2 (актовому залі). Також, утеплено дах та фасад у навчально-реабілітаційному центрі. Ок</w:t>
            </w:r>
            <w:r>
              <w:rPr>
                <w:rFonts w:cs="Times New Roman" w:ascii="Times New Roman" w:hAnsi="Times New Roman"/>
                <w:sz w:val="27"/>
                <w:szCs w:val="27"/>
              </w:rPr>
              <w:t>рім того, замінено покрівлю у н</w:t>
            </w:r>
            <w:r>
              <w:rPr>
                <w:rFonts w:cs="Times New Roman" w:ascii="Times New Roman" w:hAnsi="Times New Roman"/>
                <w:bCs/>
                <w:sz w:val="27"/>
                <w:szCs w:val="27"/>
              </w:rPr>
              <w:t xml:space="preserve">авчально-виховному комплексі № 9, </w:t>
            </w:r>
            <w:r>
              <w:rPr>
                <w:rFonts w:eastAsia="Times New Roman" w:cs="Times New Roman" w:ascii="Times New Roman" w:hAnsi="Times New Roman"/>
                <w:bCs/>
                <w:sz w:val="27"/>
                <w:szCs w:val="27"/>
              </w:rPr>
              <w:t>замінено вікна, утеплено дах та фасад у Луцькій художній школі, спеціалізованій дитячо-юнацькій спортивній школі олімпійського резерву плавання, Палаці учнівської молоді, Луцькій музичній школі № 1 імені Фридерика Шопена.</w:t>
            </w:r>
          </w:p>
          <w:p>
            <w:pPr>
              <w:pStyle w:val="Normal"/>
              <w:suppressAutoHyphens w:val="true"/>
              <w:ind w:firstLine="567"/>
              <w:jc w:val="both"/>
              <w:textAlignment w:val="baseline"/>
              <w:rPr>
                <w:rFonts w:cs="Arial"/>
              </w:rPr>
            </w:pPr>
            <w:r>
              <w:rPr>
                <w:rFonts w:eastAsia="Times New Roman" w:cs="Times New Roman" w:ascii="Times New Roman" w:hAnsi="Times New Roman"/>
                <w:bCs/>
                <w:sz w:val="27"/>
                <w:szCs w:val="27"/>
              </w:rPr>
              <w:t>У закладах дошкільної освіти № 32та № 10 замінено вікна, двері та покрівлю, а також частково утеплено фасади. У закладах дошкільної освіти № 9 та № 3 повністю замінено вікна та двері та частково утеплено фасад у закладі дошкільної освіти № 9. У дошкільному навчальному закладі (ясла-садку) № 38 комбінованого типу частково утеплено фасади, повністю замінено вікна і частково двері та покрівлю. Утеплено фасад та покрівлю у закладі дошкільної освіти № 33. У закладі дошкільної освіти № 7 частково замінено вікна, а у закладі дошкільної освіти № 20 повністю замінено вікна. У навчально-виховному комплексі загальноосвітній школі І-ІІ ступенів № 10 – професійному ліцеї) замінено вікна та двері на енергозберігаючі.</w:t>
            </w:r>
          </w:p>
          <w:p>
            <w:pPr>
              <w:pStyle w:val="Normal"/>
              <w:suppressAutoHyphens w:val="true"/>
              <w:ind w:firstLine="567"/>
              <w:jc w:val="both"/>
              <w:textAlignment w:val="baseline"/>
              <w:rPr>
                <w:rFonts w:cs="Arial"/>
              </w:rPr>
            </w:pPr>
            <w:r>
              <w:rPr>
                <w:rFonts w:eastAsia="Times New Roman" w:cs="Times New Roman" w:ascii="Times New Roman" w:hAnsi="Times New Roman"/>
                <w:bCs/>
                <w:sz w:val="27"/>
                <w:szCs w:val="27"/>
              </w:rPr>
              <w:t>Встановлено 23 ІТП у бюджетних закладах управління освіти Луцької міської ради.</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Wingdings" w:cs="Times New Roman" w:ascii="Times New Roman" w:hAnsi="Times New Roman"/>
                <w:bCs/>
                <w:sz w:val="27"/>
                <w:szCs w:val="27"/>
              </w:rPr>
              <w:t>4.</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900" w:leader="none"/>
              </w:tabs>
              <w:suppressAutoHyphens w:val="true"/>
              <w:jc w:val="both"/>
              <w:textAlignment w:val="baseline"/>
              <w:rPr>
                <w:rFonts w:cs="Arial"/>
              </w:rPr>
            </w:pPr>
            <w:r>
              <w:rPr>
                <w:rFonts w:eastAsia="Wingdings" w:cs="Times New Roman" w:ascii="Times New Roman" w:hAnsi="Times New Roman"/>
                <w:sz w:val="27"/>
                <w:szCs w:val="27"/>
              </w:rPr>
              <w:t>Забезпечення виконання положень «Меморандуму про партнерство щодо запровадження систем енергетичного менеджменту для підвищення енергетичної ефективності будівель бюджетних установ».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both"/>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На офіційному сайті Луцької міської ради в розділі «Про місто» </w:t>
            </w:r>
            <w:r>
              <w:rPr>
                <w:rFonts w:eastAsia="Times New Roman" w:cs="Times New Roman" w:ascii="Times New Roman" w:hAnsi="Times New Roman"/>
                <w:bCs/>
                <w:sz w:val="27"/>
                <w:szCs w:val="27"/>
              </w:rPr>
              <w:t>‒</w:t>
            </w:r>
            <w:r>
              <w:rPr>
                <w:rFonts w:eastAsia="Wingdings" w:cs="Times New Roman" w:ascii="Times New Roman" w:hAnsi="Times New Roman"/>
                <w:bCs/>
                <w:sz w:val="27"/>
                <w:szCs w:val="27"/>
              </w:rPr>
              <w:t> </w:t>
            </w:r>
            <w:r>
              <w:rPr>
                <w:rFonts w:cs="Times New Roman" w:ascii="Times New Roman" w:hAnsi="Times New Roman"/>
                <w:bCs/>
                <w:sz w:val="27"/>
                <w:szCs w:val="27"/>
              </w:rPr>
              <w:t>«Економіка міста»</w:t>
            </w:r>
            <w:r>
              <w:rPr>
                <w:rFonts w:eastAsia="Wingdings" w:cs="Times New Roman" w:ascii="Times New Roman" w:hAnsi="Times New Roman"/>
                <w:bCs/>
                <w:sz w:val="27"/>
                <w:szCs w:val="27"/>
              </w:rPr>
              <w:t> </w:t>
            </w:r>
            <w:r>
              <w:rPr>
                <w:rFonts w:eastAsia="Times New Roman" w:cs="Times New Roman" w:ascii="Times New Roman" w:hAnsi="Times New Roman"/>
                <w:bCs/>
                <w:sz w:val="27"/>
                <w:szCs w:val="27"/>
              </w:rPr>
              <w:t>‒</w:t>
            </w:r>
            <w:r>
              <w:rPr>
                <w:rFonts w:eastAsia="Wingdings" w:cs="Times New Roman" w:ascii="Times New Roman" w:hAnsi="Times New Roman"/>
                <w:bCs/>
                <w:sz w:val="27"/>
                <w:szCs w:val="27"/>
              </w:rPr>
              <w:t> </w:t>
            </w:r>
            <w:r>
              <w:rPr>
                <w:rFonts w:cs="Times New Roman" w:ascii="Times New Roman" w:hAnsi="Times New Roman"/>
                <w:bCs/>
                <w:sz w:val="27"/>
                <w:szCs w:val="27"/>
              </w:rPr>
              <w:t>«Інвестору»</w:t>
            </w:r>
            <w:r>
              <w:rPr>
                <w:rFonts w:eastAsia="Wingdings" w:cs="Times New Roman" w:ascii="Times New Roman" w:hAnsi="Times New Roman"/>
                <w:bCs/>
                <w:sz w:val="27"/>
                <w:szCs w:val="27"/>
              </w:rPr>
              <w:t> </w:t>
            </w:r>
            <w:r>
              <w:rPr>
                <w:rFonts w:eastAsia="Times New Roman" w:cs="Times New Roman" w:ascii="Times New Roman" w:hAnsi="Times New Roman"/>
                <w:bCs/>
                <w:sz w:val="27"/>
                <w:szCs w:val="27"/>
              </w:rPr>
              <w:t>‒</w:t>
            </w:r>
            <w:r>
              <w:rPr>
                <w:rFonts w:eastAsia="Wingdings" w:cs="Times New Roman" w:ascii="Times New Roman" w:hAnsi="Times New Roman"/>
                <w:bCs/>
                <w:sz w:val="27"/>
                <w:szCs w:val="27"/>
              </w:rPr>
              <w:t> </w:t>
            </w:r>
            <w:r>
              <w:rPr>
                <w:rFonts w:cs="Times New Roman" w:ascii="Times New Roman" w:hAnsi="Times New Roman"/>
                <w:bCs/>
                <w:sz w:val="27"/>
                <w:szCs w:val="27"/>
              </w:rPr>
              <w:t xml:space="preserve">«Об’єкти енергосервісу» розміщено інформацію про впровадження енергосервісу в бюджетних установах. </w:t>
            </w:r>
          </w:p>
          <w:p>
            <w:pPr>
              <w:pStyle w:val="Normal"/>
              <w:suppressAutoHyphens w:val="true"/>
              <w:ind w:firstLine="567"/>
              <w:jc w:val="both"/>
              <w:textAlignment w:val="baseline"/>
              <w:rPr>
                <w:rFonts w:cs="Arial"/>
              </w:rPr>
            </w:pPr>
            <w:r>
              <w:rPr>
                <w:rFonts w:cs="Times New Roman" w:ascii="Times New Roman" w:hAnsi="Times New Roman"/>
                <w:bCs/>
                <w:sz w:val="27"/>
                <w:szCs w:val="27"/>
              </w:rPr>
              <w:t xml:space="preserve">Укладено договори між управлінням освіти Луцької міської ради та ТОВ «ЕСКО ЮА» на впровадження заходів з енергозбереження у дошкільних навчальних закладах (яслах-садку) № 6, 40, закладах дошкільної освіти № 23, 24, 35, 36, загальноосвітній школі І-ІІІ ступенів № 20, загальноосвітній школі І-Ш ступенів № 12. </w:t>
            </w:r>
          </w:p>
          <w:p>
            <w:pPr>
              <w:pStyle w:val="Normal"/>
              <w:suppressAutoHyphens w:val="true"/>
              <w:ind w:firstLine="567"/>
              <w:jc w:val="both"/>
              <w:textAlignment w:val="baseline"/>
              <w:rPr>
                <w:rFonts w:cs="Arial"/>
              </w:rPr>
            </w:pPr>
            <w:r>
              <w:rPr>
                <w:rFonts w:cs="Times New Roman" w:ascii="Times New Roman" w:hAnsi="Times New Roman"/>
                <w:bCs/>
                <w:sz w:val="27"/>
                <w:szCs w:val="27"/>
              </w:rPr>
              <w:t xml:space="preserve">В системі онлайн моніторингу споживання енергоносіїв у бюджетних установах змінено подання показників засобів обліку з щодекадного на дворазове в тиждень. Організовано оперативне реагування на ненормоване підвищення споживання енергоносіїв в установах. Енергоменеджери установ постійно залучалися до участі у семінарах, навчаннях з питань енергоефективності та енергозбереження. </w:t>
            </w:r>
          </w:p>
          <w:p>
            <w:pPr>
              <w:pStyle w:val="Normal"/>
              <w:suppressAutoHyphens w:val="true"/>
              <w:ind w:firstLine="567"/>
              <w:jc w:val="both"/>
              <w:textAlignment w:val="baseline"/>
              <w:rPr>
                <w:rFonts w:cs="Arial"/>
              </w:rPr>
            </w:pPr>
            <w:r>
              <w:rPr>
                <w:rFonts w:cs="Times New Roman" w:ascii="Times New Roman" w:hAnsi="Times New Roman"/>
                <w:bCs/>
                <w:sz w:val="27"/>
                <w:szCs w:val="27"/>
              </w:rPr>
              <w:t>Працівниками відділу з енергозбереження проводилися інструментальні обстеження закладів бюджетної сфери для виявлення наднормативного споживання енергоносіїв та перевірки якості виконаних робіт з енергомодернізації.</w:t>
            </w:r>
          </w:p>
        </w:tc>
      </w:tr>
    </w:tbl>
    <w:p>
      <w:pPr>
        <w:pStyle w:val="Normal"/>
        <w:tabs>
          <w:tab w:val="clear" w:pos="709"/>
          <w:tab w:val="left" w:pos="540" w:leader="none"/>
        </w:tabs>
        <w:suppressAutoHyphens w:val="true"/>
        <w:jc w:val="center"/>
        <w:textAlignment w:val="baseline"/>
        <w:rPr>
          <w:rFonts w:ascii="Times New Roman" w:hAnsi="Times New Roman" w:eastAsia="Wingdings" w:cs="Times New Roman"/>
          <w:b/>
          <w:b/>
          <w:bCs/>
          <w:sz w:val="27"/>
          <w:szCs w:val="27"/>
        </w:rPr>
      </w:pPr>
      <w:r>
        <w:rPr>
          <w:rFonts w:eastAsia="Wingdings" w:cs="Times New Roman" w:ascii="Times New Roman" w:hAnsi="Times New Roman"/>
          <w:b/>
          <w:bCs/>
          <w:sz w:val="27"/>
          <w:szCs w:val="27"/>
        </w:rPr>
      </w:r>
    </w:p>
    <w:p>
      <w:pPr>
        <w:pStyle w:val="Normal"/>
        <w:tabs>
          <w:tab w:val="clear" w:pos="709"/>
          <w:tab w:val="left" w:pos="540" w:leader="none"/>
        </w:tabs>
        <w:suppressAutoHyphens w:val="true"/>
        <w:jc w:val="center"/>
        <w:textAlignment w:val="baseline"/>
        <w:rPr>
          <w:rFonts w:cs="Arial"/>
        </w:rPr>
      </w:pPr>
      <w:r>
        <w:rPr>
          <w:rFonts w:eastAsia="Wingdings" w:cs="Times New Roman" w:ascii="Times New Roman" w:hAnsi="Times New Roman"/>
          <w:b/>
          <w:bCs/>
          <w:sz w:val="27"/>
          <w:szCs w:val="27"/>
        </w:rPr>
        <w:t>3.6. Правила благоустрою міста та громадський порядок</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686"/>
        <w:gridCol w:w="11625"/>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68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Контроль за станом благоустрою території міста, а саме: за сезонним очищенням міста від снігу та листя, недопущення спалювання сміття на території міста та появі стихійної реклами, за порядком вигулу домашніх тварин, викидами сміття та зливання нечистот, недопущенням паркування на зелених зонах.</w:t>
            </w:r>
          </w:p>
        </w:tc>
        <w:tc>
          <w:tcPr>
            <w:tcW w:w="116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ind w:firstLine="567"/>
              <w:jc w:val="both"/>
              <w:textAlignment w:val="baseline"/>
              <w:rPr>
                <w:rFonts w:cs="Arial"/>
              </w:rPr>
            </w:pPr>
            <w:r>
              <w:rPr>
                <w:rFonts w:cs="Times New Roman" w:ascii="Times New Roman" w:hAnsi="Times New Roman"/>
                <w:sz w:val="27"/>
                <w:szCs w:val="27"/>
              </w:rPr>
              <w:t>Впродовж звітного періоду постійно проводилась ефективна робота у сфері дотримання громадянами, підприємствами, установами та організаціями Правил благоустрою міста Луцька, а саме здійснювався контроль:</w:t>
            </w:r>
          </w:p>
          <w:p>
            <w:pPr>
              <w:pStyle w:val="Normal"/>
              <w:suppressAutoHyphens w:val="true"/>
              <w:ind w:firstLine="567"/>
              <w:jc w:val="both"/>
              <w:textAlignment w:val="baseline"/>
              <w:rPr>
                <w:rFonts w:cs="Arial"/>
              </w:rPr>
            </w:pPr>
            <w:r>
              <w:rPr>
                <w:rFonts w:cs="Times New Roman" w:ascii="Times New Roman" w:hAnsi="Times New Roman"/>
                <w:sz w:val="27"/>
                <w:szCs w:val="27"/>
              </w:rPr>
              <w:t>-  за розміщенням реклами та оголошень у невизначених для цього місцях (складено 43  протоколи про адміністративні правопорушення за ст. 152 КУпАП);</w:t>
            </w:r>
          </w:p>
          <w:p>
            <w:pPr>
              <w:pStyle w:val="Normal"/>
              <w:suppressAutoHyphens w:val="true"/>
              <w:ind w:firstLine="567"/>
              <w:jc w:val="both"/>
              <w:textAlignment w:val="baseline"/>
              <w:rPr>
                <w:rFonts w:cs="Arial"/>
              </w:rPr>
            </w:pPr>
            <w:r>
              <w:rPr>
                <w:rFonts w:cs="Times New Roman" w:ascii="Times New Roman" w:hAnsi="Times New Roman"/>
                <w:sz w:val="27"/>
                <w:szCs w:val="27"/>
              </w:rPr>
              <w:t>-  щодо заборони засмічення територій міста (складено 139 протоколів щодо адміністративного правопорушення за ст. 152 КупАП);</w:t>
            </w:r>
          </w:p>
          <w:p>
            <w:pPr>
              <w:pStyle w:val="Normal"/>
              <w:suppressAutoHyphens w:val="true"/>
              <w:ind w:firstLine="567"/>
              <w:jc w:val="both"/>
              <w:textAlignment w:val="baseline"/>
              <w:rPr>
                <w:rFonts w:cs="Arial"/>
              </w:rPr>
            </w:pPr>
            <w:r>
              <w:rPr>
                <w:rFonts w:cs="Times New Roman" w:ascii="Times New Roman" w:hAnsi="Times New Roman"/>
                <w:sz w:val="27"/>
                <w:szCs w:val="27"/>
              </w:rPr>
              <w:t>- за паркуванням автотранспортних засобів у не відведених для цього місцях </w:t>
            </w:r>
            <w:r>
              <w:rPr>
                <w:rFonts w:cs="Times New Roman" w:ascii="Times New Roman" w:hAnsi="Times New Roman"/>
                <w:bCs/>
                <w:sz w:val="27"/>
                <w:szCs w:val="27"/>
              </w:rPr>
              <w:t>– </w:t>
            </w:r>
            <w:r>
              <w:rPr>
                <w:rFonts w:cs="Times New Roman" w:ascii="Times New Roman" w:hAnsi="Times New Roman"/>
                <w:sz w:val="27"/>
                <w:szCs w:val="27"/>
              </w:rPr>
              <w:t>зелених зонах, тротуарах тощо (складено 491 протокол про адміністративні правопорушення за ст. 152 КУпАП);</w:t>
            </w:r>
          </w:p>
          <w:p>
            <w:pPr>
              <w:pStyle w:val="Normal"/>
              <w:suppressAutoHyphens w:val="true"/>
              <w:ind w:firstLine="567"/>
              <w:jc w:val="both"/>
              <w:textAlignment w:val="baseline"/>
              <w:rPr>
                <w:rFonts w:cs="Arial"/>
              </w:rPr>
            </w:pPr>
            <w:r>
              <w:rPr>
                <w:rFonts w:cs="Times New Roman" w:ascii="Times New Roman" w:hAnsi="Times New Roman"/>
                <w:sz w:val="27"/>
                <w:szCs w:val="27"/>
              </w:rPr>
              <w:t>- щодо заборони звалювання гілля, відходів, листя, деревини, землі, снігу у невизначених для цього місцях, складування будівельних матеріалів за межами будівельних майданчиків (складено 51 протокол про адміністративні правопорушення за ст. 152 КупАП);</w:t>
            </w:r>
          </w:p>
          <w:p>
            <w:pPr>
              <w:pStyle w:val="Normal"/>
              <w:suppressAutoHyphens w:val="true"/>
              <w:ind w:firstLine="567"/>
              <w:jc w:val="both"/>
              <w:textAlignment w:val="baseline"/>
              <w:rPr>
                <w:rFonts w:cs="Arial"/>
              </w:rPr>
            </w:pPr>
            <w:r>
              <w:rPr>
                <w:rFonts w:cs="Times New Roman" w:ascii="Times New Roman" w:hAnsi="Times New Roman"/>
                <w:sz w:val="27"/>
                <w:szCs w:val="27"/>
              </w:rPr>
              <w:t>- контроль щодо заборони розпалювання багаття, спалювання промислових чи побутових відходів, листя, гілок тощо (складено 63 протокол про адміністративні правопорушення за ст. 152 КУпАП).</w:t>
            </w:r>
          </w:p>
          <w:p>
            <w:pPr>
              <w:pStyle w:val="Normal"/>
              <w:suppressAutoHyphens w:val="true"/>
              <w:ind w:firstLine="567"/>
              <w:jc w:val="both"/>
              <w:textAlignment w:val="baseline"/>
              <w:rPr>
                <w:rFonts w:cs="Arial"/>
              </w:rPr>
            </w:pPr>
            <w:r>
              <w:rPr>
                <w:rFonts w:cs="Times New Roman" w:ascii="Times New Roman" w:hAnsi="Times New Roman"/>
                <w:sz w:val="27"/>
                <w:szCs w:val="27"/>
              </w:rPr>
              <w:t>В результаті перевірки дотримання вимог Правил утримання тварин у м. Луцьку складено 82 протоколи про адміністративні правопорушення за ст. 154 КУпАП, зокрема, за вигул собак у невстановлених місцях (дитячих майданчиках, територіях навчальних закладів тощо).</w:t>
            </w:r>
          </w:p>
          <w:p>
            <w:pPr>
              <w:pStyle w:val="Normal"/>
              <w:suppressAutoHyphens w:val="true"/>
              <w:ind w:firstLine="567"/>
              <w:jc w:val="both"/>
              <w:textAlignment w:val="baseline"/>
              <w:rPr>
                <w:rFonts w:cs="Arial"/>
              </w:rPr>
            </w:pPr>
            <w:r>
              <w:rPr>
                <w:rFonts w:cs="Times New Roman" w:ascii="Times New Roman" w:hAnsi="Times New Roman"/>
                <w:sz w:val="27"/>
                <w:szCs w:val="27"/>
              </w:rPr>
              <w:t>Інспекторами департаменту муніципальної варти також приділялася увага виявленню фактів    несанкціонованого зливу стоків та нечистот до міської каналізаційної мережі на території міста. За звітний період складено 4 протоколи за порушення ст. 152 КупАП.</w:t>
            </w:r>
          </w:p>
          <w:p>
            <w:pPr>
              <w:pStyle w:val="Normal"/>
              <w:suppressAutoHyphens w:val="true"/>
              <w:ind w:firstLine="567"/>
              <w:jc w:val="both"/>
              <w:textAlignment w:val="baseline"/>
              <w:rPr>
                <w:rFonts w:cs="Arial"/>
              </w:rPr>
            </w:pPr>
            <w:r>
              <w:rPr>
                <w:rFonts w:cs="Times New Roman" w:ascii="Times New Roman" w:hAnsi="Times New Roman"/>
                <w:sz w:val="27"/>
                <w:szCs w:val="27"/>
              </w:rPr>
              <w:t>У 2020 році порівняно з 2019 роком зменшилася кількість протоколів про адміністративні правопорушення щодо торгівлею алкоголем в нічний час, зливу стоків та нечистот.</w:t>
            </w:r>
          </w:p>
        </w:tc>
      </w:tr>
      <w:tr>
        <w:trPr>
          <w:trHeight w:val="1366"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Проведення демонтажу незаконно встановлених тимчасових споруд та конструкцій.</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hd w:val="clear" w:color="auto" w:fill="FFFFFF"/>
              <w:tabs>
                <w:tab w:val="clear" w:pos="709"/>
                <w:tab w:val="left" w:pos="482" w:leader="none"/>
              </w:tabs>
              <w:suppressAutoHyphens w:val="true"/>
              <w:ind w:firstLine="567"/>
              <w:jc w:val="both"/>
              <w:textAlignment w:val="baseline"/>
              <w:rPr>
                <w:rFonts w:cs="Arial"/>
              </w:rPr>
            </w:pPr>
            <w:r>
              <w:rPr>
                <w:rFonts w:cs="Times New Roman" w:ascii="Times New Roman" w:hAnsi="Times New Roman"/>
                <w:sz w:val="27"/>
                <w:szCs w:val="27"/>
              </w:rPr>
              <w:t xml:space="preserve">У 2020 році підготовлено 60 рішень про демонтаж незаконних споруд в місті. Департаментом муніципальної варти демонтовано згідно рішень виконавчого комітету 349 об’єктів, в тому числі 9 гаражів, 310 споруд для ведення підприємницької діяльності (кіоски), 15 дерев’яних конструкцій (сараї, теплиці, господарські споруди тощо), 15 парканів та загороджень. </w:t>
            </w:r>
          </w:p>
          <w:p>
            <w:pPr>
              <w:pStyle w:val="Normal"/>
              <w:shd w:val="clear" w:color="auto" w:fill="FFFFFF"/>
              <w:tabs>
                <w:tab w:val="clear" w:pos="709"/>
                <w:tab w:val="left" w:pos="482" w:leader="none"/>
              </w:tabs>
              <w:suppressAutoHyphens w:val="true"/>
              <w:ind w:firstLine="567"/>
              <w:jc w:val="both"/>
              <w:textAlignment w:val="baseline"/>
              <w:rPr>
                <w:rFonts w:cs="Arial"/>
              </w:rPr>
            </w:pPr>
            <w:r>
              <w:rPr>
                <w:rFonts w:cs="Times New Roman" w:ascii="Times New Roman" w:hAnsi="Times New Roman"/>
                <w:sz w:val="27"/>
                <w:szCs w:val="27"/>
              </w:rPr>
              <w:t xml:space="preserve">Розпочато роботи з перенесення ринку «Центральний». </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З</w:t>
            </w:r>
            <w:r>
              <w:rPr>
                <w:rFonts w:cs="Times New Roman" w:ascii="Times New Roman" w:hAnsi="Times New Roman"/>
                <w:sz w:val="27"/>
                <w:szCs w:val="27"/>
              </w:rPr>
              <w:t>дійснення контролю за недопущенням незаконної торгівлі, проведення відповідних рейдів на території міста, ліквідація стихійної торгівлі</w:t>
            </w:r>
            <w:r>
              <w:rPr>
                <w:rFonts w:cs="Times New Roman" w:ascii="Times New Roman" w:hAnsi="Times New Roman"/>
                <w:bCs/>
                <w:sz w:val="27"/>
                <w:szCs w:val="27"/>
              </w:rPr>
              <w:t>.</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З метою недопущення утворення стихійних ринків на території міста та дотримання правил торгівлі, інспекторами департаменту муніципальної варти організовано щоденні чергування на вулицях м. Луцька (Глушець, Замкова, Кравчука, Конякіна, Львівська, проспектах Соборності, Президента Грушевського, Відродження (поблизу ринків). За розміщення об’єктів торгівлі у             невстановлених місцях та торгівлю з рук, порушення правил торгівлі на ринках, на громадян було складено 410 протоколів про адміністративні правопорушення за ст. 152, 159, 160 КУпАП.</w:t>
            </w:r>
          </w:p>
          <w:p>
            <w:pPr>
              <w:pStyle w:val="Normal"/>
              <w:suppressAutoHyphens w:val="true"/>
              <w:ind w:firstLine="567"/>
              <w:jc w:val="both"/>
              <w:textAlignment w:val="baseline"/>
              <w:rPr>
                <w:rFonts w:cs="Arial"/>
              </w:rPr>
            </w:pPr>
            <w:r>
              <w:rPr>
                <w:rFonts w:cs="Times New Roman" w:ascii="Times New Roman" w:hAnsi="Times New Roman"/>
                <w:sz w:val="27"/>
                <w:szCs w:val="27"/>
              </w:rPr>
              <w:t>З метою виконання рішення міської ради від 20.04.2011 № 9/23 «Про заборону продажу пива, алкогольних, слабоалкогольних напоїв, вин столових та тютюнових виробів» (заборона продажу алкогольних напоїв в нічний час) проводилися регулярні перевірки закладів торгівлі. У звітному періоді було зафіксовано 118  випадків продажу алкоголю в нічний час, складено відповідні адміністративні матеріали за ч. 2 ст. 156 КУпАП.</w:t>
            </w:r>
          </w:p>
          <w:p>
            <w:pPr>
              <w:pStyle w:val="Normal"/>
              <w:suppressAutoHyphens w:val="true"/>
              <w:ind w:firstLine="567"/>
              <w:jc w:val="both"/>
              <w:textAlignment w:val="baseline"/>
              <w:rPr>
                <w:rFonts w:cs="Arial"/>
              </w:rPr>
            </w:pPr>
            <w:r>
              <w:rPr>
                <w:rFonts w:cs="Times New Roman" w:ascii="Times New Roman" w:hAnsi="Times New Roman"/>
                <w:sz w:val="27"/>
                <w:szCs w:val="27"/>
              </w:rPr>
              <w:t>Проводилась робота щодо виявлення фактів торгівлі пивом (крім безалкогольного), алкогольними, слабоалкогольними напоями або тютюновими виробами з рук (продаж «сурогату»). За даними фактами у звітному періоді складено 40  протоколів за ч. 3 ст. 156 КУпАП та 7 протоколів за ч. 4 ст. 156 КУпАП за повторне виявлення таких фактів.</w:t>
            </w:r>
          </w:p>
        </w:tc>
      </w:tr>
      <w:tr>
        <w:trPr>
          <w:trHeight w:val="2219"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Забезпечення правопорядку, охорони прав, свобод і законних інтересів громадян</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567"/>
              <w:jc w:val="both"/>
              <w:textAlignment w:val="baseline"/>
              <w:rPr>
                <w:rFonts w:cs="Arial"/>
              </w:rPr>
            </w:pPr>
            <w:r>
              <w:rPr>
                <w:rFonts w:cs="Times New Roman" w:ascii="Times New Roman" w:hAnsi="Times New Roman"/>
                <w:sz w:val="27"/>
                <w:szCs w:val="27"/>
              </w:rPr>
              <w:t>Протягом 2020 року на території міста забезпечувався правопорядок, охорона прав, свобод і законних інтересів територіальної громади, дотримання Правил благоустрою міста, запобігання вчиненню правопорушень та їх зупинення, зокрема шляхом проведення постійних чергувань, патрулювань, охорони громадського порядку на об’єктах з масовим скупченням людей. Регулярно здійснювалося піше та вело - патрулювання територій парків, скверів, пляжів на території міста. Також, в зв’язку запровадженням карантину з метою запобігання поширенню на території Луцької міської територіальної громади гострої респіраторної хвороби COVID-19, проводилася профілактична та роз’яснювальна робота із підприємствами, установами, організаціями та громадянами щодо дотримання карантинних заходів.</w:t>
            </w:r>
          </w:p>
        </w:tc>
      </w:tr>
      <w:tr>
        <w:trPr>
          <w:trHeight w:val="1575" w:hRule="atLeast"/>
        </w:trPr>
        <w:tc>
          <w:tcPr>
            <w:tcW w:w="56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6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Здійснення фіксації порушень громадянами правил зупинки, стоянки та паркування транспортних засобів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ind w:firstLine="567"/>
              <w:jc w:val="both"/>
              <w:textAlignment w:val="baseline"/>
              <w:rPr>
                <w:rFonts w:cs="Arial"/>
              </w:rPr>
            </w:pPr>
            <w:r>
              <w:rPr>
                <w:rFonts w:eastAsia="Calibri" w:cs="Times New Roman" w:ascii="Times New Roman" w:hAnsi="Times New Roman"/>
                <w:bCs/>
                <w:sz w:val="27"/>
                <w:szCs w:val="27"/>
                <w:lang w:eastAsia="en-US"/>
              </w:rPr>
              <w:t xml:space="preserve">За 2020 рік винесено 24210 повідомлень щодо порушення правил зупинки, стоянки та паркування транспортних засобів. </w:t>
            </w:r>
            <w:r>
              <w:rPr>
                <w:rFonts w:cs="Times New Roman" w:ascii="Times New Roman" w:hAnsi="Times New Roman"/>
                <w:sz w:val="27"/>
                <w:szCs w:val="27"/>
              </w:rPr>
              <w:t xml:space="preserve">До бюджету Луцької міської територіальної громади від оплати штрафів надійшло коштів на загальну суму 3 979 347 гривні. </w:t>
            </w:r>
          </w:p>
        </w:tc>
      </w:tr>
      <w:tr>
        <w:trPr>
          <w:trHeight w:val="3046" w:hRule="atLeast"/>
        </w:trPr>
        <w:tc>
          <w:tcPr>
            <w:tcW w:w="56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6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 xml:space="preserve">Встановлення та впровадження систем відеонагдяду та відеоспостереження на території Луцької міської територіальної громади, відповідно до Програми «Про затвердження міської комплексної програми «Безпечне місто» від 16.06.2019 № 58/56 </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ind w:firstLine="567"/>
              <w:jc w:val="both"/>
              <w:textAlignment w:val="baseline"/>
              <w:rPr>
                <w:rFonts w:cs="Arial"/>
              </w:rPr>
            </w:pPr>
            <w:r>
              <w:rPr>
                <w:rFonts w:eastAsia="Calibri" w:cs="Times New Roman" w:ascii="Times New Roman" w:hAnsi="Times New Roman"/>
                <w:bCs/>
                <w:sz w:val="27"/>
                <w:szCs w:val="27"/>
                <w:lang w:eastAsia="en-US"/>
              </w:rPr>
              <w:t xml:space="preserve">У 2020 році побудовано комплексну систему відеоспостереження (КСВ) в Центральному парку культури та відпочинку імені Лесі Українки, встановлено камери відеоспостереження на ключових в’їздах/виїзда міста Луцька, перших від в’їздів світлофорах, на проспекті Президента Грушевського та ключових транспортних розв’язках. </w:t>
            </w:r>
          </w:p>
          <w:p>
            <w:pPr>
              <w:pStyle w:val="Normal"/>
              <w:snapToGrid w:val="false"/>
              <w:ind w:firstLine="567"/>
              <w:jc w:val="both"/>
              <w:textAlignment w:val="baseline"/>
              <w:rPr>
                <w:rFonts w:cs="Arial"/>
              </w:rPr>
            </w:pPr>
            <w:r>
              <w:rPr>
                <w:rFonts w:eastAsia="Calibri" w:cs="Times New Roman" w:ascii="Times New Roman" w:hAnsi="Times New Roman"/>
                <w:bCs/>
                <w:sz w:val="27"/>
                <w:szCs w:val="27"/>
                <w:lang w:eastAsia="en-US"/>
              </w:rPr>
              <w:t>Впродовж 2020 року в місті Луцьку було встановлено 215 камер відеоспостереження: 152 оглядові, 62 із функцією розпізнавання державних номерних знаків та одна «роботизована».</w:t>
            </w:r>
          </w:p>
          <w:p>
            <w:pPr>
              <w:pStyle w:val="Normal"/>
              <w:snapToGrid w:val="false"/>
              <w:ind w:firstLine="567"/>
              <w:jc w:val="both"/>
              <w:textAlignment w:val="baseline"/>
              <w:rPr>
                <w:rFonts w:cs="Arial"/>
              </w:rPr>
            </w:pPr>
            <w:r>
              <w:rPr>
                <w:rFonts w:eastAsia="Calibri" w:cs="Times New Roman" w:ascii="Times New Roman" w:hAnsi="Times New Roman"/>
                <w:bCs/>
                <w:sz w:val="27"/>
                <w:szCs w:val="27"/>
                <w:lang w:eastAsia="en-US"/>
              </w:rPr>
              <w:t>Станом на 31.12.2020 загальна кількість камер відеоспостереження, які входять до складу інтегрованої системи відеоспостереження «Безпечне місто Луцьк», становить 259 шт. На заходи щодо міської комплексної програми «Безпечне місто Луцьк на 2019-2020 роки» у 2020 році бюджетом громади було передбачено 7 461,8 тис. грн.</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Arial"/>
        </w:rPr>
      </w:r>
    </w:p>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t>4. </w:t>
      </w:r>
      <w:r>
        <w:rPr>
          <w:rFonts w:cs="Times New Roman" w:ascii="Times New Roman" w:hAnsi="Times New Roman"/>
          <w:b/>
          <w:caps/>
          <w:sz w:val="27"/>
          <w:szCs w:val="27"/>
        </w:rPr>
        <w:t>Розвиток електронного урядування</w:t>
      </w:r>
      <w:r>
        <w:rPr>
          <w:rFonts w:cs="Times New Roman" w:ascii="Times New Roman" w:hAnsi="Times New Roman"/>
          <w:b/>
          <w:sz w:val="27"/>
          <w:szCs w:val="27"/>
        </w:rPr>
        <w:t>.</w:t>
      </w:r>
    </w:p>
    <w:p>
      <w:pPr>
        <w:pStyle w:val="Normal"/>
        <w:tabs>
          <w:tab w:val="clear" w:pos="709"/>
          <w:tab w:val="left" w:pos="540" w:leader="none"/>
          <w:tab w:val="left" w:pos="1080" w:leader="none"/>
        </w:tabs>
        <w:suppressAutoHyphens w:val="true"/>
        <w:jc w:val="center"/>
        <w:textAlignment w:val="baseline"/>
        <w:rPr>
          <w:rFonts w:cs="Arial"/>
        </w:rPr>
      </w:pPr>
      <w:r>
        <w:rPr>
          <w:rFonts w:cs="Arial" w:ascii="Times New Roman" w:hAnsi="Times New Roman"/>
          <w:b/>
          <w:caps/>
          <w:sz w:val="27"/>
          <w:szCs w:val="27"/>
        </w:rPr>
        <w:t>Адміністративна політика</w:t>
      </w:r>
    </w:p>
    <w:tbl>
      <w:tblPr>
        <w:tblW w:w="15838" w:type="dxa"/>
        <w:jc w:val="left"/>
        <w:tblInd w:w="109" w:type="dxa"/>
        <w:tblCellMar>
          <w:top w:w="0" w:type="dxa"/>
          <w:left w:w="108" w:type="dxa"/>
          <w:bottom w:w="0" w:type="dxa"/>
          <w:right w:w="108" w:type="dxa"/>
        </w:tblCellMar>
        <w:tblLook w:firstRow="0" w:noVBand="0" w:lastRow="0" w:firstColumn="0" w:lastColumn="0" w:noHBand="0" w:val="0000"/>
      </w:tblPr>
      <w:tblGrid>
        <w:gridCol w:w="567"/>
        <w:gridCol w:w="3685"/>
        <w:gridCol w:w="11586"/>
      </w:tblGrid>
      <w:tr>
        <w:trPr>
          <w:trHeight w:val="615"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68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615"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Arial"/>
              </w:rPr>
              <w:t>1.</w:t>
            </w:r>
          </w:p>
        </w:tc>
        <w:tc>
          <w:tcPr>
            <w:tcW w:w="368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Створення системи резервування даних</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Захід не реалізовано через відсутність фінансування.</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ascii="Times New Roman" w:hAnsi="Times New Roman" w:cs="Times New Roman"/>
                <w:bCs/>
                <w:sz w:val="27"/>
                <w:szCs w:val="27"/>
              </w:rPr>
            </w:pPr>
            <w:r>
              <w:rPr>
                <w:rFonts w:cs="Times New Roman" w:ascii="Times New Roman" w:hAnsi="Times New Roman"/>
                <w:bCs/>
                <w:sz w:val="27"/>
                <w:szCs w:val="27"/>
              </w:rPr>
            </w:r>
          </w:p>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Розвиток системи електронного документообігу</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Проводилася постійна робота щодо подальшого розвитку системи електронного документообігу (вносилися зміни, проводилося оновлення системи електронного документообігу).</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Розвиток та модернізація офіційного вебсайту Луцької міської ради, відкритих даних, розвиток мережі передачі даних</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pPr>
            <w:r>
              <w:rPr>
                <w:rFonts w:cs="Times New Roman" w:ascii="Times New Roman" w:hAnsi="Times New Roman"/>
                <w:sz w:val="27"/>
                <w:szCs w:val="27"/>
              </w:rPr>
              <w:t>В рамках технічної підтримки офіційного сайту Луцької міської ради вносились необхідні зміни, що дало можливість покращити роботу сайту Луцької міської ради. На виконання п</w:t>
            </w:r>
            <w:r>
              <w:fldChar w:fldCharType="begin"/>
            </w:r>
            <w:r>
              <w:rPr>
                <w:rStyle w:val="ListLabel21"/>
                <w:sz w:val="27"/>
                <w:shd w:fill="FFFFFF" w:val="clear"/>
                <w:szCs w:val="27"/>
                <w:rFonts w:cs="Times New Roman" w:ascii="Times New Roman" w:hAnsi="Times New Roman"/>
              </w:rPr>
              <w:instrText> HYPERLINK "http://zakon3.rada.gov.ua/laws/show/835-2015-п" \l "_blank"</w:instrText>
            </w:r>
            <w:r>
              <w:rPr>
                <w:rStyle w:val="ListLabel21"/>
                <w:sz w:val="27"/>
                <w:shd w:fill="FFFFFF" w:val="clear"/>
                <w:szCs w:val="27"/>
                <w:rFonts w:cs="Times New Roman" w:ascii="Times New Roman" w:hAnsi="Times New Roman"/>
              </w:rPr>
              <w:fldChar w:fldCharType="separate"/>
            </w:r>
            <w:r>
              <w:rPr>
                <w:rStyle w:val="ListLabel21"/>
                <w:rFonts w:cs="Times New Roman" w:ascii="Times New Roman" w:hAnsi="Times New Roman"/>
                <w:sz w:val="27"/>
                <w:szCs w:val="27"/>
                <w:shd w:fill="FFFFFF" w:val="clear"/>
              </w:rPr>
              <w:t>останови Кабінету Міністрів України від 21 жовтня 2015 № 835 «Пр</w:t>
            </w:r>
            <w:r>
              <w:rPr>
                <w:rStyle w:val="ListLabel21"/>
                <w:sz w:val="27"/>
                <w:shd w:fill="FFFFFF" w:val="clear"/>
                <w:szCs w:val="27"/>
                <w:rFonts w:cs="Times New Roman" w:ascii="Times New Roman" w:hAnsi="Times New Roman"/>
              </w:rPr>
              <w:fldChar w:fldCharType="end"/>
            </w:r>
            <w:r>
              <w:rPr>
                <w:rFonts w:cs="Times New Roman" w:ascii="Times New Roman" w:hAnsi="Times New Roman"/>
                <w:sz w:val="27"/>
                <w:szCs w:val="27"/>
                <w:shd w:fill="FFFFFF" w:val="clear"/>
              </w:rPr>
              <w:t xml:space="preserve">о затвердження </w:t>
            </w:r>
            <w:r>
              <w:fldChar w:fldCharType="begin"/>
            </w:r>
            <w:r>
              <w:rPr>
                <w:rStyle w:val="ListLabel21"/>
                <w:sz w:val="27"/>
                <w:shd w:fill="FFFFFF" w:val="clear"/>
                <w:szCs w:val="27"/>
                <w:rFonts w:cs="Times New Roman" w:ascii="Times New Roman" w:hAnsi="Times New Roman"/>
              </w:rPr>
              <w:instrText> HYPERLINK "http://zakon3.rada.gov.ua/laws/show/835-2015-п" \l "_blank"</w:instrText>
            </w:r>
            <w:r>
              <w:rPr>
                <w:rStyle w:val="ListLabel21"/>
                <w:sz w:val="27"/>
                <w:shd w:fill="FFFFFF" w:val="clear"/>
                <w:szCs w:val="27"/>
                <w:rFonts w:cs="Times New Roman" w:ascii="Times New Roman" w:hAnsi="Times New Roman"/>
              </w:rPr>
              <w:fldChar w:fldCharType="separate"/>
            </w:r>
            <w:r>
              <w:rPr>
                <w:rStyle w:val="ListLabel21"/>
                <w:rFonts w:cs="Times New Roman" w:ascii="Times New Roman" w:hAnsi="Times New Roman"/>
                <w:sz w:val="27"/>
                <w:szCs w:val="27"/>
                <w:shd w:fill="FFFFFF" w:val="clear"/>
              </w:rPr>
              <w:t>Положення про набори даних, які підлягають оприлюдненню у формі відкритих даних</w:t>
            </w:r>
            <w:r>
              <w:rPr>
                <w:rStyle w:val="ListLabel21"/>
                <w:sz w:val="27"/>
                <w:shd w:fill="FFFFFF" w:val="clear"/>
                <w:szCs w:val="27"/>
                <w:rFonts w:cs="Times New Roman" w:ascii="Times New Roman" w:hAnsi="Times New Roman"/>
              </w:rPr>
              <w:fldChar w:fldCharType="end"/>
            </w:r>
            <w:r>
              <w:rPr>
                <w:rFonts w:cs="Times New Roman" w:ascii="Times New Roman" w:hAnsi="Times New Roman"/>
                <w:sz w:val="27"/>
                <w:szCs w:val="27"/>
                <w:shd w:fill="FFFFFF" w:val="clear"/>
              </w:rPr>
              <w:t>»</w:t>
            </w:r>
            <w:r>
              <w:rPr>
                <w:rFonts w:cs="Times New Roman" w:ascii="Times New Roman" w:hAnsi="Times New Roman"/>
                <w:sz w:val="27"/>
                <w:szCs w:val="27"/>
              </w:rPr>
              <w:t>, </w:t>
            </w:r>
            <w:r>
              <w:rPr>
                <w:rFonts w:cs="Times New Roman" w:ascii="Times New Roman" w:hAnsi="Times New Roman"/>
                <w:sz w:val="27"/>
                <w:szCs w:val="27"/>
                <w:shd w:fill="FFFFFF" w:val="clear"/>
              </w:rPr>
              <w:t>розпорядження міського голови від 11.07.2019 № 294 «Про відкриті дані Луцької міської ради»</w:t>
            </w:r>
            <w:r>
              <w:rPr>
                <w:rFonts w:cs="Times New Roman" w:ascii="Times New Roman" w:hAnsi="Times New Roman"/>
                <w:sz w:val="27"/>
                <w:szCs w:val="27"/>
              </w:rPr>
              <w:t>, виконавчі органи Луцької міської ради представляють набори даних, які опубліковано у формі відкритих даних. Дані оприлюднено на Єдиному державному вебпорталі відкритих даних.</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Впроваджено автоматичну публікацію нормативно-правових актів на офіційному сайті міської ради з системи електронного документообігу.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highlight w:val="white"/>
              </w:rPr>
              <w:t>Налагоджено процес проведення засідань сесій міської ради, виконавчого комітету, постійних депутатських комісій та різних заходів в онлайн-режимі із застосуванням платформи «Zoom».</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highlight w:val="white"/>
              </w:rPr>
              <w:t xml:space="preserve">Оновлено систему електронного голосування «Віче» (заміна панелей пультів для голосування, виготовлення карток для голосування). </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Модернізація засобів інформатизації</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Протягом року постійно проводилася модернізація засобів інформатизації (заміна старого обладнання, дооснащення робочих місць засобами </w:t>
            </w:r>
            <w:r>
              <w:rPr>
                <w:rFonts w:cs="Times New Roman" w:ascii="Times New Roman" w:hAnsi="Times New Roman"/>
                <w:sz w:val="27"/>
                <w:szCs w:val="27"/>
                <w:highlight w:val="white"/>
              </w:rPr>
              <w:t xml:space="preserve">комунікації). </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Проведення робіт з впровадження комплексної системи захисту інформації</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звітному періоді тривали роботи з впровадження комплексної системи захисту інформації   (доступ до реєстру територіальної громади та тих, які вимагають постійного захисту шляхом закупівлі захищених ключів).</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Технічна підтримка та розширення функціоналу геопорталу відкритих даних</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snapToGrid w:val="false"/>
              <w:ind w:firstLine="567"/>
              <w:jc w:val="both"/>
              <w:textAlignment w:val="baseline"/>
              <w:rPr>
                <w:rFonts w:cs="Arial"/>
              </w:rPr>
            </w:pPr>
            <w:r>
              <w:rPr>
                <w:rFonts w:cs="Times New Roman" w:ascii="Times New Roman" w:hAnsi="Times New Roman"/>
                <w:sz w:val="27"/>
                <w:szCs w:val="27"/>
              </w:rPr>
              <w:t>Технічна підтримка та розширення функціоналу геопорталу відкритих даних не здійснювалась через відсутність фінансування.</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Застосування сучасних мультимедійних технологій для покращення візуалізації інтерактивних матеріальних</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Захід не реалізовано через відсутність фінансування</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Автоматизація процесів кадрового забезпечення, державної реєстрації, фінансового забезпечення</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Технічна підтримка системи «ВЕБ кадри» здійснювалась на постійній основі.</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highlight w:val="white"/>
              </w:rPr>
              <w:t>Розвиток інформаційних систем, сучасних систем комунікації з громадськістю, аналітичних систем</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зв’язку із переходом на електронні послуги, тривали роботи щодо надання безпечного доступу до реєстру територіальної громади надавачам таких послуг. Запроваджено систему моніторингу якості повітря, що значно полегшило з’ясування причин неприємного запаху на території громади та дало можливість спостерігати за станом повітря.</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Впроваджено систему обліку зелених насаджень міста Луцька, в якій вже обліковано понад 1 300 зелених насаджень.</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Запроваджено комплексну електронну послугу «єМалятко» (комплексна послуга для батьків новонароджених).</w:t>
            </w:r>
          </w:p>
          <w:p>
            <w:pPr>
              <w:pStyle w:val="Normal"/>
              <w:suppressAutoHyphens w:val="true"/>
              <w:snapToGrid w:val="false"/>
              <w:ind w:firstLine="567"/>
              <w:jc w:val="both"/>
              <w:textAlignment w:val="baseline"/>
              <w:rPr/>
            </w:pPr>
            <w:r>
              <w:rPr>
                <w:rFonts w:cs="Times New Roman" w:ascii="Times New Roman" w:hAnsi="Times New Roman"/>
                <w:sz w:val="27"/>
                <w:szCs w:val="27"/>
              </w:rPr>
              <w:t>Тривали роботи щодо залучення нових користувачів до системи міського боту «Назар» (Сіті-бот «Назар» надає швидкий та дуже зручний канал отримання своєчасної інформації стосовно поточних ремонтів та строків усунення аварій за адресами) та розширення його функціоналу. На офіційному сайті Луцької міської ради (</w:t>
            </w:r>
            <w:hyperlink r:id="rId16">
              <w:r>
                <w:rPr>
                  <w:rStyle w:val="ListLabel18"/>
                  <w:rFonts w:cs="Times New Roman" w:ascii="Times New Roman" w:hAnsi="Times New Roman"/>
                  <w:sz w:val="27"/>
                  <w:szCs w:val="27"/>
                  <w:u w:val="single"/>
                </w:rPr>
                <w:t>https://www.lutskrada.gov.ua/pages/miskyi-chat-bot</w:t>
              </w:r>
            </w:hyperlink>
            <w:r>
              <w:rPr>
                <w:rFonts w:cs="Times New Roman" w:ascii="Times New Roman" w:hAnsi="Times New Roman"/>
                <w:sz w:val="27"/>
                <w:szCs w:val="27"/>
              </w:rPr>
              <w:t>) розміщено покрокову інструкцію щодо користування сервісом «Назар».</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10.</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Максимальне розширення спектру адміністративних послуг місцевого значення, замовлення та отримання яких можна здійснювати за допомогою використання всесвітньої глобальної комп’ютерної мережі «Інтернет» та інших засобів;</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звітному році, понад 470 сімей скористались сервісом «єМалятко» (</w:t>
            </w:r>
            <w:r>
              <w:rPr>
                <w:rFonts w:cs="Times New Roman" w:ascii="Times New Roman" w:hAnsi="Times New Roman"/>
                <w:sz w:val="27"/>
                <w:szCs w:val="27"/>
                <w:shd w:fill="FFFFFF" w:val="clear"/>
              </w:rPr>
              <w:t>єМалятко – це комплексний сервіс в Україні, який об’єднує 10 послуг, пов’язаних із народженням дитини, в одну)</w:t>
            </w:r>
            <w:r>
              <w:rPr>
                <w:rFonts w:cs="Times New Roman" w:ascii="Times New Roman" w:hAnsi="Times New Roman"/>
                <w:sz w:val="27"/>
                <w:szCs w:val="27"/>
              </w:rPr>
              <w:t>. Луцьк друге місто в Україні де у 2020 році запрацювала ця комплексна послуга (перше м. Харків).</w:t>
            </w:r>
          </w:p>
          <w:p>
            <w:pPr>
              <w:pStyle w:val="Normal"/>
              <w:suppressAutoHyphens w:val="true"/>
              <w:snapToGrid w:val="false"/>
              <w:ind w:firstLine="567"/>
              <w:jc w:val="both"/>
              <w:textAlignment w:val="baseline"/>
              <w:rPr/>
            </w:pPr>
            <w:r>
              <w:rPr>
                <w:rFonts w:cs="Times New Roman" w:ascii="Times New Roman" w:hAnsi="Times New Roman"/>
                <w:sz w:val="27"/>
                <w:szCs w:val="27"/>
              </w:rPr>
              <w:t>Через портал «Дія» (о</w:t>
            </w:r>
            <w:r>
              <w:fldChar w:fldCharType="begin"/>
            </w:r>
            <w:r>
              <w:rPr>
                <w:rStyle w:val="ListLabel22"/>
                <w:sz w:val="27"/>
                <w:szCs w:val="27"/>
                <w:rFonts w:cs="Times New Roman" w:ascii="Times New Roman" w:hAnsi="Times New Roman"/>
              </w:rPr>
              <w:instrText> HYPERLINK "https://diia.gov.ua/" \l "_blank"</w:instrText>
            </w:r>
            <w:r>
              <w:rPr>
                <w:rStyle w:val="ListLabel22"/>
                <w:sz w:val="27"/>
                <w:szCs w:val="27"/>
                <w:rFonts w:cs="Times New Roman" w:ascii="Times New Roman" w:hAnsi="Times New Roman"/>
              </w:rPr>
              <w:fldChar w:fldCharType="separate"/>
            </w:r>
            <w:r>
              <w:rPr>
                <w:rStyle w:val="ListLabel22"/>
                <w:rFonts w:cs="Times New Roman" w:ascii="Times New Roman" w:hAnsi="Times New Roman"/>
                <w:sz w:val="27"/>
                <w:szCs w:val="27"/>
              </w:rPr>
              <w:t>нлайн-сервіс державних послуг</w:t>
            </w:r>
            <w:r>
              <w:rPr>
                <w:rStyle w:val="ListLabel22"/>
                <w:sz w:val="27"/>
                <w:szCs w:val="27"/>
                <w:rFonts w:cs="Times New Roman" w:ascii="Times New Roman" w:hAnsi="Times New Roman"/>
              </w:rPr>
              <w:fldChar w:fldCharType="end"/>
            </w:r>
            <w:r>
              <w:rPr>
                <w:rFonts w:cs="Times New Roman" w:ascii="Times New Roman" w:hAnsi="Times New Roman"/>
                <w:sz w:val="27"/>
                <w:szCs w:val="27"/>
              </w:rPr>
              <w:t>) у 2020 році державними реєстраторами ЦНАП здійснено 5392 реєстраційних дій (внесення змін про ФОП, відкриття ФОП).</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В рамках програми «Електронне врядування задля підзвітності влади та участі громади» (EGAP), яка спрямована на використання новітніх інформаційно-комунікаційних технологій, що допомагатимуть вдосконалити якість врядування, покращити взаємодію влади та громадян створено Портал електронних сервісів Волині (www.eservices.volyn.ua). На Порталі розміщено інформацію про всі ЦНАП Волинської області. Адміністративні послуги на Порталі розміщено за класифікатором життєвих ситуацій. Також серед переваг Порталу варто відокремити:</w:t>
            </w:r>
          </w:p>
          <w:p>
            <w:pPr>
              <w:pStyle w:val="Normal"/>
              <w:suppressAutoHyphens w:val="true"/>
              <w:snapToGrid w:val="false"/>
              <w:ind w:firstLine="567"/>
              <w:jc w:val="both"/>
              <w:textAlignment w:val="baseline"/>
              <w:rPr>
                <w:rFonts w:cs="Arial"/>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 наявність посилань на адміністративні послуги, які надаються в електронному вигляді на інших інформаційних ресурсах, а саме ресурси Мін’юсту, Держгеокадастру, Державної служби з надзвичайних ситуацій, Пенсійного фонду, Державної фіскальної служби, Мінсоцполітики та ін.;</w:t>
            </w:r>
          </w:p>
          <w:p>
            <w:pPr>
              <w:pStyle w:val="Normal"/>
              <w:suppressAutoHyphens w:val="true"/>
              <w:snapToGrid w:val="false"/>
              <w:ind w:firstLine="624"/>
              <w:jc w:val="both"/>
              <w:textAlignment w:val="baseline"/>
              <w:rPr>
                <w:rFonts w:cs="Arial"/>
              </w:rPr>
            </w:pPr>
            <w:r>
              <w:rPr>
                <w:rFonts w:eastAsia="Times New Roman" w:cs="Times New Roman" w:ascii="Times New Roman" w:hAnsi="Times New Roman"/>
                <w:sz w:val="27"/>
                <w:szCs w:val="27"/>
              </w:rPr>
              <w:t> </w:t>
            </w:r>
            <w:r>
              <w:rPr>
                <w:rFonts w:cs="Times New Roman" w:ascii="Times New Roman" w:hAnsi="Times New Roman"/>
                <w:sz w:val="27"/>
                <w:szCs w:val="27"/>
              </w:rPr>
              <w:t xml:space="preserve">- можливість попереднього онлайн запису в електронну чергу; </w:t>
            </w:r>
          </w:p>
          <w:p>
            <w:pPr>
              <w:pStyle w:val="Normal"/>
              <w:suppressAutoHyphens w:val="true"/>
              <w:snapToGrid w:val="false"/>
              <w:ind w:firstLine="624"/>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rPr>
              <w:t>- наявність інструментів зворотнього зв’язку;</w:t>
            </w:r>
          </w:p>
          <w:p>
            <w:pPr>
              <w:pStyle w:val="Normal"/>
              <w:suppressAutoHyphens w:val="true"/>
              <w:snapToGrid w:val="false"/>
              <w:ind w:firstLine="624"/>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rPr>
              <w:t xml:space="preserve">- наявність версії Порталу для людей з порушенням зору. </w:t>
            </w:r>
          </w:p>
          <w:p>
            <w:pPr>
              <w:pStyle w:val="Normal"/>
              <w:suppressAutoHyphens w:val="true"/>
              <w:snapToGrid w:val="false"/>
              <w:ind w:firstLine="567"/>
              <w:jc w:val="both"/>
              <w:textAlignment w:val="baseline"/>
              <w:rPr/>
            </w:pPr>
            <w:r>
              <w:rPr>
                <w:rFonts w:cs="Times New Roman" w:ascii="Times New Roman" w:hAnsi="Times New Roman"/>
                <w:sz w:val="27"/>
                <w:szCs w:val="27"/>
              </w:rPr>
              <w:t xml:space="preserve">Окрім цього, створено можливість замовлення довідок, витягів, копій рішень шляхом надсилання підписаних електронним підписом заяв на поштову скриньку </w:t>
            </w:r>
            <w:hyperlink r:id="rId17">
              <w:r>
                <w:rPr>
                  <w:rStyle w:val="ListLabel18"/>
                  <w:rFonts w:cs="Times New Roman" w:ascii="Times New Roman" w:hAnsi="Times New Roman"/>
                  <w:sz w:val="27"/>
                  <w:szCs w:val="27"/>
                  <w:u w:val="single"/>
                </w:rPr>
                <w:t>poslygu@cnap.ukr.net</w:t>
              </w:r>
            </w:hyperlink>
            <w:r>
              <w:rPr>
                <w:rFonts w:cs="Times New Roman" w:ascii="Times New Roman" w:hAnsi="Times New Roman"/>
                <w:sz w:val="27"/>
                <w:szCs w:val="27"/>
              </w:rPr>
              <w:t>.</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2020 році до ЦНАП звернулось 220 888 суб’єктів звернень, оформлено 114 537 адміністративних послуг. </w:t>
            </w:r>
          </w:p>
          <w:p>
            <w:pPr>
              <w:pStyle w:val="Normal"/>
              <w:suppressAutoHyphens w:val="true"/>
              <w:ind w:firstLine="567"/>
              <w:jc w:val="both"/>
              <w:textAlignment w:val="baseline"/>
              <w:rPr>
                <w:rFonts w:cs="Arial"/>
              </w:rPr>
            </w:pPr>
            <w:r>
              <w:rPr>
                <w:rFonts w:cs="Times New Roman" w:ascii="Times New Roman" w:hAnsi="Times New Roman"/>
                <w:sz w:val="27"/>
                <w:szCs w:val="27"/>
              </w:rPr>
              <w:t>За надання адміністративних послуг у звітному періоді до бюджету Луцької міської територіальної громади надійшло коштів у сумі 9 249,3 тис. грн.</w:t>
            </w:r>
          </w:p>
          <w:p>
            <w:pPr>
              <w:pStyle w:val="Normal"/>
              <w:suppressAutoHyphens w:val="true"/>
              <w:ind w:firstLine="567"/>
              <w:jc w:val="both"/>
              <w:textAlignment w:val="baseline"/>
              <w:rPr>
                <w:rFonts w:cs="Arial"/>
              </w:rPr>
            </w:pPr>
            <w:r>
              <w:rPr>
                <w:rFonts w:cs="Times New Roman" w:ascii="Times New Roman" w:hAnsi="Times New Roman"/>
                <w:sz w:val="27"/>
                <w:szCs w:val="27"/>
              </w:rPr>
              <w:t>У департаменті ЦНАП задекларовано 481 послугу 57-ма суб’єктами надання адміністративних послуг, з них:</w:t>
            </w:r>
          </w:p>
          <w:p>
            <w:pPr>
              <w:pStyle w:val="Normal"/>
              <w:suppressAutoHyphens w:val="true"/>
              <w:ind w:firstLine="510"/>
              <w:textAlignment w:val="baseline"/>
              <w:rPr>
                <w:rFonts w:cs="Arial"/>
              </w:rPr>
            </w:pPr>
            <w:r>
              <w:rPr>
                <w:rFonts w:cs="Times New Roman" w:ascii="Times New Roman" w:hAnsi="Times New Roman"/>
                <w:sz w:val="27"/>
                <w:szCs w:val="27"/>
              </w:rPr>
              <w:t>- 292 послуги 23-ох виконавчих органів міської ради;</w:t>
            </w:r>
          </w:p>
          <w:p>
            <w:pPr>
              <w:pStyle w:val="Normal"/>
              <w:suppressAutoHyphens w:val="true"/>
              <w:ind w:firstLine="510"/>
              <w:textAlignment w:val="baseline"/>
              <w:rPr>
                <w:rFonts w:cs="Arial"/>
              </w:rPr>
            </w:pPr>
            <w:r>
              <w:rPr>
                <w:rFonts w:cs="Times New Roman" w:ascii="Times New Roman" w:hAnsi="Times New Roman"/>
                <w:sz w:val="27"/>
                <w:szCs w:val="27"/>
              </w:rPr>
              <w:t>- 19 послуг трьох комунальних підприємств;</w:t>
            </w:r>
          </w:p>
          <w:p>
            <w:pPr>
              <w:pStyle w:val="Normal"/>
              <w:suppressAutoHyphens w:val="true"/>
              <w:ind w:firstLine="510"/>
              <w:textAlignment w:val="baseline"/>
              <w:rPr>
                <w:rFonts w:cs="Arial"/>
              </w:rPr>
            </w:pPr>
            <w:r>
              <w:rPr>
                <w:rFonts w:cs="Times New Roman" w:ascii="Times New Roman" w:hAnsi="Times New Roman"/>
                <w:sz w:val="27"/>
                <w:szCs w:val="27"/>
              </w:rPr>
              <w:t>- 20 послуги 4-ох структурних підрозділів облдержадміністрації;</w:t>
            </w:r>
          </w:p>
          <w:p>
            <w:pPr>
              <w:pStyle w:val="Normal"/>
              <w:suppressAutoHyphens w:val="true"/>
              <w:ind w:firstLine="510"/>
              <w:textAlignment w:val="baseline"/>
              <w:rPr>
                <w:rFonts w:cs="Arial"/>
              </w:rPr>
            </w:pPr>
            <w:r>
              <w:rPr>
                <w:rFonts w:cs="Times New Roman" w:ascii="Times New Roman" w:hAnsi="Times New Roman"/>
                <w:sz w:val="27"/>
                <w:szCs w:val="27"/>
              </w:rPr>
              <w:t>- 138 послуги 16-ти територіальних органів центральних органів виконавчої влади;</w:t>
            </w:r>
          </w:p>
          <w:p>
            <w:pPr>
              <w:pStyle w:val="Normal"/>
              <w:suppressAutoHyphens w:val="true"/>
              <w:ind w:firstLine="510"/>
              <w:textAlignment w:val="baseline"/>
              <w:rPr>
                <w:rFonts w:cs="Arial"/>
              </w:rPr>
            </w:pPr>
            <w:r>
              <w:rPr>
                <w:rFonts w:cs="Times New Roman" w:ascii="Times New Roman" w:hAnsi="Times New Roman"/>
                <w:sz w:val="27"/>
                <w:szCs w:val="27"/>
              </w:rPr>
              <w:t>- 12 інформаційно-консультаційних послуг 12-ти установ, організацій, фондів.</w:t>
            </w:r>
          </w:p>
          <w:p>
            <w:pPr>
              <w:pStyle w:val="Normal"/>
              <w:tabs>
                <w:tab w:val="clear" w:pos="709"/>
                <w:tab w:val="left" w:pos="6954" w:leader="none"/>
              </w:tabs>
              <w:suppressAutoHyphens w:val="true"/>
              <w:ind w:firstLine="567"/>
              <w:jc w:val="both"/>
              <w:textAlignment w:val="baseline"/>
              <w:rPr>
                <w:rFonts w:cs="Arial"/>
              </w:rPr>
            </w:pPr>
            <w:r>
              <w:rPr>
                <w:rFonts w:cs="Times New Roman" w:ascii="Times New Roman" w:hAnsi="Times New Roman"/>
                <w:sz w:val="27"/>
                <w:szCs w:val="27"/>
              </w:rPr>
              <w:t xml:space="preserve">У період карантину ЦНАП не зупиняв свою діяльність. Однак, дотримуючись протиепідеміологічних заходів, спектр послуг та години обслуговування було змінено. Адміністраторів ЦНАП забезпечено антисептичними засобами, медичними масками та рукавичками, а також захисними щитками. З початку запровадження карантинних заходів, призупинено надання окремих послуг, зокрема з реєстрації транспортних засобів та оформлення паспорта громадянина України для виїзду за кордон, а також інформаційно-консультаційних послуг представниками установ, організацій, фондів в приміщенні ЦНАП. </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11.</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Популяризація серед населення з обмеженими фізичними можливостями надання адміністративних послуг за моделлю «мобільного адміністратора»</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Серед населення з обмеженими фізичними можливостями набуло популярності надання адміністративних послуг за моделлю «мобільного адміністратора.» У зв’язку з запровадженням карантинних заходів, даний метод обслуговування населення у звітному періоді було призупинено. </w:t>
            </w:r>
          </w:p>
        </w:tc>
      </w:tr>
      <w:tr>
        <w:trPr>
          <w:trHeight w:val="2715"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12.</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Відкриття філії департаменту ЦНАП у приміщенні, що на проспекті Соборності, 18.</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зв’язку з тенденцією до розширення переліку адміністративних послуг площа приміщення ЦНАПу не є достатньою. Напрацьовано проєкт «Реконструкція (пристосування) палацу урочистих подій під філію департаменту «Центр надання адміністративних послуг у місті Луцьку» Луцької міської ради на проспекті Соборності, 18в м. Луцьку». Проєктно - кошторисна документація виготовлена згідно з договором підряду на розроблення проєктної документації від 18.06.2018 №09052018. Згідно затвердженого порядку, вказані документи подано на розгляд регіональної комісії з оцінки та забезпечення проведення попереднього конкурсного відбору інвестиційних програм та проєктів, що можуть реалізуватися за рахунок коштів державного фонду регіонального розвитку. </w:t>
            </w:r>
          </w:p>
        </w:tc>
      </w:tr>
      <w:tr>
        <w:trPr>
          <w:trHeight w:val="1719"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13.</w:t>
            </w:r>
          </w:p>
        </w:tc>
        <w:tc>
          <w:tcPr>
            <w:tcW w:w="368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Створення контактного центру.</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ind w:firstLine="567"/>
              <w:jc w:val="both"/>
              <w:textAlignment w:val="baseline"/>
              <w:rPr>
                <w:rFonts w:cs="Arial"/>
              </w:rPr>
            </w:pPr>
            <w:r>
              <w:rPr>
                <w:rFonts w:cs="Times New Roman" w:ascii="Times New Roman" w:hAnsi="Times New Roman"/>
                <w:sz w:val="27"/>
                <w:szCs w:val="27"/>
              </w:rPr>
              <w:t xml:space="preserve">У звітному періоді контактний центр не створено через відсутність фінансування, проте, працівниками департаменту ЦНАП вивчався успішний досвід реалізації програм зі створення контактного центру в інших містах України. Надано перевагу впровадженню комплексного ІТ рішення цього напрямку для максимальної автоматизації роботи, розвитку електронної інформаційної взаємодії у вигляді сіті-боту. </w:t>
            </w:r>
          </w:p>
        </w:tc>
      </w:tr>
      <w:tr>
        <w:trPr>
          <w:trHeight w:val="558"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14.</w:t>
            </w:r>
          </w:p>
        </w:tc>
        <w:tc>
          <w:tcPr>
            <w:tcW w:w="368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Впровадження сіті-боту для інформування жителів Луцької міської територіальної громади про адміністративні послуги ЦНАП, ремонтні роботи на мережах опалення, гарячого та холодного водопостачання, газопостачання, електромереж тощо.</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Для забезпечення можливості населення міста отримувати повідомлення щодо планових чи аварійних відключень світла, газу чи води за вказаним адресатом, у 2020 році впроваджено ІТ-сервіс у вигляді сіті-боту «Назар». Вказавши свою адресу, можна постійно отримувати повідомлення стосовно окремо взятого будинку. За допомогою бота лучани відправляли заявки у випадках відсутності води, світла, при виникненні непередбачуваних ситуацій у комунальній сфері. Також працівники комунальних підприємств оперативно отримували всю інформацію щодо звернень лучан.</w:t>
            </w:r>
            <w:r>
              <w:rPr>
                <w:rFonts w:cs="Times New Roman" w:ascii="Times New Roman" w:hAnsi="Times New Roman"/>
                <w:sz w:val="27"/>
                <w:szCs w:val="27"/>
                <w:shd w:fill="FFFFFF" w:val="clear"/>
              </w:rPr>
              <w:t xml:space="preserve"> Сервіс діє одночасно на месенджерах viber та telegram, тому будь-хто може підключитися до city-botа та поставити запитання представникам комунальних служб, аби дізнатися про терміни ліквідації тієї чи іншої аварій.</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Місто </w:t>
            </w:r>
            <w:r>
              <w:rPr>
                <w:rFonts w:cs="Times New Roman" w:ascii="Times New Roman" w:hAnsi="Times New Roman"/>
                <w:sz w:val="27"/>
                <w:szCs w:val="27"/>
                <w:highlight w:val="white"/>
              </w:rPr>
              <w:t>Луцьк стало четвертим містом в Україні після Тернополя, Маріуполя та Дрогобича, де діє цей сервіс.</w:t>
            </w:r>
          </w:p>
        </w:tc>
      </w:tr>
    </w:tbl>
    <w:p>
      <w:pPr>
        <w:pStyle w:val="Normal"/>
        <w:suppressAutoHyphens w:val="true"/>
        <w:ind w:left="993" w:hanging="142"/>
        <w:textAlignment w:val="baseline"/>
        <w:rPr>
          <w:rFonts w:ascii="Times New Roman" w:hAnsi="Times New Roman" w:eastAsia="Times New Roman" w:cs="Times New Roman"/>
          <w:sz w:val="27"/>
          <w:szCs w:val="27"/>
          <w:lang w:bidi="ar-SA"/>
        </w:rPr>
      </w:pPr>
      <w:r>
        <w:rPr>
          <w:rFonts w:eastAsia="Times New Roman" w:cs="Times New Roman" w:ascii="Times New Roman" w:hAnsi="Times New Roman"/>
          <w:sz w:val="27"/>
          <w:szCs w:val="27"/>
          <w:lang w:bidi="ar-SA"/>
        </w:rPr>
      </w:r>
    </w:p>
    <w:p>
      <w:pPr>
        <w:pStyle w:val="Normal"/>
        <w:suppressAutoHyphens w:val="true"/>
        <w:ind w:left="993" w:hanging="142"/>
        <w:textAlignment w:val="baseline"/>
        <w:rPr>
          <w:rFonts w:ascii="Times New Roman" w:hAnsi="Times New Roman" w:eastAsia="Times New Roman" w:cs="Times New Roman"/>
          <w:sz w:val="27"/>
          <w:szCs w:val="27"/>
          <w:lang w:bidi="ar-SA"/>
        </w:rPr>
      </w:pPr>
      <w:r>
        <w:rPr>
          <w:rFonts w:eastAsia="Times New Roman" w:cs="Times New Roman" w:ascii="Times New Roman" w:hAnsi="Times New Roman"/>
          <w:sz w:val="27"/>
          <w:szCs w:val="27"/>
          <w:lang w:bidi="ar-SA"/>
        </w:rPr>
      </w:r>
    </w:p>
    <w:p>
      <w:pPr>
        <w:pStyle w:val="Normal"/>
        <w:suppressAutoHyphens w:val="true"/>
        <w:ind w:left="993" w:hanging="142"/>
        <w:textAlignment w:val="baseline"/>
        <w:rPr>
          <w:rFonts w:ascii="Times New Roman" w:hAnsi="Times New Roman" w:eastAsia="Times New Roman" w:cs="Times New Roman"/>
          <w:sz w:val="27"/>
          <w:szCs w:val="27"/>
          <w:lang w:bidi="ar-SA"/>
        </w:rPr>
      </w:pPr>
      <w:r>
        <w:rPr>
          <w:rFonts w:eastAsia="Times New Roman" w:cs="Times New Roman" w:ascii="Times New Roman" w:hAnsi="Times New Roman"/>
          <w:sz w:val="27"/>
          <w:szCs w:val="27"/>
          <w:lang w:bidi="ar-SA"/>
        </w:rPr>
      </w:r>
    </w:p>
    <w:p>
      <w:pPr>
        <w:pStyle w:val="Normal"/>
        <w:shd w:val="clear" w:color="auto" w:fill="FFFFFF"/>
        <w:tabs>
          <w:tab w:val="clear" w:pos="709"/>
          <w:tab w:val="left" w:pos="482" w:leader="none"/>
        </w:tabs>
        <w:suppressAutoHyphens w:val="true"/>
        <w:ind w:hanging="0"/>
        <w:jc w:val="both"/>
        <w:textAlignment w:val="baseline"/>
        <w:rPr/>
      </w:pPr>
      <w:r>
        <w:rPr>
          <w:rFonts w:cs="Times New Roman" w:ascii="Times New Roman" w:hAnsi="Times New Roman"/>
          <w:bCs/>
          <w:sz w:val="27"/>
          <w:szCs w:val="27"/>
          <w:lang w:bidi="ar-SA"/>
        </w:rPr>
        <w:t>Директор департаменту економічної політики                                                                                                                                 Борис СМАЛЬ</w:t>
      </w:r>
    </w:p>
    <w:p>
      <w:pPr>
        <w:pStyle w:val="Normal"/>
        <w:snapToGrid w:val="false"/>
        <w:ind w:firstLine="567"/>
        <w:jc w:val="both"/>
        <w:rPr/>
      </w:pPr>
      <w:r>
        <w:rPr/>
      </w:r>
    </w:p>
    <w:sectPr>
      <w:headerReference w:type="default" r:id="rId18"/>
      <w:type w:val="nextPage"/>
      <w:pgSz w:orient="landscape" w:w="16838" w:h="11906"/>
      <w:pgMar w:left="567" w:right="567" w:header="709" w:top="993" w:footer="0" w:bottom="426"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Calibri Light">
    <w:charset w:val="cc"/>
    <w:family w:val="roman"/>
    <w:pitch w:val="variable"/>
  </w:font>
  <w:font w:name="TimesNewRomanPS-BoldMT">
    <w:altName w:val="Times Ne"/>
    <w:charset w:val="cc"/>
    <w:family w:val="roman"/>
    <w:pitch w:val="variable"/>
  </w:font>
  <w:font w:name="Times New Roman">
    <w:charset w:val="cc"/>
    <w:family w:val="roman"/>
    <w:pitch w:val="variable"/>
  </w:font>
  <w:font w:name="OpenSymbol">
    <w:altName w:val="Arial Unicode MS"/>
    <w:charset w:val="cc"/>
    <w:family w:val="roman"/>
    <w:pitch w:val="variable"/>
  </w:font>
  <w:font w:name="Wingdings">
    <w:charset w:val="cc"/>
    <w:family w:val="roman"/>
    <w:pitch w:val="variable"/>
  </w:font>
  <w:font w:name="Courier New">
    <w:charset w:val="cc"/>
    <w:family w:val="roman"/>
    <w:pitch w:val="variable"/>
  </w:font>
  <w:font w:name="Symbol">
    <w:charset w:val="cc"/>
    <w:family w:val="roman"/>
    <w:pitch w:val="variable"/>
  </w:font>
  <w:font w:name="Tahoma">
    <w:charset w:val="cc"/>
    <w:family w:val="roman"/>
    <w:pitch w:val="variable"/>
  </w:font>
  <w:font w:name="Liberation Sans">
    <w:altName w:val="Arial"/>
    <w:charset w:val="cc"/>
    <w:family w:val="roman"/>
    <w:pitch w:val="variable"/>
  </w:font>
  <w:font w:name="Liberation Mono">
    <w:altName w:val="Courier New"/>
    <w:charset w:val="cc"/>
    <w:family w:val="roman"/>
    <w:pitch w:val="variable"/>
  </w:font>
  <w:font w:name="Calibri">
    <w:charset w:val="cc"/>
    <w:family w:val="roman"/>
    <w:pitch w:val="variable"/>
  </w:font>
  <w:font w:name="Verdana">
    <w:charset w:val="cc"/>
    <w:family w:val="roman"/>
    <w:pitch w:val="variable"/>
  </w:font>
  <w:font w:name="TimesNewRomanPSMT">
    <w:charset w:val="cc"/>
    <w:family w:val="roman"/>
    <w:pitch w:val="variable"/>
  </w:font>
  <w:font w:name="Cuprum">
    <w:charset w:val="cc"/>
    <w:family w:val="roman"/>
    <w:pitch w:val="variable"/>
  </w:font>
  <w:font w:name="TimesNewRomanPS-BoldMT">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2070333487"/>
    </w:sdtPr>
    <w:sdtContent>
      <w:p>
        <w:pPr>
          <w:pStyle w:val="Style51"/>
          <w:jc w:val="center"/>
          <w:rPr/>
        </w:pPr>
        <w:r>
          <w:rPr>
            <w:sz w:val="22"/>
          </w:rPr>
          <w:fldChar w:fldCharType="begin"/>
        </w:r>
        <w:r>
          <w:rPr>
            <w:sz w:val="22"/>
          </w:rPr>
          <w:instrText> PAGE </w:instrText>
        </w:r>
        <w:r>
          <w:rPr>
            <w:sz w:val="22"/>
          </w:rPr>
          <w:fldChar w:fldCharType="separate"/>
        </w:r>
        <w:r>
          <w:rPr>
            <w:sz w:val="22"/>
          </w:rPr>
          <w:t>12</w:t>
        </w:r>
        <w:r>
          <w:rPr>
            <w:sz w:val="22"/>
          </w:rPr>
          <w:fldChar w:fldCharType="end"/>
        </w:r>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749883140"/>
    </w:sdtPr>
    <w:sdtContent>
      <w:p>
        <w:pPr>
          <w:pStyle w:val="Style51"/>
          <w:jc w:val="center"/>
          <w:rPr/>
        </w:pPr>
        <w:r>
          <w:rPr>
            <w:sz w:val="22"/>
            <w:szCs w:val="22"/>
          </w:rPr>
          <w:fldChar w:fldCharType="begin"/>
        </w:r>
        <w:r>
          <w:rPr>
            <w:sz w:val="22"/>
            <w:szCs w:val="22"/>
          </w:rPr>
          <w:instrText> PAGE </w:instrText>
        </w:r>
        <w:r>
          <w:rPr>
            <w:sz w:val="22"/>
            <w:szCs w:val="22"/>
          </w:rPr>
          <w:fldChar w:fldCharType="separate"/>
        </w:r>
        <w:r>
          <w:rPr>
            <w:sz w:val="22"/>
            <w:szCs w:val="22"/>
          </w:rPr>
          <w:t>88</w:t>
        </w:r>
        <w:r>
          <w:rPr>
            <w:sz w:val="22"/>
            <w:szCs w:val="22"/>
          </w:rPr>
          <w:fldChar w:fldCharType="end"/>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kern w:val="2"/>
        <w:szCs w:val="24"/>
        <w:lang w:val="uk-UA"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Title" w:uiPriority="1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FollowedHyperlink" w:uiPriority="0"/>
    <w:lsdException w:name="Strong" w:uiPriority="0" w:semiHidden="0" w:unhideWhenUsed="0" w:qFormat="1"/>
    <w:lsdException w:name="Emphasis" w:uiPriority="0" w:semiHidden="0" w:unhideWhenUsed="0" w:qFormat="1"/>
    <w:lsdException w:name="Normal (Web)" w:uiPriority="0"/>
    <w:lsdException w:name="annotation subject" w:uiPriority="0"/>
    <w:lsdException w:name="Balloon Text" w:uiPriority="0"/>
    <w:lsdException w:name="Table Grid" w:uiPriority="39" w:semiHidden="0" w:unhideWhenUsed="0"/>
    <w:lsdException w:name="Placeholder Text" w:unhideWhenUsed="0"/>
    <w:lsdException w:name="No Spacing" w:uiPriority="0"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jc w:val="left"/>
    </w:pPr>
    <w:rPr>
      <w:rFonts w:ascii="Liberation Serif" w:hAnsi="Liberation Serif" w:eastAsia="NSimSun" w:cs="Arial Unicode MS"/>
      <w:color w:val="auto"/>
      <w:kern w:val="2"/>
      <w:sz w:val="24"/>
      <w:szCs w:val="24"/>
      <w:lang w:val="uk-UA" w:eastAsia="zh-CN" w:bidi="hi-IN"/>
    </w:rPr>
  </w:style>
  <w:style w:type="paragraph" w:styleId="1">
    <w:name w:val="Heading 1"/>
    <w:basedOn w:val="Normal"/>
    <w:next w:val="Normal"/>
    <w:link w:val="10"/>
    <w:qFormat/>
    <w:rsid w:val="000d4ab6"/>
    <w:pPr>
      <w:keepNext w:val="true"/>
      <w:suppressAutoHyphens w:val="true"/>
      <w:spacing w:before="240" w:after="60"/>
      <w:textAlignment w:val="baseline"/>
      <w:outlineLvl w:val="0"/>
    </w:pPr>
    <w:rPr>
      <w:rFonts w:ascii="Arial" w:hAnsi="Arial" w:eastAsia="Arial" w:cs="Arial"/>
      <w:b/>
      <w:bCs/>
      <w:sz w:val="32"/>
      <w:szCs w:val="32"/>
    </w:rPr>
  </w:style>
  <w:style w:type="paragraph" w:styleId="2">
    <w:name w:val="Heading 2"/>
    <w:basedOn w:val="Normal"/>
    <w:next w:val="Style26"/>
    <w:qFormat/>
    <w:pPr>
      <w:numPr>
        <w:ilvl w:val="1"/>
        <w:numId w:val="1"/>
      </w:numPr>
      <w:tabs>
        <w:tab w:val="clear" w:pos="709"/>
        <w:tab w:val="left" w:pos="576" w:leader="none"/>
      </w:tabs>
      <w:suppressAutoHyphens w:val="true"/>
      <w:spacing w:before="280" w:after="280"/>
      <w:ind w:left="576" w:hanging="576"/>
      <w:outlineLvl w:val="1"/>
    </w:pPr>
    <w:rPr>
      <w:b/>
      <w:bCs/>
      <w:sz w:val="36"/>
      <w:szCs w:val="36"/>
    </w:rPr>
  </w:style>
  <w:style w:type="paragraph" w:styleId="3">
    <w:name w:val="Heading 3"/>
    <w:basedOn w:val="Normal"/>
    <w:next w:val="Normal"/>
    <w:link w:val="30"/>
    <w:qFormat/>
    <w:rsid w:val="000d4ab6"/>
    <w:pPr>
      <w:keepNext w:val="true"/>
      <w:suppressAutoHyphens w:val="true"/>
      <w:spacing w:before="240" w:after="60"/>
      <w:textAlignment w:val="baseline"/>
      <w:outlineLvl w:val="2"/>
    </w:pPr>
    <w:rPr>
      <w:rFonts w:ascii="Calibri Light" w:hAnsi="Calibri Light" w:eastAsia="Times New Roman" w:cs="Calibri Light"/>
      <w:b/>
      <w:bCs/>
      <w:sz w:val="26"/>
      <w:szCs w:val="23"/>
    </w:rPr>
  </w:style>
  <w:style w:type="paragraph" w:styleId="6">
    <w:name w:val="Heading 6"/>
    <w:basedOn w:val="Normal"/>
    <w:next w:val="Normal"/>
    <w:link w:val="60"/>
    <w:qFormat/>
    <w:rsid w:val="000d4ab6"/>
    <w:pPr>
      <w:suppressAutoHyphens w:val="true"/>
      <w:spacing w:before="240" w:after="60"/>
      <w:textAlignment w:val="baseline"/>
      <w:outlineLvl w:val="5"/>
    </w:pPr>
    <w:rPr>
      <w:rFonts w:cs="Times New Roman"/>
      <w:b/>
      <w:bCs/>
      <w:sz w:val="22"/>
      <w:szCs w:val="22"/>
    </w:rPr>
  </w:style>
  <w:style w:type="paragraph" w:styleId="7">
    <w:name w:val="Heading 7"/>
    <w:basedOn w:val="Normal"/>
    <w:next w:val="Normal"/>
    <w:link w:val="70"/>
    <w:qFormat/>
    <w:rsid w:val="000d4ab6"/>
    <w:pPr>
      <w:suppressAutoHyphens w:val="true"/>
      <w:spacing w:before="240" w:after="60"/>
      <w:textAlignment w:val="baseline"/>
      <w:outlineLvl w:val="6"/>
    </w:pPr>
    <w:rPr>
      <w:rFonts w:cs="Times New Roman"/>
    </w:rPr>
  </w:style>
  <w:style w:type="character" w:styleId="DefaultParagraphFont" w:customStyle="1">
    <w:name w:val="Default Paragraph Font"/>
    <w:qFormat/>
    <w:rsid w:val="000d4ab6"/>
    <w:rPr/>
  </w:style>
  <w:style w:type="character" w:styleId="23" w:customStyle="1">
    <w:name w:val="Основной шрифт абзаца23"/>
    <w:qFormat/>
    <w:rPr/>
  </w:style>
  <w:style w:type="character" w:styleId="Style9" w:customStyle="1">
    <w:name w:val="Виділення жирним"/>
    <w:qFormat/>
    <w:rPr>
      <w:b/>
      <w:bCs/>
    </w:rPr>
  </w:style>
  <w:style w:type="character" w:styleId="Fontstyle01" w:customStyle="1">
    <w:name w:val="fontstyle01"/>
    <w:qFormat/>
    <w:rPr>
      <w:rFonts w:ascii="TimesNewRomanPS-BoldMT;Times Ne" w:hAnsi="TimesNewRomanPS-BoldMT;Times Ne" w:eastAsia="TimesNewRomanPS-BoldMT;Times Ne" w:cs="TimesNewRomanPS-BoldMT;Times Ne"/>
      <w:b/>
      <w:bCs/>
      <w:i w:val="false"/>
      <w:iCs w:val="false"/>
      <w:color w:val="000000"/>
      <w:sz w:val="28"/>
      <w:szCs w:val="28"/>
    </w:rPr>
  </w:style>
  <w:style w:type="character" w:styleId="FontStyle22" w:customStyle="1">
    <w:name w:val="Font Style22"/>
    <w:qFormat/>
    <w:rPr>
      <w:rFonts w:ascii="Times New Roman" w:hAnsi="Times New Roman" w:eastAsia="Times New Roman" w:cs="Times New Roman"/>
      <w:sz w:val="26"/>
      <w:szCs w:val="26"/>
    </w:rPr>
  </w:style>
  <w:style w:type="character" w:styleId="Style10">
    <w:name w:val="Виділення"/>
    <w:qFormat/>
    <w:rsid w:val="000d4ab6"/>
    <w:rPr>
      <w:i/>
      <w:iCs/>
    </w:rPr>
  </w:style>
  <w:style w:type="character" w:styleId="26" w:customStyle="1">
    <w:name w:val="Основной шрифт абзаца26"/>
    <w:qFormat/>
    <w:rPr/>
  </w:style>
  <w:style w:type="character" w:styleId="11" w:customStyle="1">
    <w:name w:val="Заголовок 1 Знак"/>
    <w:basedOn w:val="DefaultParagraphFont"/>
    <w:link w:val="1"/>
    <w:qFormat/>
    <w:rsid w:val="000d4ab6"/>
    <w:rPr>
      <w:rFonts w:ascii="Arial" w:hAnsi="Arial" w:eastAsia="Arial" w:cs="Arial"/>
      <w:b/>
      <w:bCs/>
      <w:sz w:val="32"/>
      <w:szCs w:val="32"/>
    </w:rPr>
  </w:style>
  <w:style w:type="character" w:styleId="31" w:customStyle="1">
    <w:name w:val="Заголовок 3 Знак"/>
    <w:basedOn w:val="DefaultParagraphFont"/>
    <w:link w:val="3"/>
    <w:qFormat/>
    <w:rsid w:val="000d4ab6"/>
    <w:rPr>
      <w:rFonts w:ascii="Calibri Light" w:hAnsi="Calibri Light" w:eastAsia="Times New Roman" w:cs="Calibri Light"/>
      <w:b/>
      <w:bCs/>
      <w:sz w:val="26"/>
      <w:szCs w:val="23"/>
    </w:rPr>
  </w:style>
  <w:style w:type="character" w:styleId="61" w:customStyle="1">
    <w:name w:val="Заголовок 6 Знак"/>
    <w:basedOn w:val="DefaultParagraphFont"/>
    <w:link w:val="6"/>
    <w:qFormat/>
    <w:rsid w:val="000d4ab6"/>
    <w:rPr>
      <w:rFonts w:cs="Times New Roman"/>
      <w:b/>
      <w:bCs/>
      <w:sz w:val="22"/>
      <w:szCs w:val="22"/>
    </w:rPr>
  </w:style>
  <w:style w:type="character" w:styleId="71" w:customStyle="1">
    <w:name w:val="Заголовок 7 Знак"/>
    <w:basedOn w:val="DefaultParagraphFont"/>
    <w:link w:val="7"/>
    <w:qFormat/>
    <w:rsid w:val="000d4ab6"/>
    <w:rPr>
      <w:rFonts w:cs="Times New Roman"/>
      <w:sz w:val="24"/>
    </w:rPr>
  </w:style>
  <w:style w:type="character" w:styleId="WW8Num1z0" w:customStyle="1">
    <w:name w:val="WW8Num1z0"/>
    <w:qFormat/>
    <w:rsid w:val="000d4ab6"/>
    <w:rPr/>
  </w:style>
  <w:style w:type="character" w:styleId="WW8Num1z1" w:customStyle="1">
    <w:name w:val="WW8Num1z1"/>
    <w:qFormat/>
    <w:rsid w:val="000d4ab6"/>
    <w:rPr/>
  </w:style>
  <w:style w:type="character" w:styleId="WW8Num1z2" w:customStyle="1">
    <w:name w:val="WW8Num1z2"/>
    <w:qFormat/>
    <w:rsid w:val="000d4ab6"/>
    <w:rPr/>
  </w:style>
  <w:style w:type="character" w:styleId="WW8Num1z3" w:customStyle="1">
    <w:name w:val="WW8Num1z3"/>
    <w:qFormat/>
    <w:rsid w:val="000d4ab6"/>
    <w:rPr/>
  </w:style>
  <w:style w:type="character" w:styleId="WW8Num1z4" w:customStyle="1">
    <w:name w:val="WW8Num1z4"/>
    <w:qFormat/>
    <w:rsid w:val="000d4ab6"/>
    <w:rPr/>
  </w:style>
  <w:style w:type="character" w:styleId="WW8Num1z5" w:customStyle="1">
    <w:name w:val="WW8Num1z5"/>
    <w:qFormat/>
    <w:rsid w:val="000d4ab6"/>
    <w:rPr/>
  </w:style>
  <w:style w:type="character" w:styleId="WW8Num1z6" w:customStyle="1">
    <w:name w:val="WW8Num1z6"/>
    <w:qFormat/>
    <w:rsid w:val="000d4ab6"/>
    <w:rPr/>
  </w:style>
  <w:style w:type="character" w:styleId="WW8Num1z7" w:customStyle="1">
    <w:name w:val="WW8Num1z7"/>
    <w:qFormat/>
    <w:rsid w:val="000d4ab6"/>
    <w:rPr/>
  </w:style>
  <w:style w:type="character" w:styleId="WW8Num1z8" w:customStyle="1">
    <w:name w:val="WW8Num1z8"/>
    <w:qFormat/>
    <w:rsid w:val="000d4ab6"/>
    <w:rPr/>
  </w:style>
  <w:style w:type="character" w:styleId="36" w:customStyle="1">
    <w:name w:val="Основной шрифт абзаца36"/>
    <w:qFormat/>
    <w:rsid w:val="000d4ab6"/>
    <w:rPr/>
  </w:style>
  <w:style w:type="character" w:styleId="35" w:customStyle="1">
    <w:name w:val="Основной шрифт абзаца35"/>
    <w:qFormat/>
    <w:rsid w:val="000d4ab6"/>
    <w:rPr/>
  </w:style>
  <w:style w:type="character" w:styleId="34" w:customStyle="1">
    <w:name w:val="Основной шрифт абзаца34"/>
    <w:qFormat/>
    <w:rsid w:val="000d4ab6"/>
    <w:rPr/>
  </w:style>
  <w:style w:type="character" w:styleId="33" w:customStyle="1">
    <w:name w:val="Основной шрифт абзаца33"/>
    <w:qFormat/>
    <w:rsid w:val="000d4ab6"/>
    <w:rPr/>
  </w:style>
  <w:style w:type="character" w:styleId="32" w:customStyle="1">
    <w:name w:val="Основной шрифт абзаца32"/>
    <w:qFormat/>
    <w:rsid w:val="000d4ab6"/>
    <w:rPr/>
  </w:style>
  <w:style w:type="character" w:styleId="311" w:customStyle="1">
    <w:name w:val="Основной шрифт абзаца31"/>
    <w:qFormat/>
    <w:rsid w:val="000d4ab6"/>
    <w:rPr/>
  </w:style>
  <w:style w:type="character" w:styleId="30" w:customStyle="1">
    <w:name w:val="Основной шрифт абзаца30"/>
    <w:qFormat/>
    <w:rsid w:val="000d4ab6"/>
    <w:rPr/>
  </w:style>
  <w:style w:type="character" w:styleId="29" w:customStyle="1">
    <w:name w:val="Основной шрифт абзаца29"/>
    <w:qFormat/>
    <w:rsid w:val="000d4ab6"/>
    <w:rPr/>
  </w:style>
  <w:style w:type="character" w:styleId="28" w:customStyle="1">
    <w:name w:val="Основной шрифт абзаца28"/>
    <w:qFormat/>
    <w:rsid w:val="000d4ab6"/>
    <w:rPr/>
  </w:style>
  <w:style w:type="character" w:styleId="WW8Num2z0" w:customStyle="1">
    <w:name w:val="WW8Num2z0"/>
    <w:qFormat/>
    <w:rsid w:val="000d4ab6"/>
    <w:rPr>
      <w:rFonts w:ascii="Times New Roman" w:hAnsi="Times New Roman" w:cs="Times New Roman"/>
    </w:rPr>
  </w:style>
  <w:style w:type="character" w:styleId="WW8Num2z1" w:customStyle="1">
    <w:name w:val="WW8Num2z1"/>
    <w:qFormat/>
    <w:rsid w:val="000d4ab6"/>
    <w:rPr/>
  </w:style>
  <w:style w:type="character" w:styleId="WW8Num2z2" w:customStyle="1">
    <w:name w:val="WW8Num2z2"/>
    <w:qFormat/>
    <w:rsid w:val="000d4ab6"/>
    <w:rPr/>
  </w:style>
  <w:style w:type="character" w:styleId="WW8Num2z3" w:customStyle="1">
    <w:name w:val="WW8Num2z3"/>
    <w:qFormat/>
    <w:rsid w:val="000d4ab6"/>
    <w:rPr/>
  </w:style>
  <w:style w:type="character" w:styleId="WW8Num2z4" w:customStyle="1">
    <w:name w:val="WW8Num2z4"/>
    <w:qFormat/>
    <w:rsid w:val="000d4ab6"/>
    <w:rPr/>
  </w:style>
  <w:style w:type="character" w:styleId="WW8Num2z5" w:customStyle="1">
    <w:name w:val="WW8Num2z5"/>
    <w:qFormat/>
    <w:rsid w:val="000d4ab6"/>
    <w:rPr/>
  </w:style>
  <w:style w:type="character" w:styleId="WW8Num2z6" w:customStyle="1">
    <w:name w:val="WW8Num2z6"/>
    <w:qFormat/>
    <w:rsid w:val="000d4ab6"/>
    <w:rPr/>
  </w:style>
  <w:style w:type="character" w:styleId="WW8Num2z7" w:customStyle="1">
    <w:name w:val="WW8Num2z7"/>
    <w:qFormat/>
    <w:rsid w:val="000d4ab6"/>
    <w:rPr/>
  </w:style>
  <w:style w:type="character" w:styleId="WW8Num2z8" w:customStyle="1">
    <w:name w:val="WW8Num2z8"/>
    <w:qFormat/>
    <w:rsid w:val="000d4ab6"/>
    <w:rPr/>
  </w:style>
  <w:style w:type="character" w:styleId="WW8Num3z0" w:customStyle="1">
    <w:name w:val="WW8Num3z0"/>
    <w:qFormat/>
    <w:rsid w:val="000d4ab6"/>
    <w:rPr/>
  </w:style>
  <w:style w:type="character" w:styleId="WW8Num3z1" w:customStyle="1">
    <w:name w:val="WW8Num3z1"/>
    <w:qFormat/>
    <w:rsid w:val="000d4ab6"/>
    <w:rPr/>
  </w:style>
  <w:style w:type="character" w:styleId="WW8Num3z2" w:customStyle="1">
    <w:name w:val="WW8Num3z2"/>
    <w:qFormat/>
    <w:rsid w:val="000d4ab6"/>
    <w:rPr/>
  </w:style>
  <w:style w:type="character" w:styleId="WW8Num3z3" w:customStyle="1">
    <w:name w:val="WW8Num3z3"/>
    <w:qFormat/>
    <w:rsid w:val="000d4ab6"/>
    <w:rPr/>
  </w:style>
  <w:style w:type="character" w:styleId="WW8Num3z4" w:customStyle="1">
    <w:name w:val="WW8Num3z4"/>
    <w:qFormat/>
    <w:rsid w:val="000d4ab6"/>
    <w:rPr/>
  </w:style>
  <w:style w:type="character" w:styleId="WW8Num3z5" w:customStyle="1">
    <w:name w:val="WW8Num3z5"/>
    <w:qFormat/>
    <w:rsid w:val="000d4ab6"/>
    <w:rPr/>
  </w:style>
  <w:style w:type="character" w:styleId="WW8Num3z6" w:customStyle="1">
    <w:name w:val="WW8Num3z6"/>
    <w:qFormat/>
    <w:rsid w:val="000d4ab6"/>
    <w:rPr/>
  </w:style>
  <w:style w:type="character" w:styleId="WW8Num3z7" w:customStyle="1">
    <w:name w:val="WW8Num3z7"/>
    <w:qFormat/>
    <w:rsid w:val="000d4ab6"/>
    <w:rPr/>
  </w:style>
  <w:style w:type="character" w:styleId="WW8Num3z8" w:customStyle="1">
    <w:name w:val="WW8Num3z8"/>
    <w:qFormat/>
    <w:rsid w:val="000d4ab6"/>
    <w:rPr/>
  </w:style>
  <w:style w:type="character" w:styleId="24" w:customStyle="1">
    <w:name w:val="Основной шрифт абзаца24"/>
    <w:qFormat/>
    <w:rsid w:val="000d4ab6"/>
    <w:rPr/>
  </w:style>
  <w:style w:type="character" w:styleId="12" w:customStyle="1">
    <w:name w:val="Номер страницы1"/>
    <w:basedOn w:val="23"/>
    <w:qFormat/>
    <w:rsid w:val="000d4ab6"/>
    <w:rPr/>
  </w:style>
  <w:style w:type="character" w:styleId="Strong">
    <w:name w:val="Strong"/>
    <w:qFormat/>
    <w:rsid w:val="000d4ab6"/>
    <w:rPr>
      <w:b/>
      <w:bCs/>
    </w:rPr>
  </w:style>
  <w:style w:type="character" w:styleId="Rvts37" w:customStyle="1">
    <w:name w:val="rvts37"/>
    <w:qFormat/>
    <w:rsid w:val="000d4ab6"/>
    <w:rPr/>
  </w:style>
  <w:style w:type="character" w:styleId="ListLabel4" w:customStyle="1">
    <w:name w:val="ListLabel 4"/>
    <w:qFormat/>
    <w:rsid w:val="000d4ab6"/>
    <w:rPr>
      <w:rFonts w:cs="Courier New"/>
    </w:rPr>
  </w:style>
  <w:style w:type="character" w:styleId="ListLabel3" w:customStyle="1">
    <w:name w:val="ListLabel 3"/>
    <w:qFormat/>
    <w:rsid w:val="000d4ab6"/>
    <w:rPr>
      <w:rFonts w:cs="Courier New"/>
    </w:rPr>
  </w:style>
  <w:style w:type="character" w:styleId="ListLabel2" w:customStyle="1">
    <w:name w:val="ListLabel 2"/>
    <w:qFormat/>
    <w:rsid w:val="000d4ab6"/>
    <w:rPr>
      <w:rFonts w:cs="Courier New"/>
    </w:rPr>
  </w:style>
  <w:style w:type="character" w:styleId="ListLabel1" w:customStyle="1">
    <w:name w:val="ListLabel 1"/>
    <w:qFormat/>
    <w:rsid w:val="000d4ab6"/>
    <w:rPr>
      <w:rFonts w:eastAsia="Times New Roman" w:cs="Times New Roman"/>
      <w:sz w:val="28"/>
    </w:rPr>
  </w:style>
  <w:style w:type="character" w:styleId="19" w:customStyle="1">
    <w:name w:val="Основной шрифт абзаца19"/>
    <w:qFormat/>
    <w:rsid w:val="000d4ab6"/>
    <w:rPr/>
  </w:style>
  <w:style w:type="character" w:styleId="18" w:customStyle="1">
    <w:name w:val="Основной шрифт абзаца18"/>
    <w:qFormat/>
    <w:rsid w:val="000d4ab6"/>
    <w:rPr/>
  </w:style>
  <w:style w:type="character" w:styleId="17" w:customStyle="1">
    <w:name w:val="Основной шрифт абзаца17"/>
    <w:qFormat/>
    <w:rsid w:val="000d4ab6"/>
    <w:rPr/>
  </w:style>
  <w:style w:type="character" w:styleId="WW8Num4z4" w:customStyle="1">
    <w:name w:val="WW8Num4z4"/>
    <w:qFormat/>
    <w:rsid w:val="000d4ab6"/>
    <w:rPr/>
  </w:style>
  <w:style w:type="character" w:styleId="WW8Num4z5" w:customStyle="1">
    <w:name w:val="WW8Num4z5"/>
    <w:qFormat/>
    <w:rsid w:val="000d4ab6"/>
    <w:rPr/>
  </w:style>
  <w:style w:type="character" w:styleId="WW8Num4z6" w:customStyle="1">
    <w:name w:val="WW8Num4z6"/>
    <w:qFormat/>
    <w:rsid w:val="000d4ab6"/>
    <w:rPr/>
  </w:style>
  <w:style w:type="character" w:styleId="WW8Num4z7" w:customStyle="1">
    <w:name w:val="WW8Num4z7"/>
    <w:qFormat/>
    <w:rsid w:val="000d4ab6"/>
    <w:rPr/>
  </w:style>
  <w:style w:type="character" w:styleId="WW8Num4z8" w:customStyle="1">
    <w:name w:val="WW8Num4z8"/>
    <w:qFormat/>
    <w:rsid w:val="000d4ab6"/>
    <w:rPr/>
  </w:style>
  <w:style w:type="character" w:styleId="CharStyle4" w:customStyle="1">
    <w:name w:val="CharStyle4"/>
    <w:qFormat/>
    <w:rsid w:val="000d4ab6"/>
    <w:rPr>
      <w:rFonts w:ascii="Times New Roman" w:hAnsi="Times New Roman" w:eastAsia="Times New Roman" w:cs="Times New Roman"/>
      <w:b w:val="false"/>
      <w:bCs w:val="false"/>
      <w:i w:val="false"/>
      <w:iCs w:val="false"/>
      <w:strike w:val="false"/>
      <w:dstrike w:val="false"/>
      <w:color w:val="000000"/>
      <w:spacing w:val="0"/>
      <w:w w:val="100"/>
      <w:position w:val="0"/>
      <w:sz w:val="27"/>
      <w:sz w:val="27"/>
      <w:szCs w:val="27"/>
      <w:u w:val="none"/>
      <w:vertAlign w:val="baseline"/>
      <w:lang w:val="uk-UA" w:bidi="uk-UA"/>
    </w:rPr>
  </w:style>
  <w:style w:type="character" w:styleId="Style11" w:customStyle="1">
    <w:name w:val="Верхній колонтитул Знак"/>
    <w:qFormat/>
    <w:rsid w:val="000d4ab6"/>
    <w:rPr>
      <w:rFonts w:eastAsia="SimSun" w:cs="Mangal"/>
      <w:kern w:val="2"/>
      <w:sz w:val="28"/>
      <w:szCs w:val="24"/>
      <w:lang w:val="uk-UA" w:eastAsia="zh-CN" w:bidi="hi-IN"/>
    </w:rPr>
  </w:style>
  <w:style w:type="character" w:styleId="Style12" w:customStyle="1">
    <w:name w:val="Маркери списку"/>
    <w:qFormat/>
    <w:rsid w:val="000d4ab6"/>
    <w:rPr>
      <w:rFonts w:ascii="OpenSymbol" w:hAnsi="OpenSymbol" w:eastAsia="OpenSymbol" w:cs="OpenSymbol"/>
    </w:rPr>
  </w:style>
  <w:style w:type="character" w:styleId="ListLabel17" w:customStyle="1">
    <w:name w:val="ListLabel 17"/>
    <w:qFormat/>
    <w:rsid w:val="000d4ab6"/>
    <w:rPr>
      <w:rFonts w:cs="Wingdings"/>
    </w:rPr>
  </w:style>
  <w:style w:type="character" w:styleId="ListLabel16" w:customStyle="1">
    <w:name w:val="ListLabel 16"/>
    <w:qFormat/>
    <w:rsid w:val="000d4ab6"/>
    <w:rPr>
      <w:rFonts w:cs="Courier New"/>
    </w:rPr>
  </w:style>
  <w:style w:type="character" w:styleId="ListLabel12" w:customStyle="1">
    <w:name w:val="ListLabel 12"/>
    <w:qFormat/>
    <w:rsid w:val="000d4ab6"/>
    <w:rPr>
      <w:rFonts w:cs="Symbol"/>
    </w:rPr>
  </w:style>
  <w:style w:type="character" w:styleId="ListLabel11" w:customStyle="1">
    <w:name w:val="ListLabel 11"/>
    <w:qFormat/>
    <w:rsid w:val="000d4ab6"/>
    <w:rPr>
      <w:rFonts w:cs="Wingdings"/>
    </w:rPr>
  </w:style>
  <w:style w:type="character" w:styleId="ListLabel10" w:customStyle="1">
    <w:name w:val="ListLabel 10"/>
    <w:qFormat/>
    <w:rsid w:val="000d4ab6"/>
    <w:rPr>
      <w:rFonts w:cs="Courier New"/>
    </w:rPr>
  </w:style>
  <w:style w:type="character" w:styleId="ListLabel9" w:customStyle="1">
    <w:name w:val="ListLabel 9"/>
    <w:qFormat/>
    <w:rsid w:val="000d4ab6"/>
    <w:rPr>
      <w:rFonts w:ascii="Times New Roman" w:hAnsi="Times New Roman" w:eastAsia="Times New Roman" w:cs="Times New Roman"/>
      <w:sz w:val="24"/>
    </w:rPr>
  </w:style>
  <w:style w:type="character" w:styleId="21" w:customStyle="1">
    <w:name w:val="Основний текст (2)"/>
    <w:qFormat/>
    <w:rsid w:val="000d4ab6"/>
    <w:rPr>
      <w:lang w:bidi="ar-SA"/>
    </w:rPr>
  </w:style>
  <w:style w:type="character" w:styleId="ListLabel15" w:customStyle="1">
    <w:name w:val="ListLabel 15"/>
    <w:qFormat/>
    <w:rsid w:val="000d4ab6"/>
    <w:rPr/>
  </w:style>
  <w:style w:type="character" w:styleId="ListLabel14" w:customStyle="1">
    <w:name w:val="ListLabel 14"/>
    <w:qFormat/>
    <w:rsid w:val="000d4ab6"/>
    <w:rPr/>
  </w:style>
  <w:style w:type="character" w:styleId="ListLabel13" w:customStyle="1">
    <w:name w:val="ListLabel 13"/>
    <w:qFormat/>
    <w:rsid w:val="000d4ab6"/>
    <w:rPr/>
  </w:style>
  <w:style w:type="character" w:styleId="13" w:customStyle="1">
    <w:name w:val="Шрифт абзацу за промовчанням1"/>
    <w:qFormat/>
    <w:rsid w:val="000d4ab6"/>
    <w:rPr/>
  </w:style>
  <w:style w:type="character" w:styleId="121" w:customStyle="1">
    <w:name w:val="Основной шрифт абзаца12"/>
    <w:qFormat/>
    <w:rsid w:val="000d4ab6"/>
    <w:rPr/>
  </w:style>
  <w:style w:type="character" w:styleId="St" w:customStyle="1">
    <w:name w:val="st"/>
    <w:basedOn w:val="121"/>
    <w:qFormat/>
    <w:rsid w:val="000d4ab6"/>
    <w:rPr/>
  </w:style>
  <w:style w:type="character" w:styleId="111" w:customStyle="1">
    <w:name w:val="Основной шрифт абзаца11"/>
    <w:qFormat/>
    <w:rsid w:val="000d4ab6"/>
    <w:rPr/>
  </w:style>
  <w:style w:type="character" w:styleId="Mrh1y" w:customStyle="1">
    <w:name w:val="mrh1y"/>
    <w:basedOn w:val="111"/>
    <w:qFormat/>
    <w:rsid w:val="000d4ab6"/>
    <w:rPr/>
  </w:style>
  <w:style w:type="character" w:styleId="Textexposedshow" w:customStyle="1">
    <w:name w:val="text_exposed_show"/>
    <w:basedOn w:val="111"/>
    <w:qFormat/>
    <w:rsid w:val="000d4ab6"/>
    <w:rPr/>
  </w:style>
  <w:style w:type="character" w:styleId="H1" w:customStyle="1">
    <w:name w:val="h1"/>
    <w:basedOn w:val="111"/>
    <w:qFormat/>
    <w:rsid w:val="000d4ab6"/>
    <w:rPr/>
  </w:style>
  <w:style w:type="character" w:styleId="Style13" w:customStyle="1">
    <w:name w:val="Знак Знак"/>
    <w:qFormat/>
    <w:rsid w:val="000d4ab6"/>
    <w:rPr>
      <w:rFonts w:ascii="Calibri Light" w:hAnsi="Calibri Light" w:eastAsia="Times New Roman" w:cs="Mangal"/>
      <w:b/>
      <w:bCs/>
      <w:kern w:val="2"/>
      <w:sz w:val="26"/>
      <w:szCs w:val="23"/>
      <w:lang w:val="uk-UA" w:eastAsia="zh-CN" w:bidi="hi-IN"/>
    </w:rPr>
  </w:style>
  <w:style w:type="character" w:styleId="Rvts0" w:customStyle="1">
    <w:name w:val="rvts0"/>
    <w:qFormat/>
    <w:rsid w:val="000d4ab6"/>
    <w:rPr/>
  </w:style>
  <w:style w:type="character" w:styleId="Bodytext" w:customStyle="1">
    <w:name w:val="Body text_"/>
    <w:qFormat/>
    <w:rsid w:val="000d4ab6"/>
    <w:rPr>
      <w:rFonts w:eastAsia="SimSun" w:cs="Mangal"/>
      <w:kern w:val="2"/>
      <w:sz w:val="26"/>
      <w:szCs w:val="26"/>
      <w:lang w:eastAsia="zh-CN" w:bidi="hi-IN"/>
    </w:rPr>
  </w:style>
  <w:style w:type="character" w:styleId="8" w:customStyle="1">
    <w:name w:val="Основной шрифт абзаца8"/>
    <w:qFormat/>
    <w:rsid w:val="000d4ab6"/>
    <w:rPr/>
  </w:style>
  <w:style w:type="character" w:styleId="Rvts23" w:customStyle="1">
    <w:name w:val="rvts23"/>
    <w:basedOn w:val="8"/>
    <w:qFormat/>
    <w:rsid w:val="000d4ab6"/>
    <w:rPr/>
  </w:style>
  <w:style w:type="character" w:styleId="22" w:customStyle="1">
    <w:name w:val="Обычный (веб) Знак2 Знак"/>
    <w:qFormat/>
    <w:rsid w:val="000d4ab6"/>
    <w:rPr>
      <w:rFonts w:eastAsia="SimSun" w:cs="Mangal"/>
      <w:kern w:val="2"/>
      <w:sz w:val="24"/>
      <w:szCs w:val="24"/>
      <w:lang w:val="ru-RU" w:eastAsia="zh-CN" w:bidi="hi-IN"/>
    </w:rPr>
  </w:style>
  <w:style w:type="character" w:styleId="25" w:customStyle="1">
    <w:name w:val="Основной шрифт абзаца2"/>
    <w:qFormat/>
    <w:rsid w:val="000d4ab6"/>
    <w:rPr/>
  </w:style>
  <w:style w:type="character" w:styleId="Rvts15" w:customStyle="1">
    <w:name w:val="rvts15"/>
    <w:basedOn w:val="25"/>
    <w:qFormat/>
    <w:rsid w:val="000d4ab6"/>
    <w:rPr/>
  </w:style>
  <w:style w:type="character" w:styleId="14" w:customStyle="1">
    <w:name w:val="Выделение1"/>
    <w:qFormat/>
    <w:rsid w:val="000d4ab6"/>
    <w:rPr>
      <w:i/>
      <w:iCs/>
    </w:rPr>
  </w:style>
  <w:style w:type="character" w:styleId="WW8Num13z6" w:customStyle="1">
    <w:name w:val="WW8Num13z6"/>
    <w:qFormat/>
    <w:rsid w:val="000d4ab6"/>
    <w:rPr/>
  </w:style>
  <w:style w:type="character" w:styleId="FontStyle13" w:customStyle="1">
    <w:name w:val="Font Style13"/>
    <w:qFormat/>
    <w:rsid w:val="000d4ab6"/>
    <w:rPr>
      <w:rFonts w:ascii="Times New Roman" w:hAnsi="Times New Roman" w:eastAsia="Times New Roman" w:cs="Times New Roman"/>
      <w:i/>
      <w:iCs/>
      <w:sz w:val="26"/>
      <w:szCs w:val="26"/>
    </w:rPr>
  </w:style>
  <w:style w:type="character" w:styleId="15" w:customStyle="1">
    <w:name w:val="Знак примечания1"/>
    <w:qFormat/>
    <w:rsid w:val="000d4ab6"/>
    <w:rPr>
      <w:sz w:val="16"/>
      <w:szCs w:val="16"/>
    </w:rPr>
  </w:style>
  <w:style w:type="character" w:styleId="16" w:customStyle="1">
    <w:name w:val="Основной шрифт абзаца1"/>
    <w:qFormat/>
    <w:rsid w:val="000d4ab6"/>
    <w:rPr/>
  </w:style>
  <w:style w:type="character" w:styleId="Rvts9" w:customStyle="1">
    <w:name w:val="rvts9"/>
    <w:basedOn w:val="16"/>
    <w:qFormat/>
    <w:rsid w:val="000d4ab6"/>
    <w:rPr/>
  </w:style>
  <w:style w:type="character" w:styleId="Appleconvertedspace" w:customStyle="1">
    <w:name w:val="apple-converted-space"/>
    <w:basedOn w:val="16"/>
    <w:qFormat/>
    <w:rsid w:val="000d4ab6"/>
    <w:rPr/>
  </w:style>
  <w:style w:type="character" w:styleId="Style14">
    <w:name w:val="Гіперпосилання"/>
    <w:rsid w:val="000d4ab6"/>
    <w:rPr>
      <w:color w:val="0000FF"/>
      <w:u w:val="single"/>
    </w:rPr>
  </w:style>
  <w:style w:type="character" w:styleId="Style15" w:customStyle="1">
    <w:name w:val="Основной текст_"/>
    <w:qFormat/>
    <w:rsid w:val="000d4ab6"/>
    <w:rPr>
      <w:sz w:val="24"/>
      <w:szCs w:val="24"/>
      <w:lang w:val="ru-RU" w:bidi="ar-SA"/>
    </w:rPr>
  </w:style>
  <w:style w:type="character" w:styleId="37" w:customStyle="1">
    <w:name w:val="Основной шрифт абзаца3"/>
    <w:qFormat/>
    <w:rsid w:val="000d4ab6"/>
    <w:rPr/>
  </w:style>
  <w:style w:type="character" w:styleId="4" w:customStyle="1">
    <w:name w:val="Основной шрифт абзаца4"/>
    <w:qFormat/>
    <w:rsid w:val="000d4ab6"/>
    <w:rPr/>
  </w:style>
  <w:style w:type="character" w:styleId="5" w:customStyle="1">
    <w:name w:val="Основной шрифт абзаца5"/>
    <w:qFormat/>
    <w:rsid w:val="000d4ab6"/>
    <w:rPr/>
  </w:style>
  <w:style w:type="character" w:styleId="62" w:customStyle="1">
    <w:name w:val="Основной шрифт абзаца6"/>
    <w:qFormat/>
    <w:rsid w:val="000d4ab6"/>
    <w:rPr/>
  </w:style>
  <w:style w:type="character" w:styleId="72" w:customStyle="1">
    <w:name w:val="Основной шрифт абзаца7"/>
    <w:qFormat/>
    <w:rsid w:val="000d4ab6"/>
    <w:rPr/>
  </w:style>
  <w:style w:type="character" w:styleId="WW8Num6z8" w:customStyle="1">
    <w:name w:val="WW8Num6z8"/>
    <w:qFormat/>
    <w:rsid w:val="000d4ab6"/>
    <w:rPr/>
  </w:style>
  <w:style w:type="character" w:styleId="WW8Num6z7" w:customStyle="1">
    <w:name w:val="WW8Num6z7"/>
    <w:qFormat/>
    <w:rsid w:val="000d4ab6"/>
    <w:rPr/>
  </w:style>
  <w:style w:type="character" w:styleId="WW8Num6z6" w:customStyle="1">
    <w:name w:val="WW8Num6z6"/>
    <w:qFormat/>
    <w:rsid w:val="000d4ab6"/>
    <w:rPr/>
  </w:style>
  <w:style w:type="character" w:styleId="WW8Num6z5" w:customStyle="1">
    <w:name w:val="WW8Num6z5"/>
    <w:qFormat/>
    <w:rsid w:val="000d4ab6"/>
    <w:rPr/>
  </w:style>
  <w:style w:type="character" w:styleId="WW8Num6z4" w:customStyle="1">
    <w:name w:val="WW8Num6z4"/>
    <w:qFormat/>
    <w:rsid w:val="000d4ab6"/>
    <w:rPr/>
  </w:style>
  <w:style w:type="character" w:styleId="9" w:customStyle="1">
    <w:name w:val="Основной шрифт абзаца9"/>
    <w:qFormat/>
    <w:rsid w:val="000d4ab6"/>
    <w:rPr/>
  </w:style>
  <w:style w:type="character" w:styleId="10" w:customStyle="1">
    <w:name w:val="Основной шрифт абзаца10"/>
    <w:qFormat/>
    <w:rsid w:val="000d4ab6"/>
    <w:rPr/>
  </w:style>
  <w:style w:type="character" w:styleId="WW8Num9z8" w:customStyle="1">
    <w:name w:val="WW8Num9z8"/>
    <w:qFormat/>
    <w:rsid w:val="000d4ab6"/>
    <w:rPr/>
  </w:style>
  <w:style w:type="character" w:styleId="WW8Num9z7" w:customStyle="1">
    <w:name w:val="WW8Num9z7"/>
    <w:qFormat/>
    <w:rsid w:val="000d4ab6"/>
    <w:rPr/>
  </w:style>
  <w:style w:type="character" w:styleId="WW8Num9z6" w:customStyle="1">
    <w:name w:val="WW8Num9z6"/>
    <w:qFormat/>
    <w:rsid w:val="000d4ab6"/>
    <w:rPr/>
  </w:style>
  <w:style w:type="character" w:styleId="WW8Num9z5" w:customStyle="1">
    <w:name w:val="WW8Num9z5"/>
    <w:qFormat/>
    <w:rsid w:val="000d4ab6"/>
    <w:rPr/>
  </w:style>
  <w:style w:type="character" w:styleId="WW8Num9z4" w:customStyle="1">
    <w:name w:val="WW8Num9z4"/>
    <w:qFormat/>
    <w:rsid w:val="000d4ab6"/>
    <w:rPr/>
  </w:style>
  <w:style w:type="character" w:styleId="131" w:customStyle="1">
    <w:name w:val="Основной шрифт абзаца13"/>
    <w:qFormat/>
    <w:rsid w:val="000d4ab6"/>
    <w:rPr/>
  </w:style>
  <w:style w:type="character" w:styleId="WW8Num15z2" w:customStyle="1">
    <w:name w:val="WW8Num15z2"/>
    <w:qFormat/>
    <w:rsid w:val="000d4ab6"/>
    <w:rPr>
      <w:rFonts w:ascii="Wingdings" w:hAnsi="Wingdings" w:eastAsia="Wingdings" w:cs="Wingdings"/>
    </w:rPr>
  </w:style>
  <w:style w:type="character" w:styleId="WW8Num15z1" w:customStyle="1">
    <w:name w:val="WW8Num15z1"/>
    <w:qFormat/>
    <w:rsid w:val="000d4ab6"/>
    <w:rPr>
      <w:rFonts w:ascii="Courier New" w:hAnsi="Courier New" w:eastAsia="Courier New" w:cs="Courier New"/>
    </w:rPr>
  </w:style>
  <w:style w:type="character" w:styleId="WW8Num15z0" w:customStyle="1">
    <w:name w:val="WW8Num15z0"/>
    <w:qFormat/>
    <w:rsid w:val="000d4ab6"/>
    <w:rPr>
      <w:rFonts w:ascii="Symbol" w:hAnsi="Symbol" w:eastAsia="Symbol" w:cs="Symbol"/>
    </w:rPr>
  </w:style>
  <w:style w:type="character" w:styleId="WW8Num14z1" w:customStyle="1">
    <w:name w:val="WW8Num14z1"/>
    <w:qFormat/>
    <w:rsid w:val="000d4ab6"/>
    <w:rPr>
      <w:rFonts w:cs="Times New Roman"/>
    </w:rPr>
  </w:style>
  <w:style w:type="character" w:styleId="WW8Num14z0" w:customStyle="1">
    <w:name w:val="WW8Num14z0"/>
    <w:qFormat/>
    <w:rsid w:val="000d4ab6"/>
    <w:rPr>
      <w:rFonts w:cs="Times New Roman"/>
      <w:sz w:val="25"/>
      <w:szCs w:val="25"/>
    </w:rPr>
  </w:style>
  <w:style w:type="character" w:styleId="WW8Num13z3" w:customStyle="1">
    <w:name w:val="WW8Num13z3"/>
    <w:qFormat/>
    <w:rsid w:val="000d4ab6"/>
    <w:rPr>
      <w:rFonts w:ascii="Symbol" w:hAnsi="Symbol" w:eastAsia="Symbol" w:cs="Symbol"/>
    </w:rPr>
  </w:style>
  <w:style w:type="character" w:styleId="WW8Num13z2" w:customStyle="1">
    <w:name w:val="WW8Num13z2"/>
    <w:qFormat/>
    <w:rsid w:val="000d4ab6"/>
    <w:rPr>
      <w:rFonts w:ascii="Wingdings" w:hAnsi="Wingdings" w:eastAsia="Wingdings" w:cs="Wingdings"/>
    </w:rPr>
  </w:style>
  <w:style w:type="character" w:styleId="WW8Num13z1" w:customStyle="1">
    <w:name w:val="WW8Num13z1"/>
    <w:qFormat/>
    <w:rsid w:val="000d4ab6"/>
    <w:rPr>
      <w:rFonts w:ascii="Courier New" w:hAnsi="Courier New" w:eastAsia="Courier New" w:cs="Courier New"/>
    </w:rPr>
  </w:style>
  <w:style w:type="character" w:styleId="WW8Num13z0" w:customStyle="1">
    <w:name w:val="WW8Num13z0"/>
    <w:qFormat/>
    <w:rsid w:val="000d4ab6"/>
    <w:rPr>
      <w:rFonts w:ascii="Times New Roman" w:hAnsi="Times New Roman" w:eastAsia="Calibri" w:cs="Times New Roman"/>
    </w:rPr>
  </w:style>
  <w:style w:type="character" w:styleId="WW8Num12z8" w:customStyle="1">
    <w:name w:val="WW8Num12z8"/>
    <w:qFormat/>
    <w:rsid w:val="000d4ab6"/>
    <w:rPr/>
  </w:style>
  <w:style w:type="character" w:styleId="WW8Num12z7" w:customStyle="1">
    <w:name w:val="WW8Num12z7"/>
    <w:qFormat/>
    <w:rsid w:val="000d4ab6"/>
    <w:rPr/>
  </w:style>
  <w:style w:type="character" w:styleId="WW8Num12z6" w:customStyle="1">
    <w:name w:val="WW8Num12z6"/>
    <w:qFormat/>
    <w:rsid w:val="000d4ab6"/>
    <w:rPr/>
  </w:style>
  <w:style w:type="character" w:styleId="WW8Num12z5" w:customStyle="1">
    <w:name w:val="WW8Num12z5"/>
    <w:qFormat/>
    <w:rsid w:val="000d4ab6"/>
    <w:rPr/>
  </w:style>
  <w:style w:type="character" w:styleId="WW8Num12z4" w:customStyle="1">
    <w:name w:val="WW8Num12z4"/>
    <w:qFormat/>
    <w:rsid w:val="000d4ab6"/>
    <w:rPr/>
  </w:style>
  <w:style w:type="character" w:styleId="WW8Num12z3" w:customStyle="1">
    <w:name w:val="WW8Num12z3"/>
    <w:qFormat/>
    <w:rsid w:val="000d4ab6"/>
    <w:rPr/>
  </w:style>
  <w:style w:type="character" w:styleId="WW8Num12z2" w:customStyle="1">
    <w:name w:val="WW8Num12z2"/>
    <w:qFormat/>
    <w:rsid w:val="000d4ab6"/>
    <w:rPr/>
  </w:style>
  <w:style w:type="character" w:styleId="WW8Num12z1" w:customStyle="1">
    <w:name w:val="WW8Num12z1"/>
    <w:qFormat/>
    <w:rsid w:val="000d4ab6"/>
    <w:rPr/>
  </w:style>
  <w:style w:type="character" w:styleId="WW8Num12z0" w:customStyle="1">
    <w:name w:val="WW8Num12z0"/>
    <w:qFormat/>
    <w:rsid w:val="000d4ab6"/>
    <w:rPr/>
  </w:style>
  <w:style w:type="character" w:styleId="WW8Num11z3" w:customStyle="1">
    <w:name w:val="WW8Num11z3"/>
    <w:qFormat/>
    <w:rsid w:val="000d4ab6"/>
    <w:rPr>
      <w:rFonts w:ascii="Symbol" w:hAnsi="Symbol" w:eastAsia="Symbol" w:cs="Symbol"/>
    </w:rPr>
  </w:style>
  <w:style w:type="character" w:styleId="WW8Num11z2" w:customStyle="1">
    <w:name w:val="WW8Num11z2"/>
    <w:qFormat/>
    <w:rsid w:val="000d4ab6"/>
    <w:rPr>
      <w:rFonts w:ascii="Wingdings" w:hAnsi="Wingdings" w:eastAsia="Wingdings" w:cs="Wingdings"/>
    </w:rPr>
  </w:style>
  <w:style w:type="character" w:styleId="WW8Num11z1" w:customStyle="1">
    <w:name w:val="WW8Num11z1"/>
    <w:qFormat/>
    <w:rsid w:val="000d4ab6"/>
    <w:rPr>
      <w:rFonts w:ascii="Courier New" w:hAnsi="Courier New" w:eastAsia="Courier New" w:cs="Courier New"/>
    </w:rPr>
  </w:style>
  <w:style w:type="character" w:styleId="WW8Num11z0" w:customStyle="1">
    <w:name w:val="WW8Num11z0"/>
    <w:qFormat/>
    <w:rsid w:val="000d4ab6"/>
    <w:rPr>
      <w:rFonts w:ascii="Times New Roman" w:hAnsi="Times New Roman" w:eastAsia="SimSun" w:cs="Times New Roman"/>
    </w:rPr>
  </w:style>
  <w:style w:type="character" w:styleId="WW8Num10z3" w:customStyle="1">
    <w:name w:val="WW8Num10z3"/>
    <w:qFormat/>
    <w:rsid w:val="000d4ab6"/>
    <w:rPr>
      <w:rFonts w:ascii="Symbol" w:hAnsi="Symbol" w:eastAsia="Symbol" w:cs="Symbol"/>
    </w:rPr>
  </w:style>
  <w:style w:type="character" w:styleId="WW8Num10z2" w:customStyle="1">
    <w:name w:val="WW8Num10z2"/>
    <w:qFormat/>
    <w:rsid w:val="000d4ab6"/>
    <w:rPr>
      <w:rFonts w:ascii="Wingdings" w:hAnsi="Wingdings" w:eastAsia="Wingdings" w:cs="Wingdings"/>
    </w:rPr>
  </w:style>
  <w:style w:type="character" w:styleId="WW8Num10z1" w:customStyle="1">
    <w:name w:val="WW8Num10z1"/>
    <w:qFormat/>
    <w:rsid w:val="000d4ab6"/>
    <w:rPr>
      <w:rFonts w:ascii="Courier New" w:hAnsi="Courier New" w:eastAsia="Courier New" w:cs="Courier New"/>
    </w:rPr>
  </w:style>
  <w:style w:type="character" w:styleId="WW8Num10z0" w:customStyle="1">
    <w:name w:val="WW8Num10z0"/>
    <w:qFormat/>
    <w:rsid w:val="000d4ab6"/>
    <w:rPr>
      <w:rFonts w:ascii="Times New Roman" w:hAnsi="Times New Roman" w:eastAsia="SimSun" w:cs="Times New Roman"/>
    </w:rPr>
  </w:style>
  <w:style w:type="character" w:styleId="WW8Num9z3" w:customStyle="1">
    <w:name w:val="WW8Num9z3"/>
    <w:qFormat/>
    <w:rsid w:val="000d4ab6"/>
    <w:rPr>
      <w:rFonts w:ascii="Symbol" w:hAnsi="Symbol" w:eastAsia="Symbol" w:cs="Symbol"/>
    </w:rPr>
  </w:style>
  <w:style w:type="character" w:styleId="WW8Num9z2" w:customStyle="1">
    <w:name w:val="WW8Num9z2"/>
    <w:qFormat/>
    <w:rsid w:val="000d4ab6"/>
    <w:rPr>
      <w:rFonts w:ascii="Wingdings" w:hAnsi="Wingdings" w:eastAsia="Wingdings" w:cs="Wingdings"/>
    </w:rPr>
  </w:style>
  <w:style w:type="character" w:styleId="WW8Num9z1" w:customStyle="1">
    <w:name w:val="WW8Num9z1"/>
    <w:qFormat/>
    <w:rsid w:val="000d4ab6"/>
    <w:rPr>
      <w:rFonts w:ascii="Courier New" w:hAnsi="Courier New" w:eastAsia="Courier New" w:cs="Courier New"/>
    </w:rPr>
  </w:style>
  <w:style w:type="character" w:styleId="WW8Num9z0" w:customStyle="1">
    <w:name w:val="WW8Num9z0"/>
    <w:qFormat/>
    <w:rsid w:val="000d4ab6"/>
    <w:rPr>
      <w:rFonts w:ascii="Times New Roman" w:hAnsi="Times New Roman" w:eastAsia="SimSun" w:cs="Times New Roman"/>
    </w:rPr>
  </w:style>
  <w:style w:type="character" w:styleId="WW8Num8z3" w:customStyle="1">
    <w:name w:val="WW8Num8z3"/>
    <w:qFormat/>
    <w:rsid w:val="000d4ab6"/>
    <w:rPr>
      <w:rFonts w:ascii="Symbol" w:hAnsi="Symbol" w:eastAsia="Symbol" w:cs="Symbol"/>
    </w:rPr>
  </w:style>
  <w:style w:type="character" w:styleId="WW8Num8z2" w:customStyle="1">
    <w:name w:val="WW8Num8z2"/>
    <w:qFormat/>
    <w:rsid w:val="000d4ab6"/>
    <w:rPr>
      <w:rFonts w:ascii="Wingdings" w:hAnsi="Wingdings" w:eastAsia="Wingdings" w:cs="Wingdings"/>
    </w:rPr>
  </w:style>
  <w:style w:type="character" w:styleId="WW8Num8z1" w:customStyle="1">
    <w:name w:val="WW8Num8z1"/>
    <w:qFormat/>
    <w:rsid w:val="000d4ab6"/>
    <w:rPr>
      <w:rFonts w:ascii="Courier New" w:hAnsi="Courier New" w:eastAsia="Courier New" w:cs="Courier New"/>
    </w:rPr>
  </w:style>
  <w:style w:type="character" w:styleId="WW8Num8z0" w:customStyle="1">
    <w:name w:val="WW8Num8z0"/>
    <w:qFormat/>
    <w:rsid w:val="000d4ab6"/>
    <w:rPr>
      <w:rFonts w:ascii="Times New Roman" w:hAnsi="Times New Roman" w:eastAsia="SimSun" w:cs="Times New Roman"/>
    </w:rPr>
  </w:style>
  <w:style w:type="character" w:styleId="WW8Num7z3" w:customStyle="1">
    <w:name w:val="WW8Num7z3"/>
    <w:qFormat/>
    <w:rsid w:val="000d4ab6"/>
    <w:rPr>
      <w:rFonts w:ascii="Symbol" w:hAnsi="Symbol" w:eastAsia="Symbol" w:cs="Symbol"/>
    </w:rPr>
  </w:style>
  <w:style w:type="character" w:styleId="WW8Num7z2" w:customStyle="1">
    <w:name w:val="WW8Num7z2"/>
    <w:qFormat/>
    <w:rsid w:val="000d4ab6"/>
    <w:rPr>
      <w:rFonts w:ascii="Wingdings" w:hAnsi="Wingdings" w:eastAsia="Wingdings" w:cs="Wingdings"/>
    </w:rPr>
  </w:style>
  <w:style w:type="character" w:styleId="WW8Num7z1" w:customStyle="1">
    <w:name w:val="WW8Num7z1"/>
    <w:qFormat/>
    <w:rsid w:val="000d4ab6"/>
    <w:rPr>
      <w:rFonts w:ascii="Courier New" w:hAnsi="Courier New" w:eastAsia="Courier New" w:cs="Courier New"/>
    </w:rPr>
  </w:style>
  <w:style w:type="character" w:styleId="WW8Num7z0" w:customStyle="1">
    <w:name w:val="WW8Num7z0"/>
    <w:qFormat/>
    <w:rsid w:val="000d4ab6"/>
    <w:rPr>
      <w:rFonts w:ascii="Times New Roman" w:hAnsi="Times New Roman" w:eastAsia="SimSun" w:cs="Times New Roman"/>
    </w:rPr>
  </w:style>
  <w:style w:type="character" w:styleId="WW8Num6z3" w:customStyle="1">
    <w:name w:val="WW8Num6z3"/>
    <w:qFormat/>
    <w:rsid w:val="000d4ab6"/>
    <w:rPr>
      <w:rFonts w:ascii="Symbol" w:hAnsi="Symbol" w:eastAsia="Symbol" w:cs="Symbol"/>
    </w:rPr>
  </w:style>
  <w:style w:type="character" w:styleId="WW8Num6z2" w:customStyle="1">
    <w:name w:val="WW8Num6z2"/>
    <w:qFormat/>
    <w:rsid w:val="000d4ab6"/>
    <w:rPr>
      <w:rFonts w:ascii="Wingdings" w:hAnsi="Wingdings" w:eastAsia="Wingdings" w:cs="Wingdings"/>
    </w:rPr>
  </w:style>
  <w:style w:type="character" w:styleId="WW8Num6z1" w:customStyle="1">
    <w:name w:val="WW8Num6z1"/>
    <w:qFormat/>
    <w:rsid w:val="000d4ab6"/>
    <w:rPr>
      <w:rFonts w:ascii="Courier New" w:hAnsi="Courier New" w:eastAsia="Courier New" w:cs="Courier New"/>
    </w:rPr>
  </w:style>
  <w:style w:type="character" w:styleId="WW8Num6z0" w:customStyle="1">
    <w:name w:val="WW8Num6z0"/>
    <w:qFormat/>
    <w:rsid w:val="000d4ab6"/>
    <w:rPr>
      <w:rFonts w:ascii="Times New Roman" w:hAnsi="Times New Roman" w:eastAsia="Batang" w:cs="Times New Roman"/>
    </w:rPr>
  </w:style>
  <w:style w:type="character" w:styleId="WW8Num5z3" w:customStyle="1">
    <w:name w:val="WW8Num5z3"/>
    <w:qFormat/>
    <w:rsid w:val="000d4ab6"/>
    <w:rPr>
      <w:rFonts w:ascii="Symbol" w:hAnsi="Symbol" w:eastAsia="Symbol" w:cs="Symbol"/>
    </w:rPr>
  </w:style>
  <w:style w:type="character" w:styleId="WW8Num5z2" w:customStyle="1">
    <w:name w:val="WW8Num5z2"/>
    <w:qFormat/>
    <w:rsid w:val="000d4ab6"/>
    <w:rPr>
      <w:rFonts w:ascii="Wingdings" w:hAnsi="Wingdings" w:eastAsia="Wingdings" w:cs="Wingdings"/>
    </w:rPr>
  </w:style>
  <w:style w:type="character" w:styleId="WW8Num5z1" w:customStyle="1">
    <w:name w:val="WW8Num5z1"/>
    <w:qFormat/>
    <w:rsid w:val="000d4ab6"/>
    <w:rPr>
      <w:rFonts w:ascii="Courier New" w:hAnsi="Courier New" w:eastAsia="Courier New" w:cs="Courier New"/>
    </w:rPr>
  </w:style>
  <w:style w:type="character" w:styleId="WW8Num5z0" w:customStyle="1">
    <w:name w:val="WW8Num5z0"/>
    <w:qFormat/>
    <w:rsid w:val="000d4ab6"/>
    <w:rPr>
      <w:rFonts w:ascii="Times New Roman" w:hAnsi="Times New Roman" w:eastAsia="SimSun" w:cs="Times New Roman"/>
    </w:rPr>
  </w:style>
  <w:style w:type="character" w:styleId="WW8Num4z3" w:customStyle="1">
    <w:name w:val="WW8Num4z3"/>
    <w:qFormat/>
    <w:rsid w:val="000d4ab6"/>
    <w:rPr>
      <w:rFonts w:ascii="Symbol" w:hAnsi="Symbol" w:eastAsia="Symbol" w:cs="Symbol"/>
    </w:rPr>
  </w:style>
  <w:style w:type="character" w:styleId="WW8Num4z2" w:customStyle="1">
    <w:name w:val="WW8Num4z2"/>
    <w:qFormat/>
    <w:rsid w:val="000d4ab6"/>
    <w:rPr>
      <w:rFonts w:ascii="Wingdings" w:hAnsi="Wingdings" w:eastAsia="Wingdings" w:cs="Wingdings"/>
    </w:rPr>
  </w:style>
  <w:style w:type="character" w:styleId="WW8Num4z1" w:customStyle="1">
    <w:name w:val="WW8Num4z1"/>
    <w:qFormat/>
    <w:rsid w:val="000d4ab6"/>
    <w:rPr>
      <w:rFonts w:ascii="Courier New" w:hAnsi="Courier New" w:eastAsia="Courier New" w:cs="Courier New"/>
    </w:rPr>
  </w:style>
  <w:style w:type="character" w:styleId="WW8Num4z0" w:customStyle="1">
    <w:name w:val="WW8Num4z0"/>
    <w:qFormat/>
    <w:rsid w:val="000d4ab6"/>
    <w:rPr>
      <w:rFonts w:ascii="Times New Roman" w:hAnsi="Times New Roman" w:eastAsia="SimSun" w:cs="Times New Roman"/>
    </w:rPr>
  </w:style>
  <w:style w:type="character" w:styleId="141" w:customStyle="1">
    <w:name w:val="Основной шрифт абзаца14"/>
    <w:qFormat/>
    <w:rsid w:val="000d4ab6"/>
    <w:rPr/>
  </w:style>
  <w:style w:type="character" w:styleId="151" w:customStyle="1">
    <w:name w:val="Основной шрифт абзаца15"/>
    <w:qFormat/>
    <w:rsid w:val="000d4ab6"/>
    <w:rPr/>
  </w:style>
  <w:style w:type="character" w:styleId="161" w:customStyle="1">
    <w:name w:val="Основной шрифт абзаца16"/>
    <w:qFormat/>
    <w:rsid w:val="000d4ab6"/>
    <w:rPr/>
  </w:style>
  <w:style w:type="character" w:styleId="27" w:customStyle="1">
    <w:name w:val="Шрифт абзацу за промовчанням2"/>
    <w:qFormat/>
    <w:rsid w:val="000d4ab6"/>
    <w:rPr/>
  </w:style>
  <w:style w:type="character" w:styleId="20" w:customStyle="1">
    <w:name w:val="Основной шрифт абзаца20"/>
    <w:qFormat/>
    <w:rsid w:val="000d4ab6"/>
    <w:rPr/>
  </w:style>
  <w:style w:type="character" w:styleId="Style16" w:customStyle="1">
    <w:name w:val="Шрифт абзацу за промовчанням"/>
    <w:qFormat/>
    <w:rsid w:val="000d4ab6"/>
    <w:rPr/>
  </w:style>
  <w:style w:type="character" w:styleId="211" w:customStyle="1">
    <w:name w:val="Основной шрифт абзаца21"/>
    <w:qFormat/>
    <w:rsid w:val="000d4ab6"/>
    <w:rPr/>
  </w:style>
  <w:style w:type="character" w:styleId="221" w:customStyle="1">
    <w:name w:val="Основной шрифт абзаца22"/>
    <w:qFormat/>
    <w:rsid w:val="000d4ab6"/>
    <w:rPr/>
  </w:style>
  <w:style w:type="character" w:styleId="210" w:customStyle="1">
    <w:name w:val="Заголовок 2 Знак"/>
    <w:qFormat/>
    <w:rsid w:val="000d4ab6"/>
    <w:rPr>
      <w:rFonts w:ascii="Arial" w:hAnsi="Arial" w:eastAsia="Arial" w:cs="Arial"/>
      <w:b/>
      <w:bCs/>
      <w:i/>
      <w:iCs/>
      <w:sz w:val="28"/>
      <w:szCs w:val="28"/>
      <w:lang w:eastAsia="zh-CN"/>
    </w:rPr>
  </w:style>
  <w:style w:type="character" w:styleId="WWCharLFO3LVL1" w:customStyle="1">
    <w:name w:val="WW_CharLFO3LVL1"/>
    <w:qFormat/>
    <w:rsid w:val="000d4ab6"/>
    <w:rPr>
      <w:rFonts w:eastAsia="Times New Roman" w:cs="Times New Roman"/>
      <w:sz w:val="28"/>
    </w:rPr>
  </w:style>
  <w:style w:type="character" w:styleId="WWCharLFO4LVL1" w:customStyle="1">
    <w:name w:val="WW_CharLFO4LVL1"/>
    <w:qFormat/>
    <w:rsid w:val="000d4ab6"/>
    <w:rPr>
      <w:rFonts w:cs="Courier New"/>
    </w:rPr>
  </w:style>
  <w:style w:type="character" w:styleId="WWCharLFO5LVL1" w:customStyle="1">
    <w:name w:val="WW_CharLFO5LVL1"/>
    <w:qFormat/>
    <w:rsid w:val="000d4ab6"/>
    <w:rPr>
      <w:rFonts w:cs="Courier New"/>
    </w:rPr>
  </w:style>
  <w:style w:type="character" w:styleId="WWCharLFO6LVL1" w:customStyle="1">
    <w:name w:val="WW_CharLFO6LVL1"/>
    <w:qFormat/>
    <w:rsid w:val="000d4ab6"/>
    <w:rPr>
      <w:rFonts w:ascii="Times New Roman" w:hAnsi="Times New Roman" w:cs="Times New Roman"/>
    </w:rPr>
  </w:style>
  <w:style w:type="character" w:styleId="271" w:customStyle="1">
    <w:name w:val="Основной шрифт абзаца27"/>
    <w:qFormat/>
    <w:rsid w:val="000d4ab6"/>
    <w:rPr/>
  </w:style>
  <w:style w:type="character" w:styleId="251" w:customStyle="1">
    <w:name w:val="Основной шрифт абзаца25"/>
    <w:qFormat/>
    <w:rsid w:val="000d4ab6"/>
    <w:rPr/>
  </w:style>
  <w:style w:type="character" w:styleId="Pagenumber">
    <w:name w:val="page number"/>
    <w:basedOn w:val="16"/>
    <w:qFormat/>
    <w:rsid w:val="000d4ab6"/>
    <w:rPr/>
  </w:style>
  <w:style w:type="character" w:styleId="Style17" w:customStyle="1">
    <w:name w:val=" Знак Знак"/>
    <w:qFormat/>
    <w:rsid w:val="000d4ab6"/>
    <w:rPr>
      <w:rFonts w:ascii="Calibri Light" w:hAnsi="Calibri Light" w:eastAsia="Times New Roman" w:cs="Mangal"/>
      <w:b/>
      <w:bCs/>
      <w:kern w:val="2"/>
      <w:sz w:val="26"/>
      <w:szCs w:val="23"/>
      <w:lang w:val="uk-UA" w:eastAsia="zh-CN" w:bidi="hi-IN"/>
    </w:rPr>
  </w:style>
  <w:style w:type="character" w:styleId="005" w:customStyle="1">
    <w:name w:val="Стиль уплотненный на  005 пт"/>
    <w:qFormat/>
    <w:rsid w:val="000d4ab6"/>
    <w:rPr>
      <w:spacing w:val="-1"/>
    </w:rPr>
  </w:style>
  <w:style w:type="character" w:styleId="215" w:customStyle="1">
    <w:name w:val="Стиль разреженный на  215 пт Знак"/>
    <w:qFormat/>
    <w:rsid w:val="000d4ab6"/>
    <w:rPr>
      <w:bCs/>
      <w:spacing w:val="43"/>
      <w:sz w:val="28"/>
      <w:szCs w:val="28"/>
      <w:lang w:val="uk-UA" w:eastAsia="zh-CN" w:bidi="ar-SA"/>
    </w:rPr>
  </w:style>
  <w:style w:type="character" w:styleId="212" w:customStyle="1">
    <w:name w:val="Знак примечания2"/>
    <w:qFormat/>
    <w:rsid w:val="000d4ab6"/>
    <w:rPr>
      <w:sz w:val="16"/>
      <w:szCs w:val="16"/>
    </w:rPr>
  </w:style>
  <w:style w:type="character" w:styleId="FollowedHyperlink">
    <w:name w:val="FollowedHyperlink"/>
    <w:qFormat/>
    <w:rsid w:val="000d4ab6"/>
    <w:rPr>
      <w:color w:val="800000"/>
      <w:u w:val="single"/>
    </w:rPr>
  </w:style>
  <w:style w:type="character" w:styleId="Style18" w:customStyle="1">
    <w:name w:val="Нижний колонтитул Знак"/>
    <w:qFormat/>
    <w:rsid w:val="000d4ab6"/>
    <w:rPr>
      <w:rFonts w:eastAsia="SimSun" w:cs="Mangal"/>
      <w:kern w:val="2"/>
      <w:sz w:val="28"/>
      <w:szCs w:val="24"/>
      <w:lang w:eastAsia="zh-CN" w:bidi="hi-IN"/>
    </w:rPr>
  </w:style>
  <w:style w:type="character" w:styleId="Style19" w:customStyle="1">
    <w:name w:val="Подзаголовок Знак"/>
    <w:qFormat/>
    <w:rsid w:val="000d4ab6"/>
    <w:rPr>
      <w:rFonts w:eastAsia="SimSun" w:cs="Mangal"/>
      <w:b/>
      <w:bCs/>
      <w:kern w:val="2"/>
      <w:sz w:val="28"/>
      <w:szCs w:val="28"/>
      <w:lang w:eastAsia="zh-CN" w:bidi="hi-IN"/>
    </w:rPr>
  </w:style>
  <w:style w:type="character" w:styleId="110" w:customStyle="1">
    <w:name w:val="Нижний колонтитул Знак1"/>
    <w:qFormat/>
    <w:rsid w:val="000d4ab6"/>
    <w:rPr>
      <w:rFonts w:eastAsia="SimSun" w:cs="Mangal"/>
      <w:kern w:val="2"/>
      <w:sz w:val="28"/>
      <w:szCs w:val="24"/>
      <w:lang w:val="x-none" w:eastAsia="zh-CN" w:bidi="hi-IN"/>
    </w:rPr>
  </w:style>
  <w:style w:type="character" w:styleId="Style20" w:customStyle="1">
    <w:name w:val="Верхний колонтитул Знак"/>
    <w:uiPriority w:val="99"/>
    <w:qFormat/>
    <w:rsid w:val="000d4ab6"/>
    <w:rPr>
      <w:rFonts w:eastAsia="SimSun" w:cs="Mangal"/>
      <w:kern w:val="2"/>
      <w:sz w:val="28"/>
      <w:szCs w:val="24"/>
      <w:lang w:eastAsia="zh-CN" w:bidi="hi-IN"/>
    </w:rPr>
  </w:style>
  <w:style w:type="character" w:styleId="M4221128086506148267xfm55047169" w:customStyle="1">
    <w:name w:val="m_-4221128086506148267xfm_55047169"/>
    <w:qFormat/>
    <w:rsid w:val="000d4ab6"/>
    <w:rPr/>
  </w:style>
  <w:style w:type="character" w:styleId="Xfm38945156" w:customStyle="1">
    <w:name w:val="xfm_38945156"/>
    <w:basedOn w:val="35"/>
    <w:qFormat/>
    <w:rsid w:val="000d4ab6"/>
    <w:rPr/>
  </w:style>
  <w:style w:type="character" w:styleId="Style21" w:customStyle="1">
    <w:name w:val="Текст выноски Знак"/>
    <w:basedOn w:val="DefaultParagraphFont"/>
    <w:link w:val="affb"/>
    <w:qFormat/>
    <w:rsid w:val="000d4ab6"/>
    <w:rPr>
      <w:rFonts w:ascii="Tahoma" w:hAnsi="Tahoma" w:eastAsia="Tahoma" w:cs="Tahoma"/>
      <w:sz w:val="16"/>
      <w:szCs w:val="16"/>
    </w:rPr>
  </w:style>
  <w:style w:type="character" w:styleId="Style22" w:customStyle="1">
    <w:name w:val="Текст примечания Знак"/>
    <w:basedOn w:val="DefaultParagraphFont"/>
    <w:link w:val="affd"/>
    <w:uiPriority w:val="99"/>
    <w:semiHidden/>
    <w:qFormat/>
    <w:rsid w:val="000d4ab6"/>
    <w:rPr>
      <w:rFonts w:cs="Mangal"/>
      <w:szCs w:val="18"/>
    </w:rPr>
  </w:style>
  <w:style w:type="character" w:styleId="Style23" w:customStyle="1">
    <w:name w:val="Тема примечания Знак"/>
    <w:basedOn w:val="Style22"/>
    <w:link w:val="afff"/>
    <w:qFormat/>
    <w:rsid w:val="000d4ab6"/>
    <w:rPr>
      <w:rFonts w:cs="Arial"/>
      <w:b/>
      <w:bCs/>
      <w:szCs w:val="20"/>
    </w:rPr>
  </w:style>
  <w:style w:type="character" w:styleId="Style24" w:customStyle="1">
    <w:name w:val="Основной текст с отступом Знак"/>
    <w:basedOn w:val="DefaultParagraphFont"/>
    <w:link w:val="afff1"/>
    <w:qFormat/>
    <w:rsid w:val="000d4ab6"/>
    <w:rPr>
      <w:rFonts w:cs="Arial"/>
      <w:sz w:val="24"/>
      <w:szCs w:val="20"/>
    </w:rPr>
  </w:style>
  <w:style w:type="character" w:styleId="112" w:customStyle="1">
    <w:name w:val="Подзаголовок Знак1"/>
    <w:basedOn w:val="DefaultParagraphFont"/>
    <w:link w:val="afff4"/>
    <w:qFormat/>
    <w:rsid w:val="000d4ab6"/>
    <w:rPr>
      <w:rFonts w:ascii="Times New Roman" w:hAnsi="Times New Roman" w:eastAsia="SimSun" w:cs="Mangal"/>
      <w:b/>
      <w:bCs/>
      <w:sz w:val="28"/>
      <w:szCs w:val="28"/>
    </w:rPr>
  </w:style>
  <w:style w:type="character" w:styleId="213" w:customStyle="1">
    <w:name w:val="Нижний колонтитул Знак2"/>
    <w:basedOn w:val="DefaultParagraphFont"/>
    <w:link w:val="afff6"/>
    <w:qFormat/>
    <w:rsid w:val="000d4ab6"/>
    <w:rPr>
      <w:rFonts w:ascii="Times New Roman" w:hAnsi="Times New Roman" w:eastAsia="SimSun" w:cs="Mangal"/>
      <w:sz w:val="28"/>
      <w:lang w:val="x-none"/>
    </w:rPr>
  </w:style>
  <w:style w:type="character" w:styleId="113" w:customStyle="1">
    <w:name w:val="Верхний колонтитул Знак1"/>
    <w:basedOn w:val="DefaultParagraphFont"/>
    <w:link w:val="afff7"/>
    <w:qFormat/>
    <w:rsid w:val="000d4ab6"/>
    <w:rPr>
      <w:rFonts w:ascii="Times New Roman" w:hAnsi="Times New Roman" w:eastAsia="SimSun" w:cs="Mangal"/>
      <w:sz w:val="28"/>
    </w:rPr>
  </w:style>
  <w:style w:type="character" w:styleId="ListLabel18">
    <w:name w:val="ListLabel 18"/>
    <w:qFormat/>
    <w:rPr>
      <w:rFonts w:ascii="Times New Roman" w:hAnsi="Times New Roman" w:cs="Times New Roman"/>
      <w:sz w:val="27"/>
      <w:szCs w:val="27"/>
      <w:u w:val="single"/>
    </w:rPr>
  </w:style>
  <w:style w:type="character" w:styleId="ListLabel19">
    <w:name w:val="ListLabel 19"/>
    <w:qFormat/>
    <w:rPr>
      <w:rFonts w:ascii="Times New Roman" w:hAnsi="Times New Roman" w:cs="Times New Roman"/>
      <w:sz w:val="27"/>
      <w:szCs w:val="27"/>
      <w:shd w:fill="FCFCFC" w:val="clear"/>
    </w:rPr>
  </w:style>
  <w:style w:type="character" w:styleId="ListLabel20">
    <w:name w:val="ListLabel 20"/>
    <w:qFormat/>
    <w:rPr>
      <w:rFonts w:ascii="Times New Roman" w:hAnsi="Times New Roman" w:cs="Times New Roman"/>
      <w:sz w:val="27"/>
      <w:szCs w:val="27"/>
      <w:highlight w:val="white"/>
    </w:rPr>
  </w:style>
  <w:style w:type="character" w:styleId="ListLabel21">
    <w:name w:val="ListLabel 21"/>
    <w:qFormat/>
    <w:rPr>
      <w:rFonts w:ascii="Times New Roman" w:hAnsi="Times New Roman" w:cs="Times New Roman"/>
      <w:sz w:val="27"/>
      <w:szCs w:val="27"/>
      <w:shd w:fill="FFFFFF" w:val="clear"/>
    </w:rPr>
  </w:style>
  <w:style w:type="character" w:styleId="ListLabel22">
    <w:name w:val="ListLabel 22"/>
    <w:qFormat/>
    <w:rPr>
      <w:rFonts w:ascii="Times New Roman" w:hAnsi="Times New Roman" w:cs="Times New Roman"/>
      <w:sz w:val="27"/>
      <w:szCs w:val="27"/>
    </w:rPr>
  </w:style>
  <w:style w:type="character" w:styleId="ListLabel23">
    <w:name w:val="ListLabel 23"/>
    <w:qFormat/>
    <w:rPr>
      <w:rFonts w:ascii="Times New Roman" w:hAnsi="Times New Roman" w:cs="Times New Roman"/>
      <w:sz w:val="27"/>
      <w:szCs w:val="27"/>
      <w:u w:val="single"/>
    </w:rPr>
  </w:style>
  <w:style w:type="character" w:styleId="ListLabel24">
    <w:name w:val="ListLabel 24"/>
    <w:qFormat/>
    <w:rPr>
      <w:rFonts w:ascii="Times New Roman" w:hAnsi="Times New Roman" w:cs="Times New Roman"/>
      <w:sz w:val="27"/>
      <w:szCs w:val="27"/>
      <w:shd w:fill="FCFCFC" w:val="clear"/>
    </w:rPr>
  </w:style>
  <w:style w:type="character" w:styleId="ListLabel25">
    <w:name w:val="ListLabel 25"/>
    <w:qFormat/>
    <w:rPr>
      <w:rFonts w:ascii="Times New Roman" w:hAnsi="Times New Roman" w:cs="Times New Roman"/>
      <w:sz w:val="27"/>
      <w:szCs w:val="27"/>
      <w:highlight w:val="white"/>
    </w:rPr>
  </w:style>
  <w:style w:type="character" w:styleId="ListLabel26">
    <w:name w:val="ListLabel 26"/>
    <w:qFormat/>
    <w:rPr>
      <w:rFonts w:ascii="Times New Roman" w:hAnsi="Times New Roman" w:cs="Times New Roman"/>
      <w:sz w:val="27"/>
      <w:szCs w:val="27"/>
      <w:shd w:fill="FFFFFF" w:val="clear"/>
    </w:rPr>
  </w:style>
  <w:style w:type="character" w:styleId="ListLabel27">
    <w:name w:val="ListLabel 27"/>
    <w:qFormat/>
    <w:rPr>
      <w:rFonts w:ascii="Times New Roman" w:hAnsi="Times New Roman" w:cs="Times New Roman"/>
      <w:sz w:val="27"/>
      <w:szCs w:val="27"/>
    </w:rPr>
  </w:style>
  <w:style w:type="character" w:styleId="ListLabel28">
    <w:name w:val="ListLabel 28"/>
    <w:qFormat/>
    <w:rPr>
      <w:rFonts w:ascii="Times New Roman" w:hAnsi="Times New Roman" w:cs="Times New Roman"/>
      <w:sz w:val="27"/>
      <w:szCs w:val="27"/>
      <w:u w:val="single"/>
    </w:rPr>
  </w:style>
  <w:style w:type="character" w:styleId="ListLabel29">
    <w:name w:val="ListLabel 29"/>
    <w:qFormat/>
    <w:rPr>
      <w:rFonts w:ascii="Times New Roman" w:hAnsi="Times New Roman" w:cs="Times New Roman"/>
      <w:sz w:val="27"/>
      <w:szCs w:val="27"/>
      <w:shd w:fill="FCFCFC" w:val="clear"/>
    </w:rPr>
  </w:style>
  <w:style w:type="character" w:styleId="ListLabel30">
    <w:name w:val="ListLabel 30"/>
    <w:qFormat/>
    <w:rPr>
      <w:rFonts w:ascii="Times New Roman" w:hAnsi="Times New Roman" w:cs="Times New Roman"/>
      <w:sz w:val="27"/>
      <w:szCs w:val="27"/>
      <w:highlight w:val="white"/>
    </w:rPr>
  </w:style>
  <w:style w:type="character" w:styleId="ListLabel31">
    <w:name w:val="ListLabel 31"/>
    <w:qFormat/>
    <w:rPr>
      <w:rFonts w:ascii="Times New Roman" w:hAnsi="Times New Roman" w:cs="Times New Roman"/>
      <w:sz w:val="27"/>
      <w:szCs w:val="27"/>
      <w:shd w:fill="FFFFFF" w:val="clear"/>
    </w:rPr>
  </w:style>
  <w:style w:type="character" w:styleId="ListLabel32">
    <w:name w:val="ListLabel 32"/>
    <w:qFormat/>
    <w:rPr>
      <w:rFonts w:ascii="Times New Roman" w:hAnsi="Times New Roman" w:cs="Times New Roman"/>
      <w:sz w:val="27"/>
      <w:szCs w:val="27"/>
    </w:rPr>
  </w:style>
  <w:style w:type="paragraph" w:styleId="Style25" w:customStyle="1">
    <w:name w:val="Заголовок"/>
    <w:basedOn w:val="Normal"/>
    <w:next w:val="Style26"/>
    <w:qFormat/>
    <w:pPr>
      <w:keepNext w:val="true"/>
      <w:spacing w:before="240" w:after="120"/>
    </w:pPr>
    <w:rPr>
      <w:rFonts w:ascii="Liberation Sans" w:hAnsi="Liberation Sans" w:eastAsia="Microsoft YaHei"/>
      <w:sz w:val="28"/>
      <w:szCs w:val="28"/>
    </w:rPr>
  </w:style>
  <w:style w:type="paragraph" w:styleId="Style26">
    <w:name w:val="Body Text"/>
    <w:basedOn w:val="Normal"/>
    <w:pPr>
      <w:spacing w:lineRule="auto" w:line="276" w:before="0" w:after="140"/>
    </w:pPr>
    <w:rPr/>
  </w:style>
  <w:style w:type="paragraph" w:styleId="Style27">
    <w:name w:val="List"/>
    <w:basedOn w:val="Style26"/>
    <w:pPr/>
    <w:rPr/>
  </w:style>
  <w:style w:type="paragraph" w:styleId="Style28">
    <w:name w:val="Caption"/>
    <w:basedOn w:val="Normal"/>
    <w:qFormat/>
    <w:pPr>
      <w:suppressLineNumbers/>
      <w:spacing w:before="120" w:after="120"/>
    </w:pPr>
    <w:rPr>
      <w:rFonts w:cs="Arial"/>
      <w:i/>
      <w:iCs/>
      <w:sz w:val="24"/>
      <w:szCs w:val="24"/>
    </w:rPr>
  </w:style>
  <w:style w:type="paragraph" w:styleId="Style29" w:customStyle="1">
    <w:name w:val="Покажчик"/>
    <w:basedOn w:val="Normal"/>
    <w:qFormat/>
    <w:pPr>
      <w:suppressLineNumbers/>
    </w:pPr>
    <w:rPr/>
  </w:style>
  <w:style w:type="paragraph" w:styleId="Caption">
    <w:name w:val="caption"/>
    <w:basedOn w:val="Normal"/>
    <w:qFormat/>
    <w:pPr>
      <w:suppressLineNumbers/>
      <w:spacing w:before="120" w:after="120"/>
    </w:pPr>
    <w:rPr>
      <w:i/>
      <w:iCs/>
    </w:rPr>
  </w:style>
  <w:style w:type="paragraph" w:styleId="Style30">
    <w:name w:val="Title"/>
    <w:basedOn w:val="Normal"/>
    <w:next w:val="Style26"/>
    <w:qFormat/>
    <w:pPr>
      <w:keepNext w:val="true"/>
      <w:spacing w:before="240" w:after="120"/>
    </w:pPr>
    <w:rPr>
      <w:rFonts w:ascii="Liberation Sans" w:hAnsi="Liberation Sans" w:eastAsia="Microsoft YaHei"/>
      <w:sz w:val="28"/>
      <w:szCs w:val="28"/>
    </w:rPr>
  </w:style>
  <w:style w:type="paragraph" w:styleId="Standard" w:customStyle="1">
    <w:name w:val="Standard"/>
    <w:qFormat/>
    <w:pPr>
      <w:widowControl w:val="false"/>
      <w:suppressAutoHyphens w:val="true"/>
      <w:bidi w:val="0"/>
      <w:jc w:val="left"/>
      <w:textAlignment w:val="baseline"/>
    </w:pPr>
    <w:rPr>
      <w:rFonts w:ascii="Liberation Serif;Times New Roma" w:hAnsi="Liberation Serif;Times New Roma" w:eastAsia="Droid Sans Fallback;Times New R" w:cs="FreeSans;Arial"/>
      <w:color w:val="auto"/>
      <w:kern w:val="2"/>
      <w:sz w:val="24"/>
      <w:szCs w:val="24"/>
      <w:lang w:val="uk-UA" w:eastAsia="zh-CN" w:bidi="hi-IN"/>
    </w:rPr>
  </w:style>
  <w:style w:type="paragraph" w:styleId="NormalWeb">
    <w:name w:val="Normal (Web)"/>
    <w:basedOn w:val="Normal"/>
    <w:qFormat/>
    <w:pPr>
      <w:suppressAutoHyphens w:val="true"/>
      <w:spacing w:before="280" w:after="119"/>
    </w:pPr>
    <w:rPr>
      <w:lang w:val="ru-RU"/>
    </w:rPr>
  </w:style>
  <w:style w:type="paragraph" w:styleId="Timt" w:customStyle="1">
    <w:name w:val="Timt"/>
    <w:basedOn w:val="Normal"/>
    <w:qFormat/>
    <w:pPr>
      <w:ind w:firstLine="567"/>
      <w:jc w:val="both"/>
    </w:pPr>
    <w:rPr/>
  </w:style>
  <w:style w:type="paragraph" w:styleId="91" w:customStyle="1">
    <w:name w:val="Заголовок9"/>
    <w:basedOn w:val="Normal"/>
    <w:next w:val="Style26"/>
    <w:qFormat/>
    <w:rsid w:val="000d4ab6"/>
    <w:pPr>
      <w:keepNext w:val="true"/>
      <w:suppressAutoHyphens w:val="true"/>
      <w:spacing w:before="240" w:after="120"/>
      <w:textAlignment w:val="baseline"/>
    </w:pPr>
    <w:rPr>
      <w:rFonts w:ascii="Liberation Sans" w:hAnsi="Liberation Sans" w:eastAsia="Microsoft YaHei" w:cs="Arial"/>
      <w:sz w:val="28"/>
      <w:szCs w:val="28"/>
    </w:rPr>
  </w:style>
  <w:style w:type="paragraph" w:styleId="351" w:customStyle="1">
    <w:name w:val="Название объекта35"/>
    <w:basedOn w:val="Normal"/>
    <w:qFormat/>
    <w:rsid w:val="000d4ab6"/>
    <w:pPr>
      <w:suppressLineNumbers/>
      <w:suppressAutoHyphens w:val="true"/>
      <w:spacing w:before="120" w:after="120"/>
      <w:textAlignment w:val="baseline"/>
    </w:pPr>
    <w:rPr>
      <w:rFonts w:cs="Arial"/>
      <w:i/>
      <w:iCs/>
    </w:rPr>
  </w:style>
  <w:style w:type="paragraph" w:styleId="341" w:customStyle="1">
    <w:name w:val="Название объекта34"/>
    <w:basedOn w:val="Normal"/>
    <w:qFormat/>
    <w:rsid w:val="000d4ab6"/>
    <w:pPr>
      <w:suppressLineNumbers/>
      <w:suppressAutoHyphens w:val="true"/>
      <w:spacing w:before="120" w:after="120"/>
      <w:textAlignment w:val="baseline"/>
    </w:pPr>
    <w:rPr>
      <w:rFonts w:cs="Arial"/>
      <w:i/>
      <w:iCs/>
    </w:rPr>
  </w:style>
  <w:style w:type="paragraph" w:styleId="81" w:customStyle="1">
    <w:name w:val="Заголовок8"/>
    <w:basedOn w:val="Normal"/>
    <w:next w:val="Style26"/>
    <w:qFormat/>
    <w:rsid w:val="000d4ab6"/>
    <w:pPr>
      <w:keepNext w:val="true"/>
      <w:suppressAutoHyphens w:val="true"/>
      <w:spacing w:before="240" w:after="120"/>
      <w:textAlignment w:val="baseline"/>
    </w:pPr>
    <w:rPr>
      <w:rFonts w:ascii="Liberation Sans" w:hAnsi="Liberation Sans" w:eastAsia="Microsoft YaHei" w:cs="Arial"/>
      <w:sz w:val="28"/>
      <w:szCs w:val="28"/>
    </w:rPr>
  </w:style>
  <w:style w:type="paragraph" w:styleId="331" w:customStyle="1">
    <w:name w:val="Название объекта33"/>
    <w:basedOn w:val="Normal"/>
    <w:qFormat/>
    <w:rsid w:val="000d4ab6"/>
    <w:pPr>
      <w:suppressLineNumbers/>
      <w:suppressAutoHyphens w:val="true"/>
      <w:spacing w:before="120" w:after="120"/>
      <w:textAlignment w:val="baseline"/>
    </w:pPr>
    <w:rPr>
      <w:rFonts w:cs="Arial"/>
      <w:i/>
      <w:iCs/>
    </w:rPr>
  </w:style>
  <w:style w:type="paragraph" w:styleId="321" w:customStyle="1">
    <w:name w:val="Название объекта32"/>
    <w:basedOn w:val="Normal"/>
    <w:qFormat/>
    <w:rsid w:val="000d4ab6"/>
    <w:pPr>
      <w:suppressLineNumbers/>
      <w:suppressAutoHyphens w:val="true"/>
      <w:spacing w:before="120" w:after="120"/>
      <w:textAlignment w:val="baseline"/>
    </w:pPr>
    <w:rPr>
      <w:rFonts w:cs="Arial"/>
      <w:i/>
      <w:iCs/>
    </w:rPr>
  </w:style>
  <w:style w:type="paragraph" w:styleId="312" w:customStyle="1">
    <w:name w:val="Название объекта31"/>
    <w:basedOn w:val="Normal"/>
    <w:qFormat/>
    <w:rsid w:val="000d4ab6"/>
    <w:pPr>
      <w:suppressLineNumbers/>
      <w:suppressAutoHyphens w:val="true"/>
      <w:spacing w:before="120" w:after="120"/>
      <w:textAlignment w:val="baseline"/>
    </w:pPr>
    <w:rPr>
      <w:i/>
      <w:iCs/>
    </w:rPr>
  </w:style>
  <w:style w:type="paragraph" w:styleId="301" w:customStyle="1">
    <w:name w:val="Название объекта30"/>
    <w:basedOn w:val="Normal"/>
    <w:qFormat/>
    <w:rsid w:val="000d4ab6"/>
    <w:pPr>
      <w:suppressLineNumbers/>
      <w:suppressAutoHyphens w:val="true"/>
      <w:spacing w:before="120" w:after="120"/>
      <w:textAlignment w:val="baseline"/>
    </w:pPr>
    <w:rPr>
      <w:rFonts w:cs="Arial"/>
      <w:i/>
      <w:iCs/>
    </w:rPr>
  </w:style>
  <w:style w:type="paragraph" w:styleId="291" w:customStyle="1">
    <w:name w:val="Название объекта29"/>
    <w:basedOn w:val="Normal"/>
    <w:qFormat/>
    <w:rsid w:val="000d4ab6"/>
    <w:pPr>
      <w:suppressLineNumbers/>
      <w:suppressAutoHyphens w:val="true"/>
      <w:spacing w:before="120" w:after="120"/>
      <w:textAlignment w:val="baseline"/>
    </w:pPr>
    <w:rPr>
      <w:i/>
      <w:iCs/>
    </w:rPr>
  </w:style>
  <w:style w:type="paragraph" w:styleId="281" w:customStyle="1">
    <w:name w:val="Название объекта28"/>
    <w:basedOn w:val="Normal"/>
    <w:qFormat/>
    <w:rsid w:val="000d4ab6"/>
    <w:pPr>
      <w:suppressLineNumbers/>
      <w:suppressAutoHyphens w:val="true"/>
      <w:spacing w:before="120" w:after="120"/>
      <w:textAlignment w:val="baseline"/>
    </w:pPr>
    <w:rPr>
      <w:i/>
      <w:iCs/>
    </w:rPr>
  </w:style>
  <w:style w:type="paragraph" w:styleId="272" w:customStyle="1">
    <w:name w:val="Название объекта27"/>
    <w:basedOn w:val="Normal"/>
    <w:qFormat/>
    <w:rsid w:val="000d4ab6"/>
    <w:pPr>
      <w:suppressLineNumbers/>
      <w:suppressAutoHyphens w:val="true"/>
      <w:spacing w:before="120" w:after="120"/>
      <w:textAlignment w:val="baseline"/>
    </w:pPr>
    <w:rPr>
      <w:rFonts w:cs="Arial"/>
      <w:i/>
      <w:iCs/>
    </w:rPr>
  </w:style>
  <w:style w:type="paragraph" w:styleId="63" w:customStyle="1">
    <w:name w:val="Заголовок6"/>
    <w:basedOn w:val="Normal"/>
    <w:next w:val="Style26"/>
    <w:qFormat/>
    <w:rsid w:val="000d4ab6"/>
    <w:pPr>
      <w:keepNext w:val="true"/>
      <w:suppressAutoHyphens w:val="true"/>
      <w:spacing w:before="240" w:after="120"/>
      <w:textAlignment w:val="baseline"/>
    </w:pPr>
    <w:rPr>
      <w:rFonts w:ascii="Liberation Sans" w:hAnsi="Liberation Sans" w:eastAsia="Microsoft YaHei" w:cs="Liberation Sans"/>
      <w:sz w:val="28"/>
      <w:szCs w:val="28"/>
    </w:rPr>
  </w:style>
  <w:style w:type="paragraph" w:styleId="114" w:customStyle="1">
    <w:name w:val="Обычный1"/>
    <w:qFormat/>
    <w:rsid w:val="000d4ab6"/>
    <w:pPr>
      <w:widowControl/>
      <w:suppressAutoHyphens w:val="true"/>
      <w:bidi w:val="0"/>
      <w:jc w:val="left"/>
      <w:textAlignment w:val="baseline"/>
    </w:pPr>
    <w:rPr>
      <w:rFonts w:ascii="Liberation Serif" w:hAnsi="Liberation Serif" w:eastAsia="NSimSun" w:cs="Arial"/>
      <w:color w:val="auto"/>
      <w:kern w:val="2"/>
      <w:sz w:val="24"/>
      <w:szCs w:val="24"/>
      <w:lang w:val="uk-UA" w:eastAsia="zh-CN" w:bidi="hi-IN"/>
    </w:rPr>
  </w:style>
  <w:style w:type="paragraph" w:styleId="222" w:customStyle="1">
    <w:name w:val="Название объекта22"/>
    <w:basedOn w:val="Normal"/>
    <w:qFormat/>
    <w:rsid w:val="000d4ab6"/>
    <w:pPr>
      <w:suppressLineNumbers/>
      <w:suppressAutoHyphens w:val="true"/>
      <w:spacing w:before="120" w:after="120"/>
      <w:textAlignment w:val="baseline"/>
    </w:pPr>
    <w:rPr>
      <w:rFonts w:cs="Mangal"/>
      <w:i/>
      <w:iCs/>
    </w:rPr>
  </w:style>
  <w:style w:type="paragraph" w:styleId="Style31" w:customStyle="1">
    <w:name w:val="Вміст рамки"/>
    <w:basedOn w:val="Normal"/>
    <w:qFormat/>
    <w:rsid w:val="000d4ab6"/>
    <w:pPr>
      <w:suppressAutoHyphens w:val="true"/>
      <w:textAlignment w:val="baseline"/>
    </w:pPr>
    <w:rPr>
      <w:rFonts w:cs="Arial"/>
    </w:rPr>
  </w:style>
  <w:style w:type="paragraph" w:styleId="Style32" w:customStyle="1">
    <w:name w:val="Вміст таблиці"/>
    <w:basedOn w:val="Normal"/>
    <w:qFormat/>
    <w:rsid w:val="000d4ab6"/>
    <w:pPr>
      <w:suppressLineNumbers/>
      <w:suppressAutoHyphens w:val="true"/>
      <w:textAlignment w:val="baseline"/>
    </w:pPr>
    <w:rPr>
      <w:rFonts w:cs="Arial"/>
    </w:rPr>
  </w:style>
  <w:style w:type="paragraph" w:styleId="Style33" w:customStyle="1">
    <w:name w:val="Заголовок таблиці"/>
    <w:basedOn w:val="Style32"/>
    <w:qFormat/>
    <w:rsid w:val="000d4ab6"/>
    <w:pPr>
      <w:jc w:val="center"/>
    </w:pPr>
    <w:rPr>
      <w:b/>
      <w:bCs/>
    </w:rPr>
  </w:style>
  <w:style w:type="paragraph" w:styleId="115" w:customStyle="1">
    <w:name w:val="Нижний колонтитул1"/>
    <w:basedOn w:val="Normal"/>
    <w:qFormat/>
    <w:rsid w:val="000d4ab6"/>
    <w:pPr>
      <w:tabs>
        <w:tab w:val="clear" w:pos="709"/>
        <w:tab w:val="center" w:pos="4677" w:leader="none"/>
        <w:tab w:val="right" w:pos="9355" w:leader="none"/>
      </w:tabs>
      <w:suppressAutoHyphens w:val="true"/>
      <w:textAlignment w:val="baseline"/>
    </w:pPr>
    <w:rPr>
      <w:rFonts w:cs="Arial"/>
    </w:rPr>
  </w:style>
  <w:style w:type="paragraph" w:styleId="116" w:customStyle="1">
    <w:name w:val="Верхний колонтитул1"/>
    <w:basedOn w:val="Normal"/>
    <w:qFormat/>
    <w:rsid w:val="000d4ab6"/>
    <w:pPr>
      <w:tabs>
        <w:tab w:val="clear" w:pos="709"/>
        <w:tab w:val="center" w:pos="4677" w:leader="none"/>
        <w:tab w:val="right" w:pos="9355" w:leader="none"/>
      </w:tabs>
      <w:suppressAutoHyphens w:val="true"/>
      <w:textAlignment w:val="baseline"/>
    </w:pPr>
    <w:rPr>
      <w:rFonts w:cs="Arial"/>
    </w:rPr>
  </w:style>
  <w:style w:type="paragraph" w:styleId="Style34" w:customStyle="1">
    <w:name w:val="Верхній і нижній колонтитули"/>
    <w:basedOn w:val="Normal"/>
    <w:qFormat/>
    <w:rsid w:val="000d4ab6"/>
    <w:pPr>
      <w:suppressLineNumbers/>
      <w:tabs>
        <w:tab w:val="clear" w:pos="709"/>
        <w:tab w:val="center" w:pos="4819" w:leader="none"/>
        <w:tab w:val="right" w:pos="9638" w:leader="none"/>
      </w:tabs>
      <w:suppressAutoHyphens w:val="true"/>
      <w:textAlignment w:val="baseline"/>
    </w:pPr>
    <w:rPr>
      <w:rFonts w:cs="Arial"/>
    </w:rPr>
  </w:style>
  <w:style w:type="paragraph" w:styleId="Default" w:customStyle="1">
    <w:name w:val="Default"/>
    <w:qFormat/>
    <w:rsid w:val="000d4ab6"/>
    <w:pPr>
      <w:widowControl/>
      <w:suppressAutoHyphens w:val="true"/>
      <w:bidi w:val="0"/>
      <w:jc w:val="left"/>
      <w:textAlignment w:val="baseline"/>
    </w:pPr>
    <w:rPr>
      <w:rFonts w:ascii="Times New Roman" w:hAnsi="Times New Roman" w:eastAsia="Times New Roman" w:cs="Times New Roman"/>
      <w:color w:val="000000"/>
      <w:kern w:val="2"/>
      <w:sz w:val="24"/>
      <w:szCs w:val="24"/>
      <w:lang w:val="ru-RU" w:eastAsia="zh-CN" w:bidi="ar-SA"/>
    </w:rPr>
  </w:style>
  <w:style w:type="paragraph" w:styleId="181" w:customStyle="1">
    <w:name w:val="Название объекта18"/>
    <w:basedOn w:val="Normal"/>
    <w:qFormat/>
    <w:rsid w:val="000d4ab6"/>
    <w:pPr>
      <w:suppressLineNumbers/>
      <w:suppressAutoHyphens w:val="true"/>
      <w:spacing w:before="120" w:after="120"/>
      <w:textAlignment w:val="baseline"/>
    </w:pPr>
    <w:rPr>
      <w:rFonts w:cs="Lohit Devanagari"/>
      <w:i/>
      <w:iCs/>
    </w:rPr>
  </w:style>
  <w:style w:type="paragraph" w:styleId="171" w:customStyle="1">
    <w:name w:val="Название объекта17"/>
    <w:basedOn w:val="Normal"/>
    <w:qFormat/>
    <w:rsid w:val="000d4ab6"/>
    <w:pPr>
      <w:suppressLineNumbers/>
      <w:suppressAutoHyphens w:val="true"/>
      <w:spacing w:before="120" w:after="120"/>
      <w:textAlignment w:val="baseline"/>
    </w:pPr>
    <w:rPr>
      <w:rFonts w:cs="FreeSans"/>
      <w:i/>
      <w:iCs/>
    </w:rPr>
  </w:style>
  <w:style w:type="paragraph" w:styleId="162" w:customStyle="1">
    <w:name w:val="Название объекта16"/>
    <w:basedOn w:val="Normal"/>
    <w:qFormat/>
    <w:rsid w:val="000d4ab6"/>
    <w:pPr>
      <w:suppressLineNumbers/>
      <w:suppressAutoHyphens w:val="true"/>
      <w:spacing w:before="120" w:after="120"/>
      <w:textAlignment w:val="baseline"/>
    </w:pPr>
    <w:rPr>
      <w:rFonts w:cs="Mangal"/>
      <w:i/>
      <w:iCs/>
    </w:rPr>
  </w:style>
  <w:style w:type="paragraph" w:styleId="92" w:customStyle="1">
    <w:name w:val="Указатель9"/>
    <w:basedOn w:val="Normal"/>
    <w:qFormat/>
    <w:rsid w:val="000d4ab6"/>
    <w:pPr>
      <w:suppressLineNumbers/>
      <w:suppressAutoHyphens w:val="true"/>
      <w:textAlignment w:val="baseline"/>
    </w:pPr>
    <w:rPr>
      <w:rFonts w:cs="Mangal"/>
    </w:rPr>
  </w:style>
  <w:style w:type="paragraph" w:styleId="82" w:customStyle="1">
    <w:name w:val="Указатель8"/>
    <w:basedOn w:val="Normal"/>
    <w:qFormat/>
    <w:rsid w:val="000d4ab6"/>
    <w:pPr>
      <w:suppressLineNumbers/>
      <w:suppressAutoHyphens w:val="true"/>
      <w:textAlignment w:val="baseline"/>
    </w:pPr>
    <w:rPr>
      <w:rFonts w:cs="Mangal"/>
    </w:rPr>
  </w:style>
  <w:style w:type="paragraph" w:styleId="73" w:customStyle="1">
    <w:name w:val="Указатель7"/>
    <w:basedOn w:val="Normal"/>
    <w:qFormat/>
    <w:rsid w:val="000d4ab6"/>
    <w:pPr>
      <w:suppressLineNumbers/>
      <w:suppressAutoHyphens w:val="true"/>
      <w:textAlignment w:val="baseline"/>
    </w:pPr>
    <w:rPr>
      <w:rFonts w:cs="Mangal"/>
    </w:rPr>
  </w:style>
  <w:style w:type="paragraph" w:styleId="64" w:customStyle="1">
    <w:name w:val="Указатель6"/>
    <w:basedOn w:val="Normal"/>
    <w:qFormat/>
    <w:rsid w:val="000d4ab6"/>
    <w:pPr>
      <w:suppressLineNumbers/>
      <w:suppressAutoHyphens w:val="true"/>
      <w:textAlignment w:val="baseline"/>
    </w:pPr>
    <w:rPr>
      <w:rFonts w:cs="Mangal"/>
    </w:rPr>
  </w:style>
  <w:style w:type="paragraph" w:styleId="51" w:customStyle="1">
    <w:name w:val="Указатель5"/>
    <w:basedOn w:val="Normal"/>
    <w:qFormat/>
    <w:rsid w:val="000d4ab6"/>
    <w:pPr>
      <w:suppressLineNumbers/>
      <w:suppressAutoHyphens w:val="true"/>
      <w:textAlignment w:val="baseline"/>
    </w:pPr>
    <w:rPr>
      <w:rFonts w:cs="Mangal"/>
    </w:rPr>
  </w:style>
  <w:style w:type="paragraph" w:styleId="41" w:customStyle="1">
    <w:name w:val="Указатель4"/>
    <w:basedOn w:val="Normal"/>
    <w:qFormat/>
    <w:rsid w:val="000d4ab6"/>
    <w:pPr>
      <w:suppressLineNumbers/>
      <w:suppressAutoHyphens w:val="true"/>
      <w:textAlignment w:val="baseline"/>
    </w:pPr>
    <w:rPr>
      <w:rFonts w:cs="Mangal"/>
    </w:rPr>
  </w:style>
  <w:style w:type="paragraph" w:styleId="Style35" w:customStyle="1">
    <w:name w:val="Звичайний (веб)"/>
    <w:basedOn w:val="Normal"/>
    <w:qFormat/>
    <w:rsid w:val="000d4ab6"/>
    <w:pPr>
      <w:suppressAutoHyphens w:val="true"/>
      <w:spacing w:before="280" w:after="119"/>
      <w:textAlignment w:val="baseline"/>
    </w:pPr>
    <w:rPr>
      <w:rFonts w:cs="Arial"/>
      <w:lang w:val="ru-RU"/>
    </w:rPr>
  </w:style>
  <w:style w:type="paragraph" w:styleId="117" w:customStyle="1">
    <w:name w:val="Текст примечания1"/>
    <w:basedOn w:val="Normal"/>
    <w:qFormat/>
    <w:rsid w:val="000d4ab6"/>
    <w:pPr>
      <w:suppressAutoHyphens w:val="true"/>
      <w:textAlignment w:val="baseline"/>
    </w:pPr>
    <w:rPr>
      <w:rFonts w:cs="Arial"/>
      <w:sz w:val="20"/>
      <w:szCs w:val="20"/>
    </w:rPr>
  </w:style>
  <w:style w:type="paragraph" w:styleId="Style36" w:customStyle="1">
    <w:name w:val="Тема примітки"/>
    <w:basedOn w:val="117"/>
    <w:next w:val="117"/>
    <w:qFormat/>
    <w:rsid w:val="000d4ab6"/>
    <w:pPr/>
    <w:rPr>
      <w:b/>
      <w:bCs/>
    </w:rPr>
  </w:style>
  <w:style w:type="paragraph" w:styleId="Style37" w:customStyle="1">
    <w:name w:val="Текст у виносці"/>
    <w:basedOn w:val="Normal"/>
    <w:qFormat/>
    <w:rsid w:val="000d4ab6"/>
    <w:pPr>
      <w:suppressAutoHyphens w:val="true"/>
      <w:textAlignment w:val="baseline"/>
    </w:pPr>
    <w:rPr>
      <w:rFonts w:ascii="Tahoma" w:hAnsi="Tahoma" w:eastAsia="Tahoma" w:cs="Tahoma"/>
      <w:sz w:val="16"/>
      <w:szCs w:val="16"/>
    </w:rPr>
  </w:style>
  <w:style w:type="paragraph" w:styleId="Style38" w:customStyle="1">
    <w:name w:val="Абзац списку"/>
    <w:basedOn w:val="Normal"/>
    <w:qFormat/>
    <w:rsid w:val="000d4ab6"/>
    <w:pPr>
      <w:ind w:left="708" w:hanging="0"/>
      <w:textAlignment w:val="baseline"/>
    </w:pPr>
    <w:rPr>
      <w:rFonts w:eastAsia="Times New Roman" w:cs="Times New Roman"/>
      <w:lang w:val="ru-RU" w:bidi="ar-SA"/>
    </w:rPr>
  </w:style>
  <w:style w:type="paragraph" w:styleId="Style39" w:customStyle="1">
    <w:name w:val="Обычный (Интернет)"/>
    <w:basedOn w:val="Normal"/>
    <w:qFormat/>
    <w:rsid w:val="000d4ab6"/>
    <w:pPr>
      <w:spacing w:before="100" w:after="100"/>
      <w:textAlignment w:val="baseline"/>
    </w:pPr>
    <w:rPr>
      <w:rFonts w:eastAsia="Times New Roman" w:cs="Times New Roman"/>
      <w:kern w:val="0"/>
      <w:lang w:val="ru-RU" w:bidi="ar-SA"/>
    </w:rPr>
  </w:style>
  <w:style w:type="paragraph" w:styleId="214" w:customStyle="1">
    <w:name w:val="Звичайний2"/>
    <w:qFormat/>
    <w:rsid w:val="000d4ab6"/>
    <w:pPr>
      <w:widowControl w:val="false"/>
      <w:suppressAutoHyphens w:val="true"/>
      <w:bidi w:val="0"/>
      <w:jc w:val="left"/>
      <w:textAlignment w:val="baseline"/>
    </w:pPr>
    <w:rPr>
      <w:rFonts w:ascii="Liberation Serif" w:hAnsi="Liberation Serif" w:eastAsia="NSimSun" w:cs="Arial"/>
      <w:color w:val="auto"/>
      <w:kern w:val="2"/>
      <w:sz w:val="24"/>
      <w:szCs w:val="24"/>
      <w:lang w:val="uk-UA" w:eastAsia="zh-CN" w:bidi="hi-IN"/>
    </w:rPr>
  </w:style>
  <w:style w:type="paragraph" w:styleId="Style81" w:customStyle="1">
    <w:name w:val="Style8"/>
    <w:basedOn w:val="214"/>
    <w:qFormat/>
    <w:rsid w:val="000d4ab6"/>
    <w:pPr>
      <w:spacing w:lineRule="exact" w:line="317"/>
      <w:jc w:val="both"/>
      <w:textAlignment w:val="auto"/>
    </w:pPr>
    <w:rPr>
      <w:rFonts w:ascii="Times New Roman" w:hAnsi="Times New Roman" w:eastAsia="Times New Roman" w:cs="Times New Roman"/>
      <w:lang w:val="ru-RU" w:bidi="ar-SA"/>
    </w:rPr>
  </w:style>
  <w:style w:type="paragraph" w:styleId="Style40" w:customStyle="1">
    <w:name w:val="Текст у вказаному форматі"/>
    <w:basedOn w:val="Normal"/>
    <w:qFormat/>
    <w:rsid w:val="000d4ab6"/>
    <w:pPr>
      <w:suppressAutoHyphens w:val="true"/>
      <w:textAlignment w:val="baseline"/>
    </w:pPr>
    <w:rPr>
      <w:rFonts w:ascii="Liberation Mono" w:hAnsi="Liberation Mono" w:cs="Liberation Mono"/>
      <w:sz w:val="20"/>
      <w:szCs w:val="20"/>
      <w:lang w:val="en-US"/>
    </w:rPr>
  </w:style>
  <w:style w:type="paragraph" w:styleId="4O4rz4444444442" w:customStyle="1">
    <w:name w:val="О4Oс4・н~?о?вr?н~?о?йz ?т・4е?4к?4с4・т4・?с?4о4・т・4с4・т?у] п2"/>
    <w:basedOn w:val="Normal"/>
    <w:qFormat/>
    <w:rsid w:val="000d4ab6"/>
    <w:pPr>
      <w:widowControl w:val="false"/>
      <w:suppressAutoHyphens w:val="true"/>
      <w:ind w:right="-5" w:firstLine="900"/>
      <w:jc w:val="both"/>
      <w:textAlignment w:val="baseline"/>
    </w:pPr>
    <w:rPr>
      <w:rFonts w:eastAsia="Times New Roman" w:cs="Times New Roman"/>
      <w:szCs w:val="28"/>
      <w:lang w:bidi="ar-SA"/>
    </w:rPr>
  </w:style>
  <w:style w:type="paragraph" w:styleId="4T44p4x4p4u" w:customStyle="1">
    <w:name w:val="У4Tк4[а4pз4xа4pт4・еu?л|?ь・"/>
    <w:basedOn w:val="Normal"/>
    <w:qFormat/>
    <w:rsid w:val="000d4ab6"/>
    <w:pPr>
      <w:widowControl w:val="false"/>
      <w:suppressAutoHyphens w:val="true"/>
      <w:textAlignment w:val="baseline"/>
    </w:pPr>
    <w:rPr>
      <w:rFonts w:eastAsia="Times New Roman" w:cs="Times New Roman"/>
      <w:lang w:bidi="ar-SA"/>
    </w:rPr>
  </w:style>
  <w:style w:type="paragraph" w:styleId="4N4p4x4r4p44y4u" w:customStyle="1">
    <w:name w:val="Н4Nа4pз4xв4rа4pн4~и4yе4u"/>
    <w:basedOn w:val="Normal"/>
    <w:qFormat/>
    <w:rsid w:val="000d4ab6"/>
    <w:pPr>
      <w:widowControl w:val="false"/>
      <w:suppressAutoHyphens w:val="true"/>
      <w:spacing w:before="120" w:after="120"/>
      <w:textAlignment w:val="baseline"/>
    </w:pPr>
    <w:rPr>
      <w:rFonts w:eastAsia="Times New Roman" w:cs="Times New Roman"/>
      <w:i/>
      <w:iCs/>
      <w:szCs w:val="28"/>
      <w:lang w:bidi="ar-SA"/>
    </w:rPr>
  </w:style>
  <w:style w:type="paragraph" w:styleId="4O4rz4444" w:customStyle="1">
    <w:name w:val="О4Oс4・н~?о?вr?н~?о?йz ?т・4е?4к?4с4・"/>
    <w:basedOn w:val="Normal"/>
    <w:qFormat/>
    <w:rsid w:val="000d4ab6"/>
    <w:pPr>
      <w:widowControl w:val="false"/>
      <w:suppressAutoHyphens w:val="true"/>
      <w:spacing w:lineRule="auto" w:line="276" w:before="0" w:after="140"/>
      <w:textAlignment w:val="baseline"/>
    </w:pPr>
    <w:rPr>
      <w:rFonts w:eastAsia="Times New Roman" w:cs="Times New Roman"/>
      <w:lang w:bidi="ar-SA"/>
    </w:rPr>
  </w:style>
  <w:style w:type="paragraph" w:styleId="4R4y44" w:customStyle="1">
    <w:name w:val="С4Rп4・иy?с・4о?4к"/>
    <w:basedOn w:val="4O4rz4444"/>
    <w:qFormat/>
    <w:rsid w:val="000d4ab6"/>
    <w:pPr/>
    <w:rPr/>
  </w:style>
  <w:style w:type="paragraph" w:styleId="4H4p4s4444r44" w:customStyle="1">
    <w:name w:val="З4Hа4pг4sо4л4|о4в4rо4к4["/>
    <w:basedOn w:val="Normal"/>
    <w:next w:val="4O4rz4444"/>
    <w:qFormat/>
    <w:rsid w:val="000d4ab6"/>
    <w:pPr>
      <w:keepNext w:val="true"/>
      <w:widowControl w:val="false"/>
      <w:suppressAutoHyphens w:val="true"/>
      <w:spacing w:before="240" w:after="120"/>
      <w:textAlignment w:val="baseline"/>
    </w:pPr>
    <w:rPr>
      <w:rFonts w:eastAsia="Times New Roman" w:cs="Times New Roman"/>
      <w:szCs w:val="28"/>
      <w:lang w:bidi="ar-SA"/>
    </w:rPr>
  </w:style>
  <w:style w:type="paragraph" w:styleId="Tcbmf" w:customStyle="1">
    <w:name w:val="tc bmf"/>
    <w:basedOn w:val="Normal"/>
    <w:qFormat/>
    <w:rsid w:val="000d4ab6"/>
    <w:pPr>
      <w:spacing w:before="280" w:after="280"/>
      <w:textAlignment w:val="baseline"/>
    </w:pPr>
    <w:rPr>
      <w:rFonts w:eastAsia="Times New Roman" w:cs="Times New Roman"/>
      <w:kern w:val="0"/>
      <w:lang w:bidi="ar-SA"/>
    </w:rPr>
  </w:style>
  <w:style w:type="paragraph" w:styleId="342" w:customStyle="1">
    <w:name w:val="Основной текст с отступом 34"/>
    <w:basedOn w:val="Normal"/>
    <w:qFormat/>
    <w:rsid w:val="000d4ab6"/>
    <w:pPr>
      <w:suppressAutoHyphens w:val="true"/>
      <w:spacing w:before="0" w:after="120"/>
      <w:ind w:left="283" w:hanging="0"/>
      <w:textAlignment w:val="baseline"/>
    </w:pPr>
    <w:rPr>
      <w:rFonts w:cs="Arial"/>
      <w:sz w:val="16"/>
      <w:szCs w:val="16"/>
    </w:rPr>
  </w:style>
  <w:style w:type="paragraph" w:styleId="NoSpacing" w:customStyle="1">
    <w:name w:val="No Spacing"/>
    <w:qFormat/>
    <w:rsid w:val="000d4ab6"/>
    <w:pPr>
      <w:widowControl/>
      <w:suppressAutoHyphens w:val="true"/>
      <w:bidi w:val="0"/>
      <w:jc w:val="left"/>
    </w:pPr>
    <w:rPr>
      <w:rFonts w:ascii="Calibri" w:hAnsi="Calibri" w:eastAsia="Times New Roman" w:cs="Calibri"/>
      <w:color w:val="auto"/>
      <w:kern w:val="2"/>
      <w:sz w:val="22"/>
      <w:szCs w:val="22"/>
      <w:lang w:val="uk-UA" w:eastAsia="zh-CN" w:bidi="ar-SA"/>
    </w:rPr>
  </w:style>
  <w:style w:type="paragraph" w:styleId="C1" w:customStyle="1">
    <w:name w:val="c1"/>
    <w:basedOn w:val="Normal"/>
    <w:qFormat/>
    <w:rsid w:val="000d4ab6"/>
    <w:pPr>
      <w:spacing w:before="280" w:after="280"/>
      <w:textAlignment w:val="baseline"/>
    </w:pPr>
    <w:rPr>
      <w:rFonts w:eastAsia="Times New Roman" w:cs="Times New Roman"/>
      <w:kern w:val="0"/>
      <w:lang w:bidi="ar-SA"/>
    </w:rPr>
  </w:style>
  <w:style w:type="paragraph" w:styleId="Style41" w:customStyle="1">
    <w:name w:val="Знак Знак Знак Знак Знак Знак Знак Знак Знак Знак Знак Знак"/>
    <w:basedOn w:val="Normal"/>
    <w:qFormat/>
    <w:rsid w:val="000d4ab6"/>
    <w:pPr>
      <w:textAlignment w:val="baseline"/>
    </w:pPr>
    <w:rPr>
      <w:rFonts w:ascii="Verdana" w:hAnsi="Verdana" w:eastAsia="Times New Roman" w:cs="Verdana"/>
      <w:sz w:val="20"/>
      <w:szCs w:val="20"/>
      <w:lang w:val="en-US" w:bidi="ar-SA"/>
    </w:rPr>
  </w:style>
  <w:style w:type="paragraph" w:styleId="118" w:customStyle="1">
    <w:name w:val="Звичайний (веб)1"/>
    <w:basedOn w:val="Normal"/>
    <w:qFormat/>
    <w:rsid w:val="000d4ab6"/>
    <w:pPr>
      <w:suppressAutoHyphens w:val="true"/>
      <w:spacing w:before="280" w:after="280"/>
      <w:textAlignment w:val="baseline"/>
    </w:pPr>
    <w:rPr>
      <w:rFonts w:eastAsia="Times New Roman" w:cs="Times New Roman"/>
      <w:lang w:bidi="ar-SA"/>
    </w:rPr>
  </w:style>
  <w:style w:type="paragraph" w:styleId="2007" w:customStyle="1">
    <w:name w:val="2007"/>
    <w:basedOn w:val="Normal"/>
    <w:qFormat/>
    <w:rsid w:val="000d4ab6"/>
    <w:pPr>
      <w:spacing w:before="280" w:after="280"/>
      <w:textAlignment w:val="baseline"/>
    </w:pPr>
    <w:rPr>
      <w:rFonts w:eastAsia="Times New Roman" w:cs="Times New Roman"/>
      <w:lang w:val="ru-RU" w:bidi="ar-SA"/>
    </w:rPr>
  </w:style>
  <w:style w:type="paragraph" w:styleId="A" w:customStyle="1">
    <w:name w:val="a"/>
    <w:basedOn w:val="Normal"/>
    <w:qFormat/>
    <w:rsid w:val="000d4ab6"/>
    <w:pPr>
      <w:suppressAutoHyphens w:val="true"/>
      <w:spacing w:before="280" w:after="280"/>
      <w:textAlignment w:val="baseline"/>
    </w:pPr>
    <w:rPr>
      <w:rFonts w:eastAsia="Times New Roman" w:cs="Times New Roman"/>
      <w:lang w:bidi="ar-SA"/>
    </w:rPr>
  </w:style>
  <w:style w:type="paragraph" w:styleId="332" w:customStyle="1">
    <w:name w:val="Основной текст с отступом 33"/>
    <w:basedOn w:val="Normal"/>
    <w:qFormat/>
    <w:rsid w:val="000d4ab6"/>
    <w:pPr>
      <w:suppressAutoHyphens w:val="true"/>
      <w:spacing w:before="0" w:after="120"/>
      <w:ind w:left="283" w:hanging="0"/>
      <w:textAlignment w:val="baseline"/>
    </w:pPr>
    <w:rPr>
      <w:rFonts w:cs="Arial"/>
      <w:sz w:val="16"/>
      <w:szCs w:val="16"/>
    </w:rPr>
  </w:style>
  <w:style w:type="paragraph" w:styleId="Style42" w:customStyle="1">
    <w:name w:val="Содержимое врезки"/>
    <w:basedOn w:val="Normal"/>
    <w:qFormat/>
    <w:rsid w:val="000d4ab6"/>
    <w:pPr>
      <w:suppressAutoHyphens w:val="true"/>
      <w:textAlignment w:val="baseline"/>
    </w:pPr>
    <w:rPr>
      <w:rFonts w:cs="Arial"/>
    </w:rPr>
  </w:style>
  <w:style w:type="paragraph" w:styleId="Style43" w:customStyle="1">
    <w:name w:val="Содержимое таблицы"/>
    <w:basedOn w:val="Normal"/>
    <w:qFormat/>
    <w:rsid w:val="000d4ab6"/>
    <w:pPr>
      <w:suppressLineNumbers/>
      <w:suppressAutoHyphens w:val="true"/>
      <w:textAlignment w:val="baseline"/>
    </w:pPr>
    <w:rPr>
      <w:rFonts w:eastAsia="Times New Roman" w:cs="Times New Roman"/>
      <w:sz w:val="20"/>
      <w:szCs w:val="20"/>
      <w:lang w:val="en-US"/>
    </w:rPr>
  </w:style>
  <w:style w:type="paragraph" w:styleId="Style44" w:customStyle="1">
    <w:name w:val="Заголовок таблицы"/>
    <w:basedOn w:val="Style43"/>
    <w:qFormat/>
    <w:rsid w:val="000d4ab6"/>
    <w:pPr>
      <w:jc w:val="center"/>
    </w:pPr>
    <w:rPr>
      <w:b/>
      <w:bCs/>
    </w:rPr>
  </w:style>
  <w:style w:type="paragraph" w:styleId="Style45" w:customStyle="1">
    <w:name w:val="Style4"/>
    <w:basedOn w:val="Normal"/>
    <w:qFormat/>
    <w:rsid w:val="000d4ab6"/>
    <w:pPr>
      <w:widowControl w:val="false"/>
      <w:spacing w:lineRule="exact" w:line="259"/>
      <w:ind w:firstLine="653"/>
      <w:jc w:val="both"/>
      <w:textAlignment w:val="baseline"/>
    </w:pPr>
    <w:rPr>
      <w:rFonts w:eastAsia="Times New Roman" w:cs="Times New Roman"/>
      <w:lang w:val="ru-RU" w:bidi="ar-SA"/>
    </w:rPr>
  </w:style>
  <w:style w:type="paragraph" w:styleId="ListParagraph" w:customStyle="1">
    <w:name w:val="List Paragraph"/>
    <w:basedOn w:val="Normal"/>
    <w:qFormat/>
    <w:rsid w:val="000d4ab6"/>
    <w:pPr>
      <w:suppressAutoHyphens w:val="true"/>
      <w:spacing w:before="0" w:after="0"/>
      <w:ind w:left="720" w:hanging="0"/>
      <w:contextualSpacing/>
    </w:pPr>
    <w:rPr>
      <w:rFonts w:ascii="Times New Roman" w:hAnsi="Times New Roman" w:eastAsia="SimSun" w:cs="Mangal"/>
      <w:sz w:val="28"/>
    </w:rPr>
  </w:style>
  <w:style w:type="paragraph" w:styleId="HTML1" w:customStyle="1">
    <w:name w:val="Адреса HTML1"/>
    <w:basedOn w:val="Normal"/>
    <w:qFormat/>
    <w:rsid w:val="000d4ab6"/>
    <w:pPr>
      <w:suppressAutoHyphens w:val="true"/>
      <w:textAlignment w:val="baseline"/>
    </w:pPr>
    <w:rPr>
      <w:rFonts w:eastAsia="Times New Roman" w:cs="Times New Roman"/>
      <w:i/>
      <w:iCs/>
      <w:lang w:bidi="ar-SA"/>
    </w:rPr>
  </w:style>
  <w:style w:type="paragraph" w:styleId="322" w:customStyle="1">
    <w:name w:val="Основной текст с отступом 32"/>
    <w:basedOn w:val="Normal"/>
    <w:qFormat/>
    <w:rsid w:val="000d4ab6"/>
    <w:pPr>
      <w:suppressAutoHyphens w:val="true"/>
      <w:spacing w:before="0" w:after="120"/>
      <w:ind w:left="283" w:hanging="0"/>
      <w:textAlignment w:val="baseline"/>
    </w:pPr>
    <w:rPr>
      <w:rFonts w:cs="Arial"/>
      <w:sz w:val="16"/>
      <w:szCs w:val="16"/>
    </w:rPr>
  </w:style>
  <w:style w:type="paragraph" w:styleId="Western" w:customStyle="1">
    <w:name w:val="western"/>
    <w:basedOn w:val="Normal"/>
    <w:qFormat/>
    <w:rsid w:val="000d4ab6"/>
    <w:pPr>
      <w:spacing w:lineRule="auto" w:line="288" w:before="280" w:after="142"/>
      <w:textAlignment w:val="baseline"/>
    </w:pPr>
    <w:rPr>
      <w:rFonts w:eastAsia="Times New Roman" w:cs="Times New Roman"/>
      <w:lang w:bidi="ar-SA"/>
    </w:rPr>
  </w:style>
  <w:style w:type="paragraph" w:styleId="Style101" w:customStyle="1">
    <w:name w:val="Style10"/>
    <w:basedOn w:val="Normal"/>
    <w:qFormat/>
    <w:rsid w:val="000d4ab6"/>
    <w:pPr>
      <w:widowControl w:val="false"/>
      <w:suppressAutoHyphens w:val="true"/>
      <w:spacing w:lineRule="exact" w:line="322"/>
      <w:ind w:firstLine="792"/>
      <w:jc w:val="both"/>
      <w:textAlignment w:val="baseline"/>
    </w:pPr>
    <w:rPr>
      <w:rFonts w:eastAsia="Times New Roman" w:cs="Times New Roman"/>
      <w:lang w:bidi="ar-SA"/>
    </w:rPr>
  </w:style>
  <w:style w:type="paragraph" w:styleId="216" w:customStyle="1">
    <w:name w:val="Основной текст 21"/>
    <w:basedOn w:val="Normal"/>
    <w:qFormat/>
    <w:rsid w:val="000d4ab6"/>
    <w:pPr>
      <w:suppressAutoHyphens w:val="true"/>
      <w:spacing w:lineRule="auto" w:line="480" w:before="0" w:after="120"/>
      <w:textAlignment w:val="baseline"/>
    </w:pPr>
    <w:rPr>
      <w:rFonts w:eastAsia="Times New Roman" w:cs="Times New Roman"/>
      <w:lang w:bidi="ar-SA"/>
    </w:rPr>
  </w:style>
  <w:style w:type="paragraph" w:styleId="WW2" w:customStyle="1">
    <w:name w:val="WW-Основной текст с отступом 2"/>
    <w:basedOn w:val="Normal"/>
    <w:qFormat/>
    <w:rsid w:val="000d4ab6"/>
    <w:pPr>
      <w:suppressAutoHyphens w:val="true"/>
      <w:ind w:left="993" w:hanging="142"/>
      <w:textAlignment w:val="baseline"/>
    </w:pPr>
    <w:rPr>
      <w:rFonts w:eastAsia="Times New Roman" w:cs="Times New Roman"/>
      <w:sz w:val="20"/>
      <w:lang w:bidi="ar-SA"/>
    </w:rPr>
  </w:style>
  <w:style w:type="paragraph" w:styleId="BalloonText">
    <w:name w:val="Balloon Text"/>
    <w:basedOn w:val="Normal"/>
    <w:link w:val="affc"/>
    <w:qFormat/>
    <w:rsid w:val="000d4ab6"/>
    <w:pPr>
      <w:suppressAutoHyphens w:val="true"/>
      <w:textAlignment w:val="baseline"/>
    </w:pPr>
    <w:rPr>
      <w:rFonts w:ascii="Tahoma" w:hAnsi="Tahoma" w:eastAsia="Tahoma" w:cs="Tahoma"/>
      <w:sz w:val="16"/>
      <w:szCs w:val="16"/>
    </w:rPr>
  </w:style>
  <w:style w:type="paragraph" w:styleId="Annotationtext">
    <w:name w:val="annotation text"/>
    <w:basedOn w:val="Normal"/>
    <w:link w:val="affe"/>
    <w:uiPriority w:val="99"/>
    <w:semiHidden/>
    <w:unhideWhenUsed/>
    <w:qFormat/>
    <w:rsid w:val="000d4ab6"/>
    <w:pPr/>
    <w:rPr>
      <w:rFonts w:cs="Mangal"/>
      <w:sz w:val="20"/>
      <w:szCs w:val="18"/>
    </w:rPr>
  </w:style>
  <w:style w:type="paragraph" w:styleId="Annotationsubject">
    <w:name w:val="annotation subject"/>
    <w:basedOn w:val="117"/>
    <w:next w:val="117"/>
    <w:link w:val="afff0"/>
    <w:qFormat/>
    <w:rsid w:val="000d4ab6"/>
    <w:pPr/>
    <w:rPr>
      <w:b/>
      <w:bCs/>
    </w:rPr>
  </w:style>
  <w:style w:type="paragraph" w:styleId="Style71" w:customStyle="1">
    <w:name w:val="Style7"/>
    <w:basedOn w:val="Normal"/>
    <w:qFormat/>
    <w:rsid w:val="000d4ab6"/>
    <w:pPr>
      <w:widowControl w:val="false"/>
      <w:suppressAutoHyphens w:val="true"/>
      <w:spacing w:lineRule="exact" w:line="274"/>
      <w:textAlignment w:val="baseline"/>
    </w:pPr>
    <w:rPr>
      <w:rFonts w:cs="Arial"/>
    </w:rPr>
  </w:style>
  <w:style w:type="paragraph" w:styleId="Xfmc1" w:customStyle="1">
    <w:name w:val="xfmc1"/>
    <w:basedOn w:val="Normal"/>
    <w:qFormat/>
    <w:rsid w:val="000d4ab6"/>
    <w:pPr>
      <w:spacing w:before="280" w:after="280"/>
      <w:textAlignment w:val="baseline"/>
    </w:pPr>
    <w:rPr>
      <w:rFonts w:cs="Arial"/>
    </w:rPr>
  </w:style>
  <w:style w:type="paragraph" w:styleId="WW" w:customStyle="1">
    <w:name w:val="WW-Базовый"/>
    <w:qFormat/>
    <w:rsid w:val="000d4ab6"/>
    <w:pPr>
      <w:widowControl w:val="false"/>
      <w:tabs>
        <w:tab w:val="clear" w:pos="709"/>
        <w:tab w:val="left" w:pos="706" w:leader="none"/>
      </w:tabs>
      <w:suppressAutoHyphens w:val="true"/>
      <w:bidi w:val="0"/>
      <w:jc w:val="left"/>
      <w:textAlignment w:val="baseline"/>
    </w:pPr>
    <w:rPr>
      <w:rFonts w:ascii="Times New Roman" w:hAnsi="Times New Roman" w:eastAsia="Times New Roman" w:cs="Tahoma"/>
      <w:color w:val="00000A"/>
      <w:kern w:val="2"/>
      <w:sz w:val="24"/>
      <w:szCs w:val="24"/>
      <w:lang w:val="ru-RU" w:eastAsia="zh-CN" w:bidi="ar-SA"/>
    </w:rPr>
  </w:style>
  <w:style w:type="paragraph" w:styleId="119" w:customStyle="1">
    <w:name w:val="Звичайний1"/>
    <w:qFormat/>
    <w:rsid w:val="000d4ab6"/>
    <w:pPr>
      <w:widowControl/>
      <w:suppressAutoHyphens w:val="true"/>
      <w:bidi w:val="0"/>
      <w:spacing w:lineRule="atLeast" w:line="200"/>
      <w:jc w:val="left"/>
      <w:textAlignment w:val="baseline"/>
    </w:pPr>
    <w:rPr>
      <w:rFonts w:ascii="Tahoma" w:hAnsi="Tahoma" w:eastAsia="Tahoma" w:cs="Liberation Sans"/>
      <w:color w:val="000000"/>
      <w:kern w:val="2"/>
      <w:sz w:val="36"/>
      <w:szCs w:val="24"/>
      <w:lang w:val="uk-UA" w:eastAsia="zh-CN" w:bidi="hi-IN"/>
    </w:rPr>
  </w:style>
  <w:style w:type="paragraph" w:styleId="313" w:customStyle="1">
    <w:name w:val="Основной текст с отступом 31"/>
    <w:basedOn w:val="Normal"/>
    <w:qFormat/>
    <w:rsid w:val="000d4ab6"/>
    <w:pPr>
      <w:spacing w:before="0" w:after="120"/>
      <w:ind w:left="283" w:hanging="0"/>
      <w:textAlignment w:val="baseline"/>
    </w:pPr>
    <w:rPr>
      <w:rFonts w:cs="Arial"/>
      <w:sz w:val="16"/>
      <w:szCs w:val="16"/>
    </w:rPr>
  </w:style>
  <w:style w:type="paragraph" w:styleId="Style61" w:customStyle="1">
    <w:name w:val="Style6"/>
    <w:basedOn w:val="Normal"/>
    <w:qFormat/>
    <w:rsid w:val="000d4ab6"/>
    <w:pPr>
      <w:widowControl w:val="false"/>
      <w:suppressAutoHyphens w:val="true"/>
      <w:spacing w:lineRule="exact" w:line="323"/>
      <w:ind w:firstLine="926"/>
      <w:jc w:val="both"/>
      <w:textAlignment w:val="baseline"/>
    </w:pPr>
    <w:rPr>
      <w:rFonts w:cs="Arial"/>
    </w:rPr>
  </w:style>
  <w:style w:type="paragraph" w:styleId="120" w:customStyle="1">
    <w:name w:val="Подзаголовок1"/>
    <w:basedOn w:val="Normal"/>
    <w:next w:val="Style26"/>
    <w:qFormat/>
    <w:rsid w:val="000d4ab6"/>
    <w:pPr>
      <w:suppressAutoHyphens w:val="true"/>
      <w:ind w:right="-427" w:hanging="0"/>
      <w:jc w:val="center"/>
      <w:textAlignment w:val="baseline"/>
    </w:pPr>
    <w:rPr>
      <w:rFonts w:cs="Arial"/>
      <w:b/>
      <w:bCs/>
      <w:szCs w:val="28"/>
    </w:rPr>
  </w:style>
  <w:style w:type="paragraph" w:styleId="Style46">
    <w:name w:val="Body Text Indent"/>
    <w:basedOn w:val="Normal"/>
    <w:link w:val="afff2"/>
    <w:rsid w:val="000d4ab6"/>
    <w:pPr>
      <w:suppressAutoHyphens w:val="true"/>
      <w:ind w:firstLine="720"/>
      <w:jc w:val="both"/>
      <w:textAlignment w:val="baseline"/>
    </w:pPr>
    <w:rPr>
      <w:rFonts w:cs="Arial"/>
      <w:szCs w:val="20"/>
    </w:rPr>
  </w:style>
  <w:style w:type="paragraph" w:styleId="217" w:customStyle="1">
    <w:name w:val="Основной текст с отступом 21"/>
    <w:basedOn w:val="Normal"/>
    <w:qFormat/>
    <w:rsid w:val="000d4ab6"/>
    <w:pPr>
      <w:suppressAutoHyphens w:val="true"/>
      <w:ind w:firstLine="720"/>
      <w:jc w:val="both"/>
      <w:textAlignment w:val="baseline"/>
    </w:pPr>
    <w:rPr>
      <w:rFonts w:cs="Arial"/>
      <w:szCs w:val="20"/>
    </w:rPr>
  </w:style>
  <w:style w:type="paragraph" w:styleId="223" w:customStyle="1">
    <w:name w:val="Основной текст 22"/>
    <w:basedOn w:val="Normal"/>
    <w:qFormat/>
    <w:rsid w:val="000d4ab6"/>
    <w:pPr>
      <w:suppressAutoHyphens w:val="true"/>
      <w:spacing w:lineRule="auto" w:line="480" w:before="0" w:after="120"/>
      <w:textAlignment w:val="baseline"/>
    </w:pPr>
    <w:rPr>
      <w:rFonts w:cs="Arial"/>
    </w:rPr>
  </w:style>
  <w:style w:type="paragraph" w:styleId="218" w:customStyle="1">
    <w:name w:val="Основной текст2"/>
    <w:basedOn w:val="Normal"/>
    <w:qFormat/>
    <w:rsid w:val="000d4ab6"/>
    <w:pPr>
      <w:shd w:val="clear" w:color="auto" w:fill="FFFFFF"/>
      <w:suppressAutoHyphens w:val="true"/>
      <w:spacing w:lineRule="exact" w:line="298" w:before="360" w:after="0"/>
      <w:ind w:hanging="380"/>
      <w:jc w:val="both"/>
      <w:textAlignment w:val="baseline"/>
    </w:pPr>
    <w:rPr>
      <w:rFonts w:cs="Arial"/>
      <w:sz w:val="26"/>
      <w:szCs w:val="26"/>
    </w:rPr>
  </w:style>
  <w:style w:type="paragraph" w:styleId="122" w:customStyle="1">
    <w:name w:val="Название объекта1"/>
    <w:basedOn w:val="Normal"/>
    <w:qFormat/>
    <w:rsid w:val="000d4ab6"/>
    <w:pPr>
      <w:suppressLineNumbers/>
      <w:suppressAutoHyphens w:val="true"/>
      <w:spacing w:before="120" w:after="120"/>
      <w:textAlignment w:val="baseline"/>
    </w:pPr>
    <w:rPr>
      <w:rFonts w:cs="FreeSans"/>
      <w:i/>
      <w:iCs/>
    </w:rPr>
  </w:style>
  <w:style w:type="paragraph" w:styleId="219" w:customStyle="1">
    <w:name w:val="Название объекта2"/>
    <w:basedOn w:val="Normal"/>
    <w:qFormat/>
    <w:rsid w:val="000d4ab6"/>
    <w:pPr>
      <w:suppressLineNumbers/>
      <w:suppressAutoHyphens w:val="true"/>
      <w:spacing w:before="120" w:after="120"/>
      <w:textAlignment w:val="baseline"/>
    </w:pPr>
    <w:rPr>
      <w:rFonts w:cs="FreeSans"/>
      <w:i/>
      <w:iCs/>
    </w:rPr>
  </w:style>
  <w:style w:type="paragraph" w:styleId="38" w:customStyle="1">
    <w:name w:val="Название объекта3"/>
    <w:basedOn w:val="Normal"/>
    <w:qFormat/>
    <w:rsid w:val="000d4ab6"/>
    <w:pPr>
      <w:suppressLineNumbers/>
      <w:suppressAutoHyphens w:val="true"/>
      <w:spacing w:before="120" w:after="120"/>
      <w:textAlignment w:val="baseline"/>
    </w:pPr>
    <w:rPr>
      <w:rFonts w:cs="FreeSans"/>
      <w:i/>
      <w:iCs/>
    </w:rPr>
  </w:style>
  <w:style w:type="paragraph" w:styleId="42" w:customStyle="1">
    <w:name w:val="Название объекта4"/>
    <w:basedOn w:val="Normal"/>
    <w:qFormat/>
    <w:rsid w:val="000d4ab6"/>
    <w:pPr>
      <w:suppressLineNumbers/>
      <w:suppressAutoHyphens w:val="true"/>
      <w:spacing w:before="120" w:after="120"/>
      <w:textAlignment w:val="baseline"/>
    </w:pPr>
    <w:rPr>
      <w:rFonts w:cs="FreeSans"/>
      <w:i/>
      <w:iCs/>
    </w:rPr>
  </w:style>
  <w:style w:type="paragraph" w:styleId="52" w:customStyle="1">
    <w:name w:val="Название объекта5"/>
    <w:basedOn w:val="Normal"/>
    <w:qFormat/>
    <w:rsid w:val="000d4ab6"/>
    <w:pPr>
      <w:suppressLineNumbers/>
      <w:suppressAutoHyphens w:val="true"/>
      <w:spacing w:before="120" w:after="120"/>
      <w:textAlignment w:val="baseline"/>
    </w:pPr>
    <w:rPr>
      <w:rFonts w:cs="FreeSans"/>
      <w:i/>
      <w:iCs/>
    </w:rPr>
  </w:style>
  <w:style w:type="paragraph" w:styleId="65" w:customStyle="1">
    <w:name w:val="Название объекта6"/>
    <w:basedOn w:val="Normal"/>
    <w:qFormat/>
    <w:rsid w:val="000d4ab6"/>
    <w:pPr>
      <w:suppressLineNumbers/>
      <w:suppressAutoHyphens w:val="true"/>
      <w:spacing w:before="120" w:after="120"/>
      <w:textAlignment w:val="baseline"/>
    </w:pPr>
    <w:rPr>
      <w:rFonts w:cs="FreeSans"/>
      <w:i/>
      <w:iCs/>
    </w:rPr>
  </w:style>
  <w:style w:type="paragraph" w:styleId="74" w:customStyle="1">
    <w:name w:val="Название объекта7"/>
    <w:basedOn w:val="Normal"/>
    <w:qFormat/>
    <w:rsid w:val="000d4ab6"/>
    <w:pPr>
      <w:suppressLineNumbers/>
      <w:suppressAutoHyphens w:val="true"/>
      <w:spacing w:before="120" w:after="120"/>
      <w:textAlignment w:val="baseline"/>
    </w:pPr>
    <w:rPr>
      <w:rFonts w:cs="FreeSans"/>
      <w:i/>
      <w:iCs/>
    </w:rPr>
  </w:style>
  <w:style w:type="paragraph" w:styleId="123" w:customStyle="1">
    <w:name w:val="Указатель1"/>
    <w:basedOn w:val="Normal"/>
    <w:qFormat/>
    <w:rsid w:val="000d4ab6"/>
    <w:pPr>
      <w:suppressLineNumbers/>
      <w:suppressAutoHyphens w:val="true"/>
      <w:textAlignment w:val="baseline"/>
    </w:pPr>
    <w:rPr>
      <w:rFonts w:cs="Mangal"/>
    </w:rPr>
  </w:style>
  <w:style w:type="paragraph" w:styleId="83" w:customStyle="1">
    <w:name w:val="Название объекта8"/>
    <w:basedOn w:val="Normal"/>
    <w:qFormat/>
    <w:rsid w:val="000d4ab6"/>
    <w:pPr>
      <w:suppressLineNumbers/>
      <w:suppressAutoHyphens w:val="true"/>
      <w:spacing w:before="120" w:after="120"/>
      <w:textAlignment w:val="baseline"/>
    </w:pPr>
    <w:rPr>
      <w:rFonts w:cs="Mangal"/>
      <w:i/>
      <w:iCs/>
    </w:rPr>
  </w:style>
  <w:style w:type="paragraph" w:styleId="220" w:customStyle="1">
    <w:name w:val="Указатель2"/>
    <w:basedOn w:val="Normal"/>
    <w:qFormat/>
    <w:rsid w:val="000d4ab6"/>
    <w:pPr>
      <w:suppressLineNumbers/>
      <w:suppressAutoHyphens w:val="true"/>
      <w:textAlignment w:val="baseline"/>
    </w:pPr>
    <w:rPr>
      <w:rFonts w:cs="Mangal"/>
    </w:rPr>
  </w:style>
  <w:style w:type="paragraph" w:styleId="93" w:customStyle="1">
    <w:name w:val="Название объекта9"/>
    <w:basedOn w:val="Normal"/>
    <w:qFormat/>
    <w:rsid w:val="000d4ab6"/>
    <w:pPr>
      <w:suppressLineNumbers/>
      <w:suppressAutoHyphens w:val="true"/>
      <w:spacing w:before="120" w:after="120"/>
      <w:textAlignment w:val="baseline"/>
    </w:pPr>
    <w:rPr>
      <w:rFonts w:cs="Mangal"/>
      <w:i/>
      <w:iCs/>
    </w:rPr>
  </w:style>
  <w:style w:type="paragraph" w:styleId="101" w:customStyle="1">
    <w:name w:val="Название объекта10"/>
    <w:basedOn w:val="Normal"/>
    <w:qFormat/>
    <w:rsid w:val="000d4ab6"/>
    <w:pPr>
      <w:suppressLineNumbers/>
      <w:suppressAutoHyphens w:val="true"/>
      <w:spacing w:before="120" w:after="120"/>
      <w:textAlignment w:val="baseline"/>
    </w:pPr>
    <w:rPr>
      <w:rFonts w:cs="FreeSans"/>
      <w:i/>
      <w:iCs/>
    </w:rPr>
  </w:style>
  <w:style w:type="paragraph" w:styleId="39" w:customStyle="1">
    <w:name w:val="Указатель3"/>
    <w:basedOn w:val="Normal"/>
    <w:qFormat/>
    <w:rsid w:val="000d4ab6"/>
    <w:pPr>
      <w:suppressLineNumbers/>
      <w:suppressAutoHyphens w:val="true"/>
      <w:textAlignment w:val="baseline"/>
    </w:pPr>
    <w:rPr>
      <w:rFonts w:cs="Mangal"/>
    </w:rPr>
  </w:style>
  <w:style w:type="paragraph" w:styleId="1110" w:customStyle="1">
    <w:name w:val="Название объекта11"/>
    <w:basedOn w:val="Normal"/>
    <w:qFormat/>
    <w:rsid w:val="000d4ab6"/>
    <w:pPr>
      <w:suppressLineNumbers/>
      <w:suppressAutoHyphens w:val="true"/>
      <w:spacing w:before="120" w:after="120"/>
      <w:textAlignment w:val="baseline"/>
    </w:pPr>
    <w:rPr>
      <w:rFonts w:cs="Mangal"/>
      <w:i/>
      <w:iCs/>
    </w:rPr>
  </w:style>
  <w:style w:type="paragraph" w:styleId="124" w:customStyle="1">
    <w:name w:val="Название объекта12"/>
    <w:basedOn w:val="Normal"/>
    <w:qFormat/>
    <w:rsid w:val="000d4ab6"/>
    <w:pPr>
      <w:suppressLineNumbers/>
      <w:suppressAutoHyphens w:val="true"/>
      <w:spacing w:before="120" w:after="120"/>
      <w:textAlignment w:val="baseline"/>
    </w:pPr>
    <w:rPr>
      <w:rFonts w:cs="Lohit Devanagari"/>
      <w:i/>
      <w:iCs/>
    </w:rPr>
  </w:style>
  <w:style w:type="paragraph" w:styleId="132" w:customStyle="1">
    <w:name w:val="Название объекта13"/>
    <w:basedOn w:val="Normal"/>
    <w:qFormat/>
    <w:rsid w:val="000d4ab6"/>
    <w:pPr>
      <w:suppressLineNumbers/>
      <w:suppressAutoHyphens w:val="true"/>
      <w:spacing w:before="120" w:after="120"/>
      <w:textAlignment w:val="baseline"/>
    </w:pPr>
    <w:rPr>
      <w:rFonts w:cs="Arial"/>
      <w:i/>
      <w:iCs/>
    </w:rPr>
  </w:style>
  <w:style w:type="paragraph" w:styleId="125" w:customStyle="1">
    <w:name w:val="Заголовок1"/>
    <w:basedOn w:val="Normal"/>
    <w:next w:val="Style26"/>
    <w:qFormat/>
    <w:rsid w:val="000d4ab6"/>
    <w:pPr>
      <w:keepNext w:val="true"/>
      <w:suppressAutoHyphens w:val="true"/>
      <w:spacing w:before="240" w:after="120"/>
      <w:textAlignment w:val="baseline"/>
    </w:pPr>
    <w:rPr>
      <w:rFonts w:ascii="Liberation Sans" w:hAnsi="Liberation Sans" w:eastAsia="Noto Sans CJK SC Regular" w:cs="FreeSans"/>
      <w:sz w:val="28"/>
      <w:szCs w:val="28"/>
    </w:rPr>
  </w:style>
  <w:style w:type="paragraph" w:styleId="142" w:customStyle="1">
    <w:name w:val="Название объекта14"/>
    <w:basedOn w:val="Normal"/>
    <w:qFormat/>
    <w:rsid w:val="000d4ab6"/>
    <w:pPr>
      <w:suppressLineNumbers/>
      <w:suppressAutoHyphens w:val="true"/>
      <w:spacing w:before="120" w:after="120"/>
      <w:textAlignment w:val="baseline"/>
    </w:pPr>
    <w:rPr>
      <w:rFonts w:cs="Arial"/>
      <w:i/>
      <w:iCs/>
    </w:rPr>
  </w:style>
  <w:style w:type="paragraph" w:styleId="152" w:customStyle="1">
    <w:name w:val="Название объекта15"/>
    <w:basedOn w:val="Normal"/>
    <w:qFormat/>
    <w:rsid w:val="000d4ab6"/>
    <w:pPr>
      <w:suppressLineNumbers/>
      <w:suppressAutoHyphens w:val="true"/>
      <w:spacing w:before="120" w:after="120"/>
      <w:textAlignment w:val="baseline"/>
    </w:pPr>
    <w:rPr>
      <w:rFonts w:cs="Arial"/>
      <w:i/>
      <w:iCs/>
    </w:rPr>
  </w:style>
  <w:style w:type="paragraph" w:styleId="224" w:customStyle="1">
    <w:name w:val="Заголовок2"/>
    <w:basedOn w:val="Normal"/>
    <w:next w:val="Style26"/>
    <w:qFormat/>
    <w:rsid w:val="000d4ab6"/>
    <w:pPr>
      <w:keepNext w:val="true"/>
      <w:suppressAutoHyphens w:val="true"/>
      <w:spacing w:before="240" w:after="120"/>
      <w:textAlignment w:val="baseline"/>
    </w:pPr>
    <w:rPr>
      <w:rFonts w:ascii="Liberation Sans" w:hAnsi="Liberation Sans" w:eastAsia="Microsoft YaHei" w:cs="Liberation Sans"/>
      <w:sz w:val="28"/>
      <w:szCs w:val="28"/>
    </w:rPr>
  </w:style>
  <w:style w:type="paragraph" w:styleId="126" w:customStyle="1">
    <w:name w:val="Назва об'єкта1"/>
    <w:basedOn w:val="Normal"/>
    <w:qFormat/>
    <w:rsid w:val="000d4ab6"/>
    <w:pPr>
      <w:suppressLineNumbers/>
      <w:suppressAutoHyphens w:val="true"/>
      <w:spacing w:before="120" w:after="120"/>
      <w:textAlignment w:val="baseline"/>
    </w:pPr>
    <w:rPr>
      <w:rFonts w:cs="Arial"/>
      <w:i/>
      <w:iCs/>
    </w:rPr>
  </w:style>
  <w:style w:type="paragraph" w:styleId="191" w:customStyle="1">
    <w:name w:val="Название объекта19"/>
    <w:basedOn w:val="Normal"/>
    <w:qFormat/>
    <w:rsid w:val="000d4ab6"/>
    <w:pPr>
      <w:suppressLineNumbers/>
      <w:suppressAutoHyphens w:val="true"/>
      <w:spacing w:before="120" w:after="120"/>
      <w:textAlignment w:val="baseline"/>
    </w:pPr>
    <w:rPr>
      <w:rFonts w:cs="Arial"/>
      <w:i/>
      <w:iCs/>
    </w:rPr>
  </w:style>
  <w:style w:type="paragraph" w:styleId="310" w:customStyle="1">
    <w:name w:val="Заголовок3"/>
    <w:basedOn w:val="Normal"/>
    <w:next w:val="Style26"/>
    <w:qFormat/>
    <w:rsid w:val="000d4ab6"/>
    <w:pPr>
      <w:keepNext w:val="true"/>
      <w:suppressAutoHyphens w:val="true"/>
      <w:spacing w:before="240" w:after="120"/>
      <w:textAlignment w:val="baseline"/>
    </w:pPr>
    <w:rPr>
      <w:rFonts w:ascii="Liberation Sans" w:hAnsi="Liberation Sans" w:eastAsia="Microsoft YaHei" w:cs="Liberation Sans"/>
      <w:sz w:val="28"/>
      <w:szCs w:val="28"/>
    </w:rPr>
  </w:style>
  <w:style w:type="paragraph" w:styleId="Style47" w:customStyle="1">
    <w:name w:val="Назва об'єкта"/>
    <w:basedOn w:val="Normal"/>
    <w:qFormat/>
    <w:rsid w:val="000d4ab6"/>
    <w:pPr>
      <w:suppressLineNumbers/>
      <w:suppressAutoHyphens w:val="true"/>
      <w:spacing w:before="120" w:after="120"/>
      <w:textAlignment w:val="baseline"/>
    </w:pPr>
    <w:rPr>
      <w:rFonts w:cs="Arial"/>
      <w:i/>
      <w:iCs/>
    </w:rPr>
  </w:style>
  <w:style w:type="paragraph" w:styleId="201" w:customStyle="1">
    <w:name w:val="Название объекта20"/>
    <w:basedOn w:val="Normal"/>
    <w:qFormat/>
    <w:rsid w:val="000d4ab6"/>
    <w:pPr>
      <w:suppressLineNumbers/>
      <w:suppressAutoHyphens w:val="true"/>
      <w:spacing w:before="120" w:after="120"/>
      <w:textAlignment w:val="baseline"/>
    </w:pPr>
    <w:rPr>
      <w:rFonts w:cs="Arial"/>
      <w:i/>
      <w:iCs/>
    </w:rPr>
  </w:style>
  <w:style w:type="paragraph" w:styleId="2110" w:customStyle="1">
    <w:name w:val="Название объекта21"/>
    <w:basedOn w:val="Normal"/>
    <w:qFormat/>
    <w:rsid w:val="000d4ab6"/>
    <w:pPr>
      <w:suppressLineNumbers/>
      <w:suppressAutoHyphens w:val="true"/>
      <w:spacing w:before="120" w:after="120"/>
      <w:textAlignment w:val="baseline"/>
    </w:pPr>
    <w:rPr>
      <w:rFonts w:cs="Arial"/>
      <w:i/>
      <w:iCs/>
    </w:rPr>
  </w:style>
  <w:style w:type="paragraph" w:styleId="43" w:customStyle="1">
    <w:name w:val="Заголовок4"/>
    <w:basedOn w:val="Normal"/>
    <w:next w:val="Style26"/>
    <w:qFormat/>
    <w:rsid w:val="000d4ab6"/>
    <w:pPr>
      <w:keepNext w:val="true"/>
      <w:suppressAutoHyphens w:val="true"/>
      <w:spacing w:before="240" w:after="120"/>
      <w:textAlignment w:val="baseline"/>
    </w:pPr>
    <w:rPr>
      <w:rFonts w:ascii="Liberation Sans" w:hAnsi="Liberation Sans" w:eastAsia="Microsoft YaHei" w:cs="Liberation Sans"/>
      <w:sz w:val="28"/>
      <w:szCs w:val="28"/>
    </w:rPr>
  </w:style>
  <w:style w:type="paragraph" w:styleId="53" w:customStyle="1">
    <w:name w:val="Заголовок5"/>
    <w:basedOn w:val="Normal"/>
    <w:next w:val="Style26"/>
    <w:qFormat/>
    <w:rsid w:val="000d4ab6"/>
    <w:pPr>
      <w:keepNext w:val="true"/>
      <w:suppressAutoHyphens w:val="true"/>
      <w:spacing w:before="240" w:after="120"/>
      <w:textAlignment w:val="baseline"/>
    </w:pPr>
    <w:rPr>
      <w:rFonts w:ascii="Liberation Sans" w:hAnsi="Liberation Sans" w:eastAsia="Microsoft YaHei" w:cs="Liberation Sans"/>
      <w:sz w:val="28"/>
      <w:szCs w:val="28"/>
    </w:rPr>
  </w:style>
  <w:style w:type="paragraph" w:styleId="225" w:customStyle="1">
    <w:name w:val="Назва об'єкта2"/>
    <w:basedOn w:val="Normal"/>
    <w:qFormat/>
    <w:rsid w:val="000d4ab6"/>
    <w:pPr>
      <w:suppressLineNumbers/>
      <w:suppressAutoHyphens w:val="true"/>
      <w:spacing w:before="120" w:after="120"/>
      <w:textAlignment w:val="baseline"/>
    </w:pPr>
    <w:rPr>
      <w:rFonts w:cs="Arial"/>
      <w:i/>
      <w:iCs/>
    </w:rPr>
  </w:style>
  <w:style w:type="paragraph" w:styleId="DocumentMap" w:customStyle="1">
    <w:name w:val="DocumentMap"/>
    <w:qFormat/>
    <w:rsid w:val="000d4ab6"/>
    <w:pPr>
      <w:widowControl/>
      <w:suppressAutoHyphens w:val="true"/>
      <w:bidi w:val="0"/>
      <w:jc w:val="left"/>
    </w:pPr>
    <w:rPr>
      <w:rFonts w:ascii="Calibri" w:hAnsi="Calibri" w:eastAsia="Times New Roman" w:cs="Calibri"/>
      <w:color w:val="auto"/>
      <w:kern w:val="2"/>
      <w:sz w:val="22"/>
      <w:szCs w:val="22"/>
      <w:lang w:val="uk-UA" w:eastAsia="zh-CN" w:bidi="ar-SA"/>
    </w:rPr>
  </w:style>
  <w:style w:type="paragraph" w:styleId="261" w:customStyle="1">
    <w:name w:val="Название объекта26"/>
    <w:basedOn w:val="Normal"/>
    <w:qFormat/>
    <w:rsid w:val="000d4ab6"/>
    <w:pPr>
      <w:suppressLineNumbers/>
      <w:suppressAutoHyphens w:val="true"/>
      <w:spacing w:before="120" w:after="120"/>
    </w:pPr>
    <w:rPr>
      <w:rFonts w:ascii="Times New Roman" w:hAnsi="Times New Roman" w:eastAsia="SimSun" w:cs="Times New Roman"/>
      <w:i/>
      <w:iCs/>
    </w:rPr>
  </w:style>
  <w:style w:type="paragraph" w:styleId="252" w:customStyle="1">
    <w:name w:val="Название объекта25"/>
    <w:basedOn w:val="Normal"/>
    <w:qFormat/>
    <w:rsid w:val="000d4ab6"/>
    <w:pPr>
      <w:suppressLineNumbers/>
      <w:suppressAutoHyphens w:val="true"/>
      <w:spacing w:before="120" w:after="120"/>
    </w:pPr>
    <w:rPr>
      <w:rFonts w:ascii="Times New Roman" w:hAnsi="Times New Roman" w:eastAsia="SimSun"/>
      <w:i/>
      <w:iCs/>
    </w:rPr>
  </w:style>
  <w:style w:type="paragraph" w:styleId="75" w:customStyle="1">
    <w:name w:val="Заголовок7"/>
    <w:basedOn w:val="Normal"/>
    <w:next w:val="Style26"/>
    <w:qFormat/>
    <w:rsid w:val="000d4ab6"/>
    <w:pPr>
      <w:keepNext w:val="true"/>
      <w:suppressAutoHyphens w:val="true"/>
      <w:spacing w:before="240" w:after="120"/>
    </w:pPr>
    <w:rPr>
      <w:rFonts w:ascii="Liberation Sans" w:hAnsi="Liberation Sans" w:eastAsia="Microsoft YaHei" w:cs="Mangal"/>
      <w:sz w:val="28"/>
      <w:szCs w:val="28"/>
    </w:rPr>
  </w:style>
  <w:style w:type="paragraph" w:styleId="241" w:customStyle="1">
    <w:name w:val="Название объекта24"/>
    <w:basedOn w:val="Normal"/>
    <w:qFormat/>
    <w:rsid w:val="000d4ab6"/>
    <w:pPr>
      <w:suppressLineNumbers/>
      <w:suppressAutoHyphens w:val="true"/>
      <w:spacing w:before="120" w:after="120"/>
    </w:pPr>
    <w:rPr>
      <w:rFonts w:ascii="Times New Roman" w:hAnsi="Times New Roman" w:eastAsia="SimSun" w:cs="Times New Roman"/>
      <w:i/>
      <w:iCs/>
    </w:rPr>
  </w:style>
  <w:style w:type="paragraph" w:styleId="127" w:customStyle="1">
    <w:name w:val="Название1"/>
    <w:basedOn w:val="Normal"/>
    <w:qFormat/>
    <w:rsid w:val="000d4ab6"/>
    <w:pPr>
      <w:suppressLineNumbers/>
      <w:suppressAutoHyphens w:val="true"/>
      <w:spacing w:before="120" w:after="120"/>
    </w:pPr>
    <w:rPr>
      <w:rFonts w:ascii="Times New Roman" w:hAnsi="Times New Roman" w:eastAsia="SimSun" w:cs="Mangal"/>
      <w:i/>
      <w:iCs/>
    </w:rPr>
  </w:style>
  <w:style w:type="paragraph" w:styleId="102" w:customStyle="1">
    <w:name w:val="Указатель10"/>
    <w:basedOn w:val="Normal"/>
    <w:qFormat/>
    <w:rsid w:val="000d4ab6"/>
    <w:pPr>
      <w:suppressLineNumbers/>
      <w:suppressAutoHyphens w:val="true"/>
    </w:pPr>
    <w:rPr>
      <w:rFonts w:ascii="Times New Roman" w:hAnsi="Times New Roman" w:eastAsia="SimSun" w:cs="Mangal"/>
      <w:sz w:val="28"/>
    </w:rPr>
  </w:style>
  <w:style w:type="paragraph" w:styleId="231" w:customStyle="1">
    <w:name w:val="Название объекта23"/>
    <w:basedOn w:val="Normal"/>
    <w:qFormat/>
    <w:rsid w:val="000d4ab6"/>
    <w:pPr>
      <w:suppressLineNumbers/>
      <w:suppressAutoHyphens w:val="true"/>
      <w:spacing w:before="120" w:after="120"/>
    </w:pPr>
    <w:rPr>
      <w:rFonts w:ascii="Times New Roman" w:hAnsi="Times New Roman" w:eastAsia="SimSun" w:cs="Times New Roman"/>
      <w:i/>
      <w:iCs/>
    </w:rPr>
  </w:style>
  <w:style w:type="paragraph" w:styleId="Style48">
    <w:name w:val="Subtitle"/>
    <w:basedOn w:val="Normal"/>
    <w:next w:val="Style26"/>
    <w:link w:val="1f7"/>
    <w:qFormat/>
    <w:rsid w:val="000d4ab6"/>
    <w:pPr>
      <w:suppressAutoHyphens w:val="true"/>
      <w:ind w:right="-427" w:hanging="0"/>
      <w:jc w:val="center"/>
    </w:pPr>
    <w:rPr>
      <w:rFonts w:ascii="Times New Roman" w:hAnsi="Times New Roman" w:eastAsia="SimSun" w:cs="Mangal"/>
      <w:b/>
      <w:bCs/>
      <w:sz w:val="28"/>
      <w:szCs w:val="28"/>
    </w:rPr>
  </w:style>
  <w:style w:type="paragraph" w:styleId="Style49" w:customStyle="1">
    <w:name w:val="Верхний и нижний колонтитулы"/>
    <w:basedOn w:val="Normal"/>
    <w:qFormat/>
    <w:rsid w:val="000d4ab6"/>
    <w:pPr>
      <w:suppressLineNumbers/>
      <w:tabs>
        <w:tab w:val="clear" w:pos="709"/>
        <w:tab w:val="center" w:pos="4819" w:leader="none"/>
        <w:tab w:val="right" w:pos="9638" w:leader="none"/>
      </w:tabs>
      <w:suppressAutoHyphens w:val="true"/>
    </w:pPr>
    <w:rPr>
      <w:rFonts w:ascii="Times New Roman" w:hAnsi="Times New Roman" w:eastAsia="SimSun" w:cs="Mangal"/>
      <w:sz w:val="28"/>
    </w:rPr>
  </w:style>
  <w:style w:type="paragraph" w:styleId="Style50">
    <w:name w:val="Footer"/>
    <w:basedOn w:val="Normal"/>
    <w:link w:val="2f1"/>
    <w:rsid w:val="000d4ab6"/>
    <w:pPr>
      <w:tabs>
        <w:tab w:val="clear" w:pos="709"/>
        <w:tab w:val="center" w:pos="4677" w:leader="none"/>
        <w:tab w:val="right" w:pos="9355" w:leader="none"/>
      </w:tabs>
      <w:suppressAutoHyphens w:val="true"/>
    </w:pPr>
    <w:rPr>
      <w:rFonts w:ascii="Times New Roman" w:hAnsi="Times New Roman" w:eastAsia="SimSun" w:cs="Mangal"/>
      <w:sz w:val="28"/>
      <w:lang w:val="x-none"/>
    </w:rPr>
  </w:style>
  <w:style w:type="paragraph" w:styleId="Style51">
    <w:name w:val="Header"/>
    <w:basedOn w:val="Normal"/>
    <w:link w:val="1f8"/>
    <w:uiPriority w:val="99"/>
    <w:rsid w:val="000d4ab6"/>
    <w:pPr>
      <w:tabs>
        <w:tab w:val="clear" w:pos="709"/>
        <w:tab w:val="center" w:pos="4677" w:leader="none"/>
        <w:tab w:val="right" w:pos="9355" w:leader="none"/>
      </w:tabs>
      <w:suppressAutoHyphens w:val="true"/>
    </w:pPr>
    <w:rPr>
      <w:rFonts w:ascii="Times New Roman" w:hAnsi="Times New Roman" w:eastAsia="SimSun" w:cs="Mangal"/>
      <w:sz w:val="28"/>
    </w:rPr>
  </w:style>
  <w:style w:type="paragraph" w:styleId="Style52" w:customStyle="1">
    <w:name w:val=" Знак Знак Знак Знак Знак Знак Знак Знак Знак Знак Знак Знак"/>
    <w:basedOn w:val="Normal"/>
    <w:qFormat/>
    <w:rsid w:val="000d4ab6"/>
    <w:pPr/>
    <w:rPr>
      <w:rFonts w:ascii="Verdana" w:hAnsi="Verdana" w:eastAsia="Times New Roman" w:cs="Verdana"/>
      <w:sz w:val="20"/>
      <w:szCs w:val="20"/>
      <w:lang w:val="en-US" w:bidi="ar-SA"/>
    </w:rPr>
  </w:style>
  <w:style w:type="numbering" w:styleId="NoList" w:default="1">
    <w:name w:val="No List"/>
    <w:uiPriority w:val="99"/>
    <w:semiHidden/>
    <w:unhideWhenUsed/>
    <w:qFormat/>
  </w:style>
  <w:style w:type="numbering" w:styleId="128" w:customStyle="1">
    <w:name w:val="Нет списка1"/>
    <w:uiPriority w:val="99"/>
    <w:semiHidden/>
    <w:unhideWhenUsed/>
    <w:qFormat/>
    <w:rsid w:val="000d4ab6"/>
  </w:style>
  <w:style w:type="table" w:default="1" w:styleId="a2">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hyperlink" Target="https://www.lutskrada.gov.ua/budget" TargetMode="External"/><Relationship Id="rId13" Type="http://schemas.openxmlformats.org/officeDocument/2006/relationships/hyperlink" Target="https://uk.wikipedia.org/w/index.php?title=&#1028;&#1076;&#1080;&#1085;&#1086;&#1073;&#1086;&#1088;&#1089;&#1090;&#1074;&#1086;&amp;action=edit&amp;redlink=1" TargetMode="External"/><Relationship Id="rId14" Type="http://schemas.openxmlformats.org/officeDocument/2006/relationships/hyperlink" Target="https://uk.wikipedia.org/wiki/&#1041;&#1086;&#1088;&#1086;&#1090;&#1100;&#1073;&#1072;_(&#1089;&#1087;&#1086;&#1088;&#1090;)" TargetMode="External"/><Relationship Id="rId15" Type="http://schemas.openxmlformats.org/officeDocument/2006/relationships/hyperlink" Target="https://uk.wikipedia.org/wiki/&#1041;&#1086;&#1081;&#1086;&#1074;&#1110;_&#1084;&#1080;&#1089;&#1090;&#1077;&#1094;&#1090;&#1074;&#1072;" TargetMode="External"/><Relationship Id="rId16" Type="http://schemas.openxmlformats.org/officeDocument/2006/relationships/hyperlink" Target="https://www.lutskrada.gov.ua/pages/miskyi-chat-bot" TargetMode="External"/><Relationship Id="rId17" Type="http://schemas.openxmlformats.org/officeDocument/2006/relationships/hyperlink" Target="mailto:poslygu@cnap.ukr.net" TargetMode="External"/><Relationship Id="rId18" Type="http://schemas.openxmlformats.org/officeDocument/2006/relationships/header" Target="header2.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Relationship Id="rId23"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BD47A-B5A6-4004-A83E-7EC6BCFF8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Application>LibreOffice/6.2.1.2$Windows_X86_64 LibreOffice_project/7bcb35dc3024a62dea0caee87020152d1ee96e71</Application>
  <Pages>88</Pages>
  <Words>29774</Words>
  <Characters>201848</Characters>
  <CharactersWithSpaces>231861</CharactersWithSpaces>
  <Paragraphs>1239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2021-01-12T15:32:00Z</dcterms:created>
  <dc:creator/>
  <dc:description/>
  <dc:language>uk-UA</dc:language>
  <cp:lastModifiedBy/>
  <cp:lastPrinted>2021-01-22T13:55:00Z</cp:lastPrinted>
  <dcterms:modified xsi:type="dcterms:W3CDTF">2021-02-05T15:07:01Z</dcterms:modified>
  <cp:revision>132</cp:revision>
  <dc:subject/>
  <dc:title>main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