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570" w:type="dxa"/>
        <w:jc w:val="left"/>
        <w:tblInd w:w="0" w:type="dxa"/>
        <w:tblCellMar>
          <w:top w:w="0" w:type="dxa"/>
          <w:left w:w="108" w:type="dxa"/>
          <w:bottom w:w="0" w:type="dxa"/>
          <w:right w:w="108" w:type="dxa"/>
        </w:tblCellMar>
        <w:tblLook w:val="0000"/>
      </w:tblPr>
      <w:tblGrid>
        <w:gridCol w:w="4785"/>
        <w:gridCol w:w="4784"/>
      </w:tblGrid>
      <w:tr>
        <w:trPr/>
        <w:tc>
          <w:tcPr>
            <w:tcW w:w="4785" w:type="dxa"/>
            <w:tcBorders/>
            <w:shd w:color="auto" w:fill="auto" w:val="clear"/>
          </w:tcPr>
          <w:p>
            <w:pPr>
              <w:pStyle w:val="Normal"/>
              <w:suppressAutoHyphens w:val="true"/>
              <w:spacing w:lineRule="auto" w:line="240" w:before="0" w:after="0"/>
              <w:ind w:hanging="14"/>
              <w:rPr>
                <w:rFonts w:ascii="Times New Roman" w:hAnsi="Times New Roman"/>
                <w:bCs/>
                <w:sz w:val="28"/>
                <w:szCs w:val="24"/>
                <w:lang w:eastAsia="zh-CN"/>
              </w:rPr>
            </w:pPr>
            <w:r>
              <w:rPr>
                <w:rFonts w:ascii="Times New Roman" w:hAnsi="Times New Roman"/>
                <w:bCs/>
                <w:sz w:val="28"/>
                <w:szCs w:val="24"/>
                <w:lang w:eastAsia="zh-CN"/>
              </w:rPr>
            </w:r>
          </w:p>
        </w:tc>
        <w:tc>
          <w:tcPr>
            <w:tcW w:w="4784" w:type="dxa"/>
            <w:tcBorders/>
            <w:shd w:color="auto" w:fill="auto" w:val="clear"/>
          </w:tcPr>
          <w:p>
            <w:pPr>
              <w:pStyle w:val="Normal"/>
              <w:spacing w:lineRule="atLeast" w:line="20" w:before="0" w:after="0"/>
              <w:rPr/>
            </w:pPr>
            <w:r>
              <w:rPr>
                <w:rFonts w:ascii="Times New Roman" w:hAnsi="Times New Roman"/>
                <w:sz w:val="28"/>
                <w:szCs w:val="28"/>
              </w:rPr>
              <w:t xml:space="preserve">Додаток до рішення </w:t>
            </w:r>
            <w:r>
              <w:rPr>
                <w:rFonts w:eastAsia="Times New Roman" w:ascii="Times New Roman" w:hAnsi="Times New Roman"/>
                <w:sz w:val="28"/>
                <w:szCs w:val="28"/>
                <w:lang w:eastAsia="ar-SA"/>
              </w:rPr>
              <w:t xml:space="preserve">міської ради </w:t>
            </w:r>
            <w:r>
              <w:rPr>
                <w:rFonts w:eastAsia="Times New Roman" w:ascii="Times New Roman" w:hAnsi="Times New Roman"/>
                <w:sz w:val="28"/>
                <w:szCs w:val="28"/>
              </w:rPr>
              <w:t xml:space="preserve">                                                                    від</w:t>
            </w:r>
            <w:r>
              <w:rPr>
                <w:rFonts w:ascii="Times New Roman" w:hAnsi="Times New Roman"/>
                <w:sz w:val="28"/>
                <w:szCs w:val="28"/>
              </w:rPr>
              <w:t>___________ №_____</w:t>
            </w:r>
          </w:p>
          <w:p>
            <w:pPr>
              <w:pStyle w:val="Normal"/>
              <w:tabs>
                <w:tab w:val="clear" w:pos="708"/>
                <w:tab w:val="left" w:pos="6954" w:leader="none"/>
              </w:tabs>
              <w:suppressAutoHyphens w:val="true"/>
              <w:spacing w:lineRule="atLeast" w:line="20" w:before="0" w:after="0"/>
              <w:jc w:val="both"/>
              <w:rPr>
                <w:rFonts w:ascii="Times New Roman" w:hAnsi="Times New Roman"/>
                <w:bCs/>
                <w:sz w:val="28"/>
                <w:szCs w:val="28"/>
                <w:lang w:eastAsia="zh-CN"/>
              </w:rPr>
            </w:pPr>
            <w:r>
              <w:rPr>
                <w:rFonts w:ascii="Times New Roman" w:hAnsi="Times New Roman"/>
                <w:bCs/>
                <w:sz w:val="28"/>
                <w:szCs w:val="28"/>
                <w:lang w:eastAsia="zh-CN"/>
              </w:rPr>
            </w:r>
          </w:p>
          <w:p>
            <w:pPr>
              <w:pStyle w:val="Normal"/>
              <w:spacing w:lineRule="atLeast" w:line="20" w:before="0" w:after="0"/>
              <w:rPr/>
            </w:pPr>
            <w:r>
              <w:rPr>
                <w:rFonts w:ascii="Times New Roman" w:hAnsi="Times New Roman"/>
                <w:sz w:val="28"/>
                <w:szCs w:val="28"/>
              </w:rPr>
              <w:t>Міністерство юстиції України</w:t>
            </w:r>
          </w:p>
          <w:p>
            <w:pPr>
              <w:pStyle w:val="Normal"/>
              <w:spacing w:lineRule="atLeast" w:line="20" w:before="0" w:after="0"/>
              <w:rPr/>
            </w:pPr>
            <w:r>
              <w:rPr>
                <w:rFonts w:ascii="Times New Roman" w:hAnsi="Times New Roman"/>
                <w:sz w:val="28"/>
                <w:szCs w:val="28"/>
              </w:rPr>
              <w:t>вул. Городецького, 13, м. Київ</w:t>
            </w:r>
          </w:p>
          <w:p>
            <w:pPr>
              <w:pStyle w:val="Normal"/>
              <w:spacing w:lineRule="atLeast" w:line="20" w:before="0" w:after="0"/>
              <w:rPr/>
            </w:pPr>
            <w:r>
              <w:rPr>
                <w:rFonts w:ascii="Times New Roman" w:hAnsi="Times New Roman"/>
                <w:sz w:val="28"/>
                <w:szCs w:val="28"/>
              </w:rPr>
              <w:t>01001</w:t>
            </w:r>
          </w:p>
          <w:p>
            <w:pPr>
              <w:pStyle w:val="Normal"/>
              <w:spacing w:lineRule="atLeast" w:line="20" w:before="0" w:after="0"/>
              <w:rPr>
                <w:rFonts w:ascii="Times New Roman" w:hAnsi="Times New Roman"/>
                <w:sz w:val="28"/>
                <w:szCs w:val="28"/>
              </w:rPr>
            </w:pPr>
            <w:r>
              <w:rPr>
                <w:rFonts w:ascii="Times New Roman" w:hAnsi="Times New Roman"/>
                <w:sz w:val="28"/>
                <w:szCs w:val="28"/>
              </w:rPr>
            </w:r>
          </w:p>
          <w:p>
            <w:pPr>
              <w:pStyle w:val="Normal"/>
              <w:spacing w:lineRule="atLeast" w:line="20" w:before="0" w:after="0"/>
              <w:rPr/>
            </w:pPr>
            <w:r>
              <w:rPr>
                <w:rFonts w:ascii="Times New Roman" w:hAnsi="Times New Roman"/>
                <w:sz w:val="28"/>
                <w:szCs w:val="28"/>
              </w:rPr>
              <w:t>Прокуратура Волинської області</w:t>
            </w:r>
          </w:p>
          <w:p>
            <w:pPr>
              <w:pStyle w:val="Normal"/>
              <w:spacing w:lineRule="atLeast" w:line="20" w:before="0" w:after="0"/>
              <w:rPr/>
            </w:pPr>
            <w:r>
              <w:rPr>
                <w:rFonts w:ascii="Times New Roman" w:hAnsi="Times New Roman"/>
                <w:sz w:val="28"/>
                <w:szCs w:val="28"/>
              </w:rPr>
              <w:t xml:space="preserve">вул. Винниченка, 15, м. Луцьк, </w:t>
            </w:r>
          </w:p>
          <w:p>
            <w:pPr>
              <w:pStyle w:val="Normal"/>
              <w:spacing w:lineRule="atLeast" w:line="20" w:before="0" w:after="0"/>
              <w:rPr/>
            </w:pPr>
            <w:r>
              <w:rPr>
                <w:rFonts w:ascii="Times New Roman" w:hAnsi="Times New Roman"/>
                <w:sz w:val="28"/>
                <w:szCs w:val="28"/>
              </w:rPr>
              <w:t>43025</w:t>
            </w:r>
          </w:p>
          <w:p>
            <w:pPr>
              <w:pStyle w:val="Normal"/>
              <w:spacing w:lineRule="atLeast" w:line="20" w:before="0" w:after="0"/>
              <w:rPr>
                <w:rFonts w:ascii="Times New Roman" w:hAnsi="Times New Roman"/>
                <w:sz w:val="28"/>
                <w:szCs w:val="28"/>
              </w:rPr>
            </w:pPr>
            <w:r>
              <w:rPr>
                <w:rFonts w:ascii="Times New Roman" w:hAnsi="Times New Roman"/>
                <w:sz w:val="28"/>
                <w:szCs w:val="28"/>
              </w:rPr>
            </w:r>
          </w:p>
          <w:p>
            <w:pPr>
              <w:pStyle w:val="Normal"/>
              <w:spacing w:lineRule="atLeast" w:line="20" w:before="0" w:after="0"/>
              <w:rPr/>
            </w:pPr>
            <w:r>
              <w:rPr>
                <w:rFonts w:ascii="Times New Roman" w:hAnsi="Times New Roman"/>
                <w:sz w:val="28"/>
                <w:szCs w:val="28"/>
              </w:rPr>
              <w:t>Головне управління національної поліції у Волинській області</w:t>
            </w:r>
          </w:p>
          <w:p>
            <w:pPr>
              <w:pStyle w:val="Normal"/>
              <w:spacing w:lineRule="atLeast" w:line="20" w:before="0" w:after="0"/>
              <w:rPr/>
            </w:pPr>
            <w:r>
              <w:rPr>
                <w:rFonts w:ascii="Times New Roman" w:hAnsi="Times New Roman"/>
                <w:sz w:val="28"/>
                <w:szCs w:val="28"/>
              </w:rPr>
              <w:t xml:space="preserve">вул. Винниченка, 11, м. Луцьк, </w:t>
            </w:r>
          </w:p>
          <w:p>
            <w:pPr>
              <w:pStyle w:val="Normal"/>
              <w:spacing w:lineRule="atLeast" w:line="20" w:before="0" w:after="0"/>
              <w:rPr/>
            </w:pPr>
            <w:r>
              <w:rPr>
                <w:rFonts w:ascii="Times New Roman" w:hAnsi="Times New Roman"/>
                <w:sz w:val="28"/>
                <w:szCs w:val="28"/>
              </w:rPr>
              <w:t>43025</w:t>
            </w:r>
          </w:p>
          <w:p>
            <w:pPr>
              <w:pStyle w:val="Normal"/>
              <w:spacing w:lineRule="atLeast" w:line="20" w:before="0" w:after="0"/>
              <w:rPr>
                <w:rFonts w:ascii="Times New Roman" w:hAnsi="Times New Roman"/>
                <w:bCs/>
                <w:sz w:val="28"/>
                <w:szCs w:val="28"/>
                <w:lang w:eastAsia="zh-CN"/>
              </w:rPr>
            </w:pPr>
            <w:r>
              <w:rPr>
                <w:rFonts w:ascii="Times New Roman" w:hAnsi="Times New Roman"/>
                <w:bCs/>
                <w:sz w:val="28"/>
                <w:szCs w:val="28"/>
                <w:lang w:eastAsia="zh-CN"/>
              </w:rPr>
            </w:r>
          </w:p>
        </w:tc>
      </w:tr>
    </w:tbl>
    <w:p>
      <w:pPr>
        <w:pStyle w:val="Normal"/>
        <w:spacing w:lineRule="auto" w:line="240" w:before="0" w:after="0"/>
        <w:jc w:val="center"/>
        <w:rPr>
          <w:rFonts w:ascii="Times New Roman" w:hAnsi="Times New Roman"/>
          <w:sz w:val="28"/>
          <w:szCs w:val="28"/>
        </w:rPr>
      </w:pPr>
      <w:r>
        <w:rPr>
          <w:rFonts w:ascii="Times New Roman" w:hAnsi="Times New Roman"/>
          <w:sz w:val="28"/>
          <w:szCs w:val="28"/>
        </w:rPr>
        <w:t>Звернення</w:t>
      </w:r>
    </w:p>
    <w:p>
      <w:pPr>
        <w:pStyle w:val="Normal"/>
        <w:spacing w:before="0" w:after="0"/>
        <w:ind w:left="993" w:right="141" w:hanging="0"/>
        <w:jc w:val="center"/>
        <w:rPr>
          <w:rFonts w:ascii="Times New Roman" w:hAnsi="Times New Roman"/>
          <w:sz w:val="28"/>
          <w:szCs w:val="28"/>
        </w:rPr>
      </w:pPr>
      <w:r>
        <w:rPr>
          <w:rFonts w:ascii="Times New Roman" w:hAnsi="Times New Roman"/>
          <w:sz w:val="28"/>
          <w:szCs w:val="28"/>
        </w:rPr>
        <w:t xml:space="preserve">до Міністерства юстиції України, Головного управління національної поліції у Волинській області, Прокуратури Волинської області       щодо протизаконних дій державних реєстраторів </w:t>
      </w:r>
    </w:p>
    <w:p>
      <w:pPr>
        <w:pStyle w:val="Normal"/>
        <w:spacing w:before="0" w:after="0"/>
        <w:jc w:val="center"/>
        <w:rPr>
          <w:rFonts w:ascii="Times New Roman" w:hAnsi="Times New Roman"/>
          <w:sz w:val="28"/>
          <w:szCs w:val="28"/>
        </w:rPr>
      </w:pPr>
      <w:r>
        <w:rPr>
          <w:rFonts w:ascii="Times New Roman" w:hAnsi="Times New Roman"/>
          <w:sz w:val="28"/>
          <w:szCs w:val="28"/>
        </w:rPr>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Частиною 2 статті 19 Конституції України визначено, що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pPr>
        <w:pStyle w:val="HTMLPreformatted"/>
        <w:ind w:firstLine="709"/>
        <w:jc w:val="both"/>
        <w:rPr>
          <w:rFonts w:ascii="Times New Roman" w:hAnsi="Times New Roman" w:cs="Times New Roman"/>
          <w:color w:val="000000"/>
          <w:sz w:val="28"/>
          <w:szCs w:val="28"/>
          <w:highlight w:val="white"/>
        </w:rPr>
      </w:pPr>
      <w:r>
        <w:rPr>
          <w:rFonts w:cs="Times New Roman" w:ascii="Times New Roman" w:hAnsi="Times New Roman"/>
          <w:sz w:val="28"/>
          <w:szCs w:val="28"/>
        </w:rPr>
        <w:t xml:space="preserve">Відповідно до абз.2 частини 1 статті 41 Закону України «Про регулювання містобудівної діяльності» </w:t>
      </w:r>
      <w:r>
        <w:rPr>
          <w:rFonts w:cs="Times New Roman" w:ascii="Times New Roman" w:hAnsi="Times New Roman"/>
          <w:color w:val="000000"/>
          <w:sz w:val="28"/>
          <w:szCs w:val="28"/>
          <w:shd w:fill="FFFFFF" w:val="clear"/>
        </w:rPr>
        <w:t xml:space="preserve">порядок здійснення архітектурно-будівельного контролю визначається Кабінетом Міністрів України. </w:t>
      </w:r>
      <w:r>
        <w:rPr>
          <w:rFonts w:cs="Times New Roman" w:ascii="Times New Roman" w:hAnsi="Times New Roman"/>
          <w:sz w:val="28"/>
          <w:szCs w:val="28"/>
        </w:rPr>
        <w:t>Даний порядок затверджений постановою Кабінету Міністрів України від 23.05.2011 № 553.</w:t>
      </w:r>
    </w:p>
    <w:p>
      <w:pPr>
        <w:pStyle w:val="HTMLPreformatted"/>
        <w:ind w:firstLine="709"/>
        <w:jc w:val="both"/>
        <w:rPr>
          <w:rFonts w:ascii="Times New Roman" w:hAnsi="Times New Roman"/>
          <w:sz w:val="28"/>
          <w:szCs w:val="28"/>
        </w:rPr>
      </w:pPr>
      <w:r>
        <w:rPr>
          <w:rFonts w:cs="Times New Roman" w:ascii="Times New Roman" w:hAnsi="Times New Roman"/>
          <w:sz w:val="28"/>
          <w:szCs w:val="28"/>
        </w:rPr>
        <w:t>Відповідно до пункту 3 постанови Кабінету Міністрів № 219 від 13.03.2020 «Про оптимізацію органів державного архітектурно-будівельного контролю» дію постанови Кабінету Міністрів України від 23.05.2011 № 553 було призупинено з 18 березня 2020 по 16 грудня 2020 (Постанова КМУ від 16.12.2020 № 1339).</w:t>
      </w:r>
    </w:p>
    <w:p>
      <w:pPr>
        <w:pStyle w:val="HTMLPreformatted"/>
        <w:ind w:firstLine="709"/>
        <w:jc w:val="both"/>
        <w:rPr>
          <w:rFonts w:ascii="Times New Roman" w:hAnsi="Times New Roman"/>
          <w:sz w:val="28"/>
          <w:szCs w:val="28"/>
        </w:rPr>
      </w:pPr>
      <w:r>
        <w:rPr>
          <w:rFonts w:cs="Times New Roman" w:ascii="Times New Roman" w:hAnsi="Times New Roman"/>
          <w:sz w:val="28"/>
          <w:szCs w:val="28"/>
        </w:rPr>
        <w:t>Постановою КМУ від 13.03.2020 № 219  внесено зміни до постанови КМУ від 23.04.2011 № 554 щодо проведення обов’язкової атестації для осіб які здійснюють державний архітектурно – будівельний контроль. Відповідно до порядку професійна атестація проводиться Атестаційною архітектурно-будівельною комісією. Однак на офіційному сайті Міністерства розвитку громад та територій досі відсутня інформація про робочий орган (секцію) Атестаційної архітектурно-будівельної комісії з професійної атестації інспекторів державного архітектурно-будівельного контролю та нагляду.</w:t>
      </w:r>
    </w:p>
    <w:p>
      <w:pPr>
        <w:pStyle w:val="HTMLPreformatted"/>
        <w:ind w:firstLine="709"/>
        <w:jc w:val="both"/>
        <w:rPr>
          <w:rFonts w:ascii="Times New Roman" w:hAnsi="Times New Roman"/>
          <w:sz w:val="28"/>
          <w:szCs w:val="28"/>
        </w:rPr>
      </w:pPr>
      <w:r>
        <w:rPr>
          <w:rFonts w:cs="Times New Roman" w:ascii="Times New Roman" w:hAnsi="Times New Roman"/>
          <w:sz w:val="28"/>
          <w:szCs w:val="28"/>
        </w:rPr>
        <w:t>Таким чином, узагальнюючи вищезазначене чинним законодавством зупинено державний архітектурно-будівельний контроль на території всієї держави до часу написання даного звернення.</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 xml:space="preserve">Виконавчим комітетом Луцької міської ради прийнято рішення про створення комісії з питань виявлення та запобігання незаконного будівництва. Основним завданням даної комісії є здійснення оглядів об’єктів будівництва, фіксація виявлених порушень у сфері містобудування та моніторинг стану будівництва. </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 xml:space="preserve">Відповідно до частини першої статті 34 Закону України «Про регулювання містобудівної діяльності» </w:t>
      </w:r>
      <w:r>
        <w:rPr>
          <w:rFonts w:ascii="Times New Roman" w:hAnsi="Times New Roman"/>
          <w:i/>
          <w:sz w:val="28"/>
          <w:szCs w:val="28"/>
        </w:rPr>
        <w:t>замовник має право виконувати будівельні роботи після подання повідомлення про початок виконання будівельних робіт, або ж отримання дозволу</w:t>
      </w:r>
      <w:r>
        <w:rPr>
          <w:rFonts w:ascii="Times New Roman" w:hAnsi="Times New Roman"/>
          <w:sz w:val="28"/>
          <w:szCs w:val="28"/>
        </w:rPr>
        <w:t xml:space="preserve"> на виконання будівельних робіт для об’єктів відповідного класу наслідків.</w:t>
      </w:r>
    </w:p>
    <w:p>
      <w:pPr>
        <w:pStyle w:val="Normal"/>
        <w:spacing w:lineRule="auto" w:line="240" w:before="0" w:after="0"/>
        <w:ind w:firstLine="709"/>
        <w:jc w:val="both"/>
        <w:rPr>
          <w:rFonts w:ascii="Times New Roman" w:hAnsi="Times New Roman"/>
          <w:i/>
          <w:i/>
          <w:sz w:val="28"/>
          <w:szCs w:val="28"/>
        </w:rPr>
      </w:pPr>
      <w:r>
        <w:rPr>
          <w:rFonts w:ascii="Times New Roman" w:hAnsi="Times New Roman"/>
          <w:sz w:val="28"/>
          <w:szCs w:val="28"/>
        </w:rPr>
        <w:t xml:space="preserve">Відповідно до абзацу 1 частини 1 статті 1 Закону України «Про регулювання містобудівної діяльності» визначено що </w:t>
      </w:r>
      <w:r>
        <w:rPr>
          <w:rFonts w:ascii="Times New Roman" w:hAnsi="Times New Roman"/>
          <w:i/>
          <w:sz w:val="28"/>
          <w:szCs w:val="28"/>
        </w:rPr>
        <w:t>будівництво – це нове будівництво, реконструкція, реставрація, капітальний ремонт об’єкта будівництва.</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 xml:space="preserve">Відповідно до п.3.21 ДБН А.2.2-3-2014 «Склад та зміст проектної документації на будівництво» </w:t>
      </w:r>
      <w:r>
        <w:rPr>
          <w:rFonts w:ascii="Times New Roman" w:hAnsi="Times New Roman"/>
          <w:i/>
          <w:sz w:val="28"/>
          <w:szCs w:val="28"/>
        </w:rPr>
        <w:t xml:space="preserve">Реконструкція – це перебудова введеного в експлуатацію в установленому порядку об'єкту будівництва, </w:t>
      </w:r>
      <w:r>
        <w:rPr>
          <w:rFonts w:ascii="Times New Roman" w:hAnsi="Times New Roman"/>
          <w:i/>
          <w:sz w:val="28"/>
          <w:szCs w:val="28"/>
          <w:u w:val="single"/>
        </w:rPr>
        <w:t>що передбачає зміну його геометричних розмірів та/або функціонального призначення</w:t>
      </w:r>
      <w:r>
        <w:rPr>
          <w:rFonts w:ascii="Times New Roman" w:hAnsi="Times New Roman"/>
          <w:i/>
          <w:sz w:val="28"/>
          <w:szCs w:val="28"/>
        </w:rPr>
        <w:t xml:space="preserve"> Реконструкція передбачає повне або часткове збереження елементів несучих і огороджувальних конструкцій та призупинення на час виконання робіт експлуатації об’єкту в цілому або його частин (за умови їх автономності).</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 xml:space="preserve">Відповідно до частини сьомої статті 34 Закону України «Про регулювання містобудівної діяльності» </w:t>
      </w:r>
      <w:r>
        <w:rPr>
          <w:rFonts w:ascii="Times New Roman" w:hAnsi="Times New Roman"/>
          <w:i/>
          <w:sz w:val="28"/>
          <w:szCs w:val="28"/>
        </w:rPr>
        <w:t>виконання будівельних робіт без відповідного документа, передбаченого цією статтею вважається самочинним будівництвом</w:t>
      </w:r>
      <w:r>
        <w:rPr>
          <w:rFonts w:ascii="Times New Roman" w:hAnsi="Times New Roman"/>
          <w:sz w:val="28"/>
          <w:szCs w:val="28"/>
        </w:rPr>
        <w:t xml:space="preserve"> і тягне за собою відповідальність згідно із законом.</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Узагальнюючи вищевказане – зміна функціонального призначення, зміна геометричних розмірів, втручання в несучі конструкції являється будівництвом, і вимагає отримання дозвільних документів відповідно до чинного законодавства. Отже, зміна функціонального призначення без дозвільних документів заборонена.</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На підставі неодноразових звернень фізичних та юридичних осіб комісією з питань виявлення та запобігання незаконного будівництва Луцької міської ради неодноразово було виявлено проведення реконструкції об’єктів будівництва (втручання в несучі конструкції, зміна функціонального призначення) без дозвільних документів.</w:t>
      </w:r>
      <w:r>
        <w:rPr>
          <w:rFonts w:ascii="Times New Roman" w:hAnsi="Times New Roman"/>
          <w:b/>
          <w:sz w:val="28"/>
          <w:szCs w:val="28"/>
        </w:rPr>
        <w:t xml:space="preserve"> </w:t>
      </w:r>
      <w:r>
        <w:rPr>
          <w:rFonts w:ascii="Times New Roman" w:hAnsi="Times New Roman"/>
          <w:sz w:val="28"/>
          <w:szCs w:val="28"/>
        </w:rPr>
        <w:t>Використовуючи дані із державного реєстру речових прав на нерухоме майно було виявлено державну реєстрацію права власності на нежитлові приміщенні ще до закінчення виконання будівельних робіт. Державні реєстратори Куклинської міської ради Маневицького району Ященко В.О., Станкевич В.В., Чернюк О.О. та Копачівської сільської ради Рожищенського району Данилевич І.Є. проводять дану реєстрацію права власності із грубими порушенням чинного законодавства. Надаємо перелік об’єктів.</w:t>
      </w:r>
    </w:p>
    <w:p>
      <w:pPr>
        <w:pStyle w:val="Normal"/>
        <w:spacing w:lineRule="auto" w:line="240" w:before="0" w:after="0"/>
        <w:ind w:firstLine="709"/>
        <w:jc w:val="both"/>
        <w:rPr>
          <w:rFonts w:ascii="Times New Roman" w:hAnsi="Times New Roman"/>
          <w:sz w:val="28"/>
          <w:szCs w:val="28"/>
        </w:rPr>
      </w:pPr>
      <w:r>
        <w:rPr>
          <w:rFonts w:ascii="Times New Roman" w:hAnsi="Times New Roman"/>
          <w:b/>
          <w:sz w:val="28"/>
          <w:szCs w:val="28"/>
        </w:rPr>
        <w:t>Державний реєстратор Куклинської сільської ради Маневицького району району Ященко В.О.:</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Степана Бандери, 15 </w:t>
      </w:r>
      <w:r>
        <w:rPr>
          <w:rFonts w:ascii="Times New Roman" w:hAnsi="Times New Roman"/>
          <w:color w:val="000000"/>
          <w:sz w:val="28"/>
          <w:szCs w:val="28"/>
        </w:rPr>
        <w:t>у м. Луцьку (</w:t>
      </w:r>
      <w:r>
        <w:rPr>
          <w:rFonts w:ascii="Times New Roman" w:hAnsi="Times New Roman"/>
          <w:sz w:val="28"/>
          <w:szCs w:val="28"/>
        </w:rPr>
        <w:t>нежитлове приміщення, 22, магазин промислових товарів);</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Степана Бандери, 12 </w:t>
      </w:r>
      <w:r>
        <w:rPr>
          <w:rFonts w:ascii="Times New Roman" w:hAnsi="Times New Roman"/>
          <w:color w:val="000000"/>
          <w:sz w:val="28"/>
          <w:szCs w:val="28"/>
        </w:rPr>
        <w:t>у м. Луцьку (</w:t>
      </w:r>
      <w:r>
        <w:rPr>
          <w:rFonts w:ascii="Times New Roman" w:hAnsi="Times New Roman"/>
          <w:sz w:val="28"/>
          <w:szCs w:val="28"/>
        </w:rPr>
        <w:t>магазин);</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color w:val="000000"/>
          <w:sz w:val="28"/>
          <w:szCs w:val="28"/>
        </w:rPr>
        <w:t xml:space="preserve">вул. </w:t>
      </w:r>
      <w:r>
        <w:rPr>
          <w:rFonts w:ascii="Times New Roman" w:hAnsi="Times New Roman"/>
          <w:sz w:val="28"/>
          <w:szCs w:val="28"/>
        </w:rPr>
        <w:t xml:space="preserve">Коперника, 5  </w:t>
      </w:r>
      <w:r>
        <w:rPr>
          <w:rFonts w:ascii="Times New Roman" w:hAnsi="Times New Roman"/>
          <w:color w:val="000000"/>
          <w:sz w:val="28"/>
          <w:szCs w:val="28"/>
        </w:rPr>
        <w:t>у м. Луцьку (</w:t>
      </w:r>
      <w:r>
        <w:rPr>
          <w:rFonts w:ascii="Times New Roman" w:hAnsi="Times New Roman"/>
          <w:sz w:val="28"/>
          <w:szCs w:val="28"/>
        </w:rPr>
        <w:t>заклад громадського харчування);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Ковельська, 3 </w:t>
      </w:r>
      <w:r>
        <w:rPr>
          <w:rFonts w:ascii="Times New Roman" w:hAnsi="Times New Roman"/>
          <w:color w:val="000000"/>
          <w:sz w:val="28"/>
          <w:szCs w:val="28"/>
        </w:rPr>
        <w:t>у м. Луцьку (</w:t>
      </w:r>
      <w:r>
        <w:rPr>
          <w:rFonts w:ascii="Times New Roman" w:hAnsi="Times New Roman"/>
          <w:sz w:val="28"/>
          <w:szCs w:val="28"/>
        </w:rPr>
        <w:t>офісне приміщення та кафе-бар);</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color w:val="000000"/>
          <w:sz w:val="28"/>
          <w:szCs w:val="28"/>
        </w:rPr>
        <w:t>вул. Кравчука, 10 у м. Луцьку (торгово-офісний заклад (1));</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color w:val="000000"/>
          <w:sz w:val="28"/>
          <w:szCs w:val="28"/>
        </w:rPr>
        <w:t>вул. Кравчука, 10 у м. Луцьку (торгово-офісний заклад (2));</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Огієнка, 1 </w:t>
      </w:r>
      <w:r>
        <w:rPr>
          <w:rFonts w:ascii="Times New Roman" w:hAnsi="Times New Roman"/>
          <w:color w:val="000000"/>
          <w:sz w:val="28"/>
          <w:szCs w:val="28"/>
        </w:rPr>
        <w:t>у м. Луцьку (</w:t>
      </w:r>
      <w:r>
        <w:rPr>
          <w:rFonts w:ascii="Times New Roman" w:hAnsi="Times New Roman"/>
          <w:sz w:val="28"/>
          <w:szCs w:val="28"/>
        </w:rPr>
        <w:t>торгово-офісний заклад);</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color w:val="000000"/>
          <w:sz w:val="28"/>
          <w:szCs w:val="28"/>
        </w:rPr>
        <w:t>вул. Кравчука, 34а  у м. Луцьку (торгово-офісний заклад);</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Винниченка, 51 </w:t>
      </w:r>
      <w:r>
        <w:rPr>
          <w:rFonts w:ascii="Times New Roman" w:hAnsi="Times New Roman"/>
          <w:color w:val="000000"/>
          <w:sz w:val="28"/>
          <w:szCs w:val="28"/>
        </w:rPr>
        <w:t>у м. Луцьку (</w:t>
      </w:r>
      <w:r>
        <w:rPr>
          <w:rFonts w:ascii="Times New Roman" w:hAnsi="Times New Roman"/>
          <w:sz w:val="28"/>
          <w:szCs w:val="28"/>
        </w:rPr>
        <w:t>офісне приміщення);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Степана Бандери, 13 </w:t>
      </w:r>
      <w:r>
        <w:rPr>
          <w:rFonts w:ascii="Times New Roman" w:hAnsi="Times New Roman"/>
          <w:color w:val="000000"/>
          <w:sz w:val="28"/>
          <w:szCs w:val="28"/>
        </w:rPr>
        <w:t>у м. Луцьку (</w:t>
      </w:r>
      <w:r>
        <w:rPr>
          <w:rFonts w:ascii="Times New Roman" w:hAnsi="Times New Roman"/>
          <w:sz w:val="28"/>
          <w:szCs w:val="28"/>
        </w:rPr>
        <w:t>нежитлове приміщення, магазин);</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пр. Відродження, 29а у м. Луцьку (житловий будинок з нежитловими приміщеннями);</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Степана Бандери, 12 </w:t>
      </w:r>
      <w:r>
        <w:rPr>
          <w:rFonts w:ascii="Times New Roman" w:hAnsi="Times New Roman"/>
          <w:color w:val="000000"/>
          <w:sz w:val="28"/>
          <w:szCs w:val="28"/>
        </w:rPr>
        <w:t xml:space="preserve">у м. Луцьку ( </w:t>
      </w:r>
      <w:r>
        <w:rPr>
          <w:rFonts w:ascii="Times New Roman" w:hAnsi="Times New Roman"/>
          <w:sz w:val="28"/>
          <w:szCs w:val="28"/>
        </w:rPr>
        <w:t>магазин);</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 Волі,31 </w:t>
      </w:r>
      <w:r>
        <w:rPr>
          <w:rFonts w:ascii="Times New Roman" w:hAnsi="Times New Roman"/>
          <w:color w:val="000000"/>
          <w:sz w:val="28"/>
          <w:szCs w:val="28"/>
        </w:rPr>
        <w:t xml:space="preserve">у м. Луцьку ( </w:t>
      </w:r>
      <w:r>
        <w:rPr>
          <w:rFonts w:ascii="Times New Roman" w:hAnsi="Times New Roman"/>
          <w:sz w:val="28"/>
          <w:szCs w:val="28"/>
        </w:rPr>
        <w:t>торгово-офісне</w:t>
      </w:r>
      <w:r>
        <w:rPr>
          <w:rFonts w:ascii="Times New Roman" w:hAnsi="Times New Roman"/>
          <w:b/>
          <w:sz w:val="28"/>
          <w:szCs w:val="28"/>
        </w:rPr>
        <w:t xml:space="preserve"> </w:t>
      </w:r>
      <w:r>
        <w:rPr>
          <w:rFonts w:ascii="Times New Roman" w:hAnsi="Times New Roman"/>
          <w:sz w:val="28"/>
          <w:szCs w:val="28"/>
        </w:rPr>
        <w:t>приміщення);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 Президента Грушевського, 29 </w:t>
      </w:r>
      <w:r>
        <w:rPr>
          <w:rFonts w:ascii="Times New Roman" w:hAnsi="Times New Roman"/>
          <w:color w:val="000000"/>
          <w:sz w:val="28"/>
          <w:szCs w:val="28"/>
        </w:rPr>
        <w:t>у м. Луцьку (</w:t>
      </w:r>
      <w:r>
        <w:rPr>
          <w:rFonts w:ascii="Times New Roman" w:hAnsi="Times New Roman"/>
          <w:sz w:val="28"/>
          <w:szCs w:val="28"/>
        </w:rPr>
        <w:t>торгово-офісне</w:t>
      </w:r>
      <w:r>
        <w:rPr>
          <w:rFonts w:ascii="Times New Roman" w:hAnsi="Times New Roman"/>
          <w:b/>
          <w:sz w:val="28"/>
          <w:szCs w:val="28"/>
        </w:rPr>
        <w:t xml:space="preserve"> </w:t>
      </w:r>
      <w:r>
        <w:rPr>
          <w:rFonts w:ascii="Times New Roman" w:hAnsi="Times New Roman"/>
          <w:sz w:val="28"/>
          <w:szCs w:val="28"/>
        </w:rPr>
        <w:t>приміщення);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Степана Бандери, 22  </w:t>
      </w:r>
      <w:r>
        <w:rPr>
          <w:rFonts w:ascii="Times New Roman" w:hAnsi="Times New Roman"/>
          <w:color w:val="000000"/>
          <w:sz w:val="28"/>
          <w:szCs w:val="28"/>
        </w:rPr>
        <w:t>у м. Луцьку (</w:t>
      </w:r>
      <w:r>
        <w:rPr>
          <w:rFonts w:ascii="Times New Roman" w:hAnsi="Times New Roman"/>
          <w:sz w:val="28"/>
          <w:szCs w:val="28"/>
        </w:rPr>
        <w:t>торгово-офісне</w:t>
      </w:r>
      <w:r>
        <w:rPr>
          <w:rFonts w:ascii="Times New Roman" w:hAnsi="Times New Roman"/>
          <w:b/>
          <w:sz w:val="28"/>
          <w:szCs w:val="28"/>
        </w:rPr>
        <w:t xml:space="preserve"> </w:t>
      </w:r>
      <w:r>
        <w:rPr>
          <w:rFonts w:ascii="Times New Roman" w:hAnsi="Times New Roman"/>
          <w:sz w:val="28"/>
          <w:szCs w:val="28"/>
        </w:rPr>
        <w:t>приміщення);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Генерала Шухевича, 1 </w:t>
      </w:r>
      <w:r>
        <w:rPr>
          <w:rFonts w:ascii="Times New Roman" w:hAnsi="Times New Roman"/>
          <w:color w:val="000000"/>
          <w:sz w:val="28"/>
          <w:szCs w:val="28"/>
        </w:rPr>
        <w:t>у м. Луцьку (</w:t>
      </w:r>
      <w:r>
        <w:rPr>
          <w:rFonts w:ascii="Times New Roman" w:hAnsi="Times New Roman"/>
          <w:sz w:val="28"/>
          <w:szCs w:val="28"/>
        </w:rPr>
        <w:t>торгово-офісне</w:t>
      </w:r>
      <w:r>
        <w:rPr>
          <w:rFonts w:ascii="Times New Roman" w:hAnsi="Times New Roman"/>
          <w:b/>
          <w:sz w:val="28"/>
          <w:szCs w:val="28"/>
        </w:rPr>
        <w:t xml:space="preserve"> </w:t>
      </w:r>
      <w:r>
        <w:rPr>
          <w:rFonts w:ascii="Times New Roman" w:hAnsi="Times New Roman"/>
          <w:sz w:val="28"/>
          <w:szCs w:val="28"/>
        </w:rPr>
        <w:t>приміщення);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 Соборності, 32 </w:t>
      </w:r>
      <w:r>
        <w:rPr>
          <w:rFonts w:ascii="Times New Roman" w:hAnsi="Times New Roman"/>
          <w:color w:val="000000"/>
          <w:sz w:val="28"/>
          <w:szCs w:val="28"/>
        </w:rPr>
        <w:t>у м. Луцьку (</w:t>
      </w:r>
      <w:r>
        <w:rPr>
          <w:rFonts w:ascii="Times New Roman" w:hAnsi="Times New Roman"/>
          <w:sz w:val="28"/>
          <w:szCs w:val="28"/>
        </w:rPr>
        <w:t>нежитлове приміщення торгово-офісного призначення);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пр.Соборності, 6 </w:t>
      </w:r>
      <w:r>
        <w:rPr>
          <w:rFonts w:ascii="Times New Roman" w:hAnsi="Times New Roman"/>
          <w:color w:val="000000"/>
          <w:sz w:val="28"/>
          <w:szCs w:val="28"/>
        </w:rPr>
        <w:t>у м. Луцьку (</w:t>
      </w:r>
      <w:r>
        <w:rPr>
          <w:rFonts w:ascii="Times New Roman" w:hAnsi="Times New Roman"/>
          <w:sz w:val="28"/>
          <w:szCs w:val="28"/>
        </w:rPr>
        <w:t>нежитлове приміщення салон краси);</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пр.Соборності, 6 </w:t>
      </w:r>
      <w:r>
        <w:rPr>
          <w:rFonts w:ascii="Times New Roman" w:hAnsi="Times New Roman"/>
          <w:color w:val="000000"/>
          <w:sz w:val="28"/>
          <w:szCs w:val="28"/>
        </w:rPr>
        <w:t>у м. Луцьку (</w:t>
      </w:r>
      <w:r>
        <w:rPr>
          <w:rFonts w:ascii="Times New Roman" w:hAnsi="Times New Roman"/>
          <w:sz w:val="28"/>
          <w:szCs w:val="28"/>
        </w:rPr>
        <w:t>нежитлове приміщення, кав’ярня);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Коперника, 2 </w:t>
      </w:r>
      <w:r>
        <w:rPr>
          <w:rFonts w:ascii="Times New Roman" w:hAnsi="Times New Roman"/>
          <w:color w:val="000000"/>
          <w:sz w:val="28"/>
          <w:szCs w:val="28"/>
        </w:rPr>
        <w:t>у м. Луцьку (</w:t>
      </w:r>
      <w:r>
        <w:rPr>
          <w:rFonts w:ascii="Times New Roman" w:hAnsi="Times New Roman"/>
          <w:sz w:val="28"/>
          <w:szCs w:val="28"/>
        </w:rPr>
        <w:t>нежитлове</w:t>
      </w:r>
      <w:r>
        <w:rPr>
          <w:rFonts w:ascii="Times New Roman" w:hAnsi="Times New Roman"/>
          <w:b/>
          <w:sz w:val="28"/>
          <w:szCs w:val="28"/>
        </w:rPr>
        <w:t xml:space="preserve"> </w:t>
      </w:r>
      <w:r>
        <w:rPr>
          <w:rFonts w:ascii="Times New Roman" w:hAnsi="Times New Roman"/>
          <w:sz w:val="28"/>
          <w:szCs w:val="28"/>
        </w:rPr>
        <w:t>приміщення);</w:t>
      </w:r>
    </w:p>
    <w:p>
      <w:pPr>
        <w:pStyle w:val="Normal"/>
        <w:widowControl/>
        <w:numPr>
          <w:ilvl w:val="0"/>
          <w:numId w:val="1"/>
        </w:numPr>
        <w:suppressAutoHyphens w:val="true"/>
        <w:bidi w:val="0"/>
        <w:spacing w:lineRule="auto" w:line="240" w:before="0" w:after="0"/>
        <w:ind w:left="0" w:right="0" w:firstLine="709"/>
        <w:jc w:val="both"/>
        <w:rPr>
          <w:rFonts w:ascii="Times New Roman" w:hAnsi="Times New Roman"/>
          <w:sz w:val="28"/>
          <w:szCs w:val="28"/>
        </w:rPr>
      </w:pPr>
      <w:r>
        <w:rPr>
          <w:rFonts w:ascii="Times New Roman" w:hAnsi="Times New Roman"/>
          <w:sz w:val="28"/>
          <w:szCs w:val="28"/>
        </w:rPr>
        <w:t>вул. Сенаторки Левчанівької, 5 у м. Луцьку (торговий заклад).</w:t>
      </w:r>
    </w:p>
    <w:p>
      <w:pPr>
        <w:pStyle w:val="Normal"/>
        <w:spacing w:lineRule="auto" w:line="240" w:before="0" w:after="0"/>
        <w:ind w:firstLine="709"/>
        <w:jc w:val="both"/>
        <w:rPr>
          <w:rFonts w:ascii="Times New Roman" w:hAnsi="Times New Roman"/>
          <w:b/>
          <w:b/>
          <w:sz w:val="28"/>
          <w:szCs w:val="28"/>
        </w:rPr>
      </w:pPr>
      <w:r>
        <w:rPr>
          <w:rFonts w:ascii="Times New Roman" w:hAnsi="Times New Roman"/>
          <w:b/>
          <w:sz w:val="28"/>
          <w:szCs w:val="28"/>
        </w:rPr>
        <w:t xml:space="preserve">Державний реєстратор Куклинської сільської ради Маневицького району Станкевич В.В.: </w:t>
      </w:r>
    </w:p>
    <w:p>
      <w:pPr>
        <w:pStyle w:val="Normal"/>
        <w:numPr>
          <w:ilvl w:val="0"/>
          <w:numId w:val="2"/>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пр. Президента Грушевського, 29 у м. Луцьку (нежитлове</w:t>
      </w:r>
      <w:r>
        <w:rPr>
          <w:rFonts w:ascii="Times New Roman" w:hAnsi="Times New Roman"/>
          <w:b/>
          <w:sz w:val="28"/>
          <w:szCs w:val="28"/>
        </w:rPr>
        <w:t xml:space="preserve"> </w:t>
      </w:r>
      <w:r>
        <w:rPr>
          <w:rFonts w:ascii="Times New Roman" w:hAnsi="Times New Roman"/>
          <w:sz w:val="28"/>
          <w:szCs w:val="28"/>
        </w:rPr>
        <w:t>приміщення, магазин-кафетерій);</w:t>
      </w:r>
    </w:p>
    <w:p>
      <w:pPr>
        <w:pStyle w:val="Normal"/>
        <w:numPr>
          <w:ilvl w:val="0"/>
          <w:numId w:val="2"/>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вул. Рівненська, 85 у м. Луцьку (торгово-офісне</w:t>
      </w:r>
      <w:r>
        <w:rPr>
          <w:rFonts w:ascii="Times New Roman" w:hAnsi="Times New Roman"/>
          <w:b/>
          <w:sz w:val="28"/>
          <w:szCs w:val="28"/>
        </w:rPr>
        <w:t xml:space="preserve"> </w:t>
      </w:r>
      <w:r>
        <w:rPr>
          <w:rFonts w:ascii="Times New Roman" w:hAnsi="Times New Roman"/>
          <w:sz w:val="28"/>
          <w:szCs w:val="28"/>
        </w:rPr>
        <w:t>приміщення).</w:t>
      </w:r>
    </w:p>
    <w:p>
      <w:pPr>
        <w:pStyle w:val="Normal"/>
        <w:spacing w:lineRule="auto" w:line="240" w:before="0" w:after="0"/>
        <w:ind w:firstLine="709"/>
        <w:jc w:val="both"/>
        <w:rPr>
          <w:rFonts w:ascii="Times New Roman" w:hAnsi="Times New Roman"/>
          <w:sz w:val="28"/>
          <w:szCs w:val="28"/>
        </w:rPr>
      </w:pPr>
      <w:r>
        <w:rPr>
          <w:rFonts w:ascii="Times New Roman" w:hAnsi="Times New Roman"/>
          <w:b/>
          <w:sz w:val="28"/>
          <w:szCs w:val="28"/>
        </w:rPr>
        <w:t>Державний реєстратор Куклинської сільської ради Маневицького району району Чернюк О.О.:</w:t>
      </w:r>
    </w:p>
    <w:p>
      <w:pPr>
        <w:pStyle w:val="Normal"/>
        <w:numPr>
          <w:ilvl w:val="0"/>
          <w:numId w:val="3"/>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Степана Бандери, 15 </w:t>
      </w:r>
      <w:r>
        <w:rPr>
          <w:rFonts w:ascii="Times New Roman" w:hAnsi="Times New Roman"/>
          <w:color w:val="000000"/>
          <w:sz w:val="28"/>
          <w:szCs w:val="28"/>
        </w:rPr>
        <w:t>у м. Луцьку (</w:t>
      </w:r>
      <w:r>
        <w:rPr>
          <w:rFonts w:ascii="Times New Roman" w:hAnsi="Times New Roman"/>
          <w:sz w:val="28"/>
          <w:szCs w:val="28"/>
        </w:rPr>
        <w:t>нежитлове приміщення, 22, магазин промислових товарів);</w:t>
      </w:r>
    </w:p>
    <w:p>
      <w:pPr>
        <w:pStyle w:val="Normal"/>
        <w:numPr>
          <w:ilvl w:val="0"/>
          <w:numId w:val="3"/>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 Молоді, 11 </w:t>
      </w:r>
      <w:r>
        <w:rPr>
          <w:rFonts w:ascii="Times New Roman" w:hAnsi="Times New Roman"/>
          <w:color w:val="000000"/>
          <w:sz w:val="28"/>
          <w:szCs w:val="28"/>
        </w:rPr>
        <w:t>у м. Луцьку (</w:t>
      </w:r>
      <w:r>
        <w:rPr>
          <w:rFonts w:ascii="Times New Roman" w:hAnsi="Times New Roman"/>
          <w:sz w:val="28"/>
          <w:szCs w:val="28"/>
        </w:rPr>
        <w:t>нежитлове приміщення № 73, кабінет спеціалізованої медичної практики);</w:t>
      </w:r>
    </w:p>
    <w:p>
      <w:pPr>
        <w:pStyle w:val="Normal"/>
        <w:numPr>
          <w:ilvl w:val="0"/>
          <w:numId w:val="3"/>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 Соборності, 32 </w:t>
      </w:r>
      <w:r>
        <w:rPr>
          <w:rFonts w:ascii="Times New Roman" w:hAnsi="Times New Roman"/>
          <w:color w:val="000000"/>
          <w:sz w:val="28"/>
          <w:szCs w:val="28"/>
        </w:rPr>
        <w:t>у м. Луцьку (</w:t>
      </w:r>
      <w:r>
        <w:rPr>
          <w:rFonts w:ascii="Times New Roman" w:hAnsi="Times New Roman"/>
          <w:sz w:val="28"/>
          <w:szCs w:val="28"/>
        </w:rPr>
        <w:t>нежитлове приміщення торгово-офісного призначення);</w:t>
      </w:r>
    </w:p>
    <w:p>
      <w:pPr>
        <w:pStyle w:val="Normal"/>
        <w:numPr>
          <w:ilvl w:val="0"/>
          <w:numId w:val="3"/>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 Соборності, 20  </w:t>
      </w:r>
      <w:r>
        <w:rPr>
          <w:rFonts w:ascii="Times New Roman" w:hAnsi="Times New Roman"/>
          <w:color w:val="000000"/>
          <w:sz w:val="28"/>
          <w:szCs w:val="28"/>
        </w:rPr>
        <w:t>у м. Луцьку (</w:t>
      </w:r>
      <w:r>
        <w:rPr>
          <w:rFonts w:ascii="Times New Roman" w:hAnsi="Times New Roman"/>
          <w:sz w:val="28"/>
          <w:szCs w:val="28"/>
        </w:rPr>
        <w:t>нежитлове приміщення).</w:t>
      </w:r>
    </w:p>
    <w:p>
      <w:pPr>
        <w:pStyle w:val="Normal"/>
        <w:spacing w:lineRule="auto" w:line="240" w:before="0" w:after="0"/>
        <w:ind w:firstLine="709"/>
        <w:jc w:val="both"/>
        <w:rPr>
          <w:rFonts w:ascii="Times New Roman" w:hAnsi="Times New Roman"/>
          <w:sz w:val="28"/>
          <w:szCs w:val="28"/>
        </w:rPr>
      </w:pPr>
      <w:r>
        <w:rPr>
          <w:rFonts w:ascii="Times New Roman" w:hAnsi="Times New Roman"/>
          <w:b/>
          <w:sz w:val="28"/>
          <w:szCs w:val="28"/>
        </w:rPr>
        <w:t>Державний реєстратор Копачівської сільської ради Рожищенського району Данилевич І.Є.:</w:t>
      </w:r>
    </w:p>
    <w:p>
      <w:pPr>
        <w:pStyle w:val="Normal"/>
        <w:numPr>
          <w:ilvl w:val="0"/>
          <w:numId w:val="4"/>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вул. Кравчука, 28 у м. Луцьку (група нежитлових приміщень № 40 перукарню);</w:t>
      </w:r>
    </w:p>
    <w:p>
      <w:pPr>
        <w:pStyle w:val="Normal"/>
        <w:numPr>
          <w:ilvl w:val="0"/>
          <w:numId w:val="4"/>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вул. Зацепи, 6 </w:t>
      </w:r>
      <w:r>
        <w:rPr>
          <w:rFonts w:ascii="Times New Roman" w:hAnsi="Times New Roman"/>
          <w:color w:val="000000"/>
          <w:sz w:val="28"/>
          <w:szCs w:val="28"/>
        </w:rPr>
        <w:t>у м. Луцьку (</w:t>
      </w:r>
      <w:r>
        <w:rPr>
          <w:rFonts w:ascii="Times New Roman" w:hAnsi="Times New Roman"/>
          <w:sz w:val="28"/>
          <w:szCs w:val="28"/>
        </w:rPr>
        <w:t>нежитлове приміщення, група нежитлових приміщень № 1, магазин);</w:t>
      </w:r>
    </w:p>
    <w:p>
      <w:pPr>
        <w:pStyle w:val="Normal"/>
        <w:numPr>
          <w:ilvl w:val="0"/>
          <w:numId w:val="4"/>
        </w:numPr>
        <w:suppressAutoHyphens w:val="true"/>
        <w:spacing w:lineRule="auto" w:line="240" w:before="0" w:after="0"/>
        <w:ind w:left="0" w:right="0" w:firstLine="709"/>
        <w:jc w:val="both"/>
        <w:rPr>
          <w:rFonts w:ascii="Times New Roman" w:hAnsi="Times New Roman"/>
          <w:sz w:val="28"/>
          <w:szCs w:val="28"/>
        </w:rPr>
      </w:pPr>
      <w:r>
        <w:rPr>
          <w:rFonts w:ascii="Times New Roman" w:hAnsi="Times New Roman"/>
          <w:sz w:val="28"/>
          <w:szCs w:val="28"/>
        </w:rPr>
        <w:t xml:space="preserve">пр. Президента Грушевського, 9 </w:t>
      </w:r>
      <w:r>
        <w:rPr>
          <w:rFonts w:ascii="Times New Roman" w:hAnsi="Times New Roman"/>
          <w:color w:val="000000"/>
          <w:sz w:val="28"/>
          <w:szCs w:val="28"/>
        </w:rPr>
        <w:t>у м. Луцьку (</w:t>
      </w:r>
      <w:r>
        <w:rPr>
          <w:rFonts w:ascii="Times New Roman" w:hAnsi="Times New Roman"/>
          <w:sz w:val="28"/>
          <w:szCs w:val="28"/>
        </w:rPr>
        <w:t>торгово-офісне</w:t>
      </w:r>
      <w:r>
        <w:rPr>
          <w:rFonts w:ascii="Times New Roman" w:hAnsi="Times New Roman"/>
          <w:b/>
          <w:sz w:val="28"/>
          <w:szCs w:val="28"/>
        </w:rPr>
        <w:t xml:space="preserve"> </w:t>
      </w:r>
      <w:r>
        <w:rPr>
          <w:rFonts w:ascii="Times New Roman" w:hAnsi="Times New Roman"/>
          <w:sz w:val="28"/>
          <w:szCs w:val="28"/>
        </w:rPr>
        <w:t>приміщення, медико-косметологічний центр);</w:t>
      </w:r>
    </w:p>
    <w:p>
      <w:pPr>
        <w:pStyle w:val="Normal"/>
        <w:numPr>
          <w:ilvl w:val="0"/>
          <w:numId w:val="4"/>
        </w:numPr>
        <w:suppressAutoHyphens w:val="true"/>
        <w:spacing w:lineRule="auto" w:line="240" w:before="0" w:after="0"/>
        <w:ind w:left="0" w:right="0" w:firstLine="709"/>
        <w:rPr>
          <w:rFonts w:ascii="Times New Roman" w:hAnsi="Times New Roman"/>
          <w:sz w:val="28"/>
          <w:szCs w:val="28"/>
        </w:rPr>
      </w:pPr>
      <w:r>
        <w:rPr>
          <w:rFonts w:ascii="Times New Roman" w:hAnsi="Times New Roman"/>
          <w:sz w:val="28"/>
          <w:szCs w:val="28"/>
        </w:rPr>
        <w:t xml:space="preserve">вул. Кравчука, 38  </w:t>
      </w:r>
      <w:r>
        <w:rPr>
          <w:rFonts w:ascii="Times New Roman" w:hAnsi="Times New Roman"/>
          <w:color w:val="000000"/>
          <w:sz w:val="28"/>
          <w:szCs w:val="28"/>
        </w:rPr>
        <w:t>у м. Луцьку (</w:t>
      </w:r>
      <w:r>
        <w:rPr>
          <w:rFonts w:ascii="Times New Roman" w:hAnsi="Times New Roman"/>
          <w:sz w:val="28"/>
          <w:szCs w:val="28"/>
        </w:rPr>
        <w:t>нежитлове</w:t>
      </w:r>
      <w:r>
        <w:rPr>
          <w:rFonts w:ascii="Times New Roman" w:hAnsi="Times New Roman"/>
          <w:b/>
          <w:sz w:val="28"/>
          <w:szCs w:val="28"/>
        </w:rPr>
        <w:t xml:space="preserve"> </w:t>
      </w:r>
      <w:r>
        <w:rPr>
          <w:rFonts w:ascii="Times New Roman" w:hAnsi="Times New Roman"/>
          <w:sz w:val="28"/>
          <w:szCs w:val="28"/>
        </w:rPr>
        <w:t>приміщення).</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 xml:space="preserve">Реєстрація права власності із зміною функціонального призначення (квартира під нежитлове приміщення, торгові, офісні приміщення, стоматологічний кабінет) відбувалась на підставі довідок (висновків), виданих інженерами з інвентаризації нерухомого майна ФОП Пазієм Олександром Леонідовичем, ФОП Ткачовим М.Г., ФОП Волковим Ю.В. та іншими, </w:t>
      </w:r>
      <w:r>
        <w:rPr>
          <w:rFonts w:ascii="Times New Roman" w:hAnsi="Times New Roman"/>
          <w:sz w:val="28"/>
          <w:szCs w:val="28"/>
          <w:u w:val="single"/>
        </w:rPr>
        <w:t>за відсутності дозвільних документів.</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 xml:space="preserve">Вищезазначені обставини можуть свідчити про протизаконні дії державних реєстраторів, приватних нотаріусів, інженерів з інвентаризації нерухомого майна внаслідок яких виникає небезпека для життя та здоров’я громадян, порушується чинне законодавство то неконтрольовано змінюється архітектурний стиль міста. </w:t>
      </w:r>
    </w:p>
    <w:p>
      <w:pPr>
        <w:pStyle w:val="Normal"/>
        <w:spacing w:lineRule="auto" w:line="240" w:before="0" w:after="0"/>
        <w:ind w:firstLine="709"/>
        <w:jc w:val="both"/>
        <w:rPr>
          <w:rFonts w:ascii="Times New Roman" w:hAnsi="Times New Roman"/>
          <w:b/>
          <w:b/>
          <w:sz w:val="28"/>
          <w:szCs w:val="28"/>
        </w:rPr>
      </w:pPr>
      <w:r>
        <w:rPr>
          <w:rFonts w:ascii="Times New Roman" w:hAnsi="Times New Roman"/>
          <w:b/>
          <w:sz w:val="28"/>
          <w:szCs w:val="28"/>
        </w:rPr>
        <w:t>Просимо:</w:t>
      </w:r>
    </w:p>
    <w:p>
      <w:pPr>
        <w:pStyle w:val="ListParagraph"/>
        <w:numPr>
          <w:ilvl w:val="0"/>
          <w:numId w:val="5"/>
        </w:numPr>
        <w:spacing w:lineRule="auto" w:line="240" w:before="0" w:after="0"/>
        <w:ind w:left="0" w:right="0" w:firstLine="709"/>
        <w:contextualSpacing/>
        <w:jc w:val="both"/>
        <w:rPr>
          <w:rFonts w:ascii="Times New Roman" w:hAnsi="Times New Roman"/>
          <w:b/>
          <w:b/>
          <w:sz w:val="28"/>
          <w:szCs w:val="28"/>
        </w:rPr>
      </w:pPr>
      <w:r>
        <w:rPr>
          <w:rFonts w:ascii="Times New Roman" w:hAnsi="Times New Roman"/>
          <w:b/>
          <w:sz w:val="28"/>
          <w:szCs w:val="28"/>
        </w:rPr>
        <w:t>виключити інформацію про зазначені права власності з державного реєстру речових прав на нерухоме майно;</w:t>
      </w:r>
    </w:p>
    <w:p>
      <w:pPr>
        <w:pStyle w:val="ListParagraph"/>
        <w:numPr>
          <w:ilvl w:val="0"/>
          <w:numId w:val="5"/>
        </w:numPr>
        <w:spacing w:lineRule="auto" w:line="240" w:before="0" w:after="0"/>
        <w:ind w:left="0" w:right="0" w:firstLine="709"/>
        <w:contextualSpacing/>
        <w:jc w:val="both"/>
        <w:rPr>
          <w:rFonts w:ascii="Times New Roman" w:hAnsi="Times New Roman"/>
          <w:sz w:val="28"/>
          <w:szCs w:val="28"/>
        </w:rPr>
      </w:pPr>
      <w:r>
        <w:rPr>
          <w:rFonts w:ascii="Times New Roman" w:hAnsi="Times New Roman"/>
          <w:b/>
          <w:sz w:val="28"/>
          <w:szCs w:val="28"/>
        </w:rPr>
        <w:t>обмежити доступ державних реєстраторів Ященко В.О., Станкевич В.В., Чернюк О.О., Данилевич І.Є. до державного реєстру речових прав на нерухоме майно;</w:t>
      </w:r>
    </w:p>
    <w:p>
      <w:pPr>
        <w:pStyle w:val="ListParagraph"/>
        <w:numPr>
          <w:ilvl w:val="0"/>
          <w:numId w:val="5"/>
        </w:numPr>
        <w:spacing w:lineRule="auto" w:line="240" w:before="0" w:after="0"/>
        <w:ind w:left="0" w:right="0" w:firstLine="709"/>
        <w:contextualSpacing/>
        <w:jc w:val="both"/>
        <w:rPr>
          <w:rFonts w:ascii="Times New Roman" w:hAnsi="Times New Roman"/>
          <w:b/>
          <w:b/>
          <w:sz w:val="28"/>
          <w:szCs w:val="28"/>
        </w:rPr>
      </w:pPr>
      <w:r>
        <w:rPr>
          <w:rFonts w:ascii="Times New Roman" w:hAnsi="Times New Roman"/>
          <w:b/>
          <w:sz w:val="28"/>
          <w:szCs w:val="28"/>
        </w:rPr>
        <w:t>скасувати сертифікати інженерів з інвентаризації нерухомого майна Пазія Олександра Леонідовича, Ткачова М.Г., Волкова Ю.В.;</w:t>
      </w:r>
    </w:p>
    <w:p>
      <w:pPr>
        <w:pStyle w:val="ListParagraph"/>
        <w:numPr>
          <w:ilvl w:val="0"/>
          <w:numId w:val="5"/>
        </w:numPr>
        <w:spacing w:lineRule="auto" w:line="240" w:before="0" w:after="0"/>
        <w:ind w:left="0" w:right="0" w:firstLine="709"/>
        <w:contextualSpacing/>
        <w:jc w:val="both"/>
        <w:rPr>
          <w:rFonts w:ascii="Times New Roman" w:hAnsi="Times New Roman"/>
          <w:b/>
          <w:b/>
          <w:sz w:val="28"/>
          <w:szCs w:val="28"/>
        </w:rPr>
      </w:pPr>
      <w:r>
        <w:rPr>
          <w:rFonts w:ascii="Times New Roman" w:hAnsi="Times New Roman"/>
          <w:b/>
          <w:sz w:val="28"/>
          <w:szCs w:val="28"/>
        </w:rPr>
        <w:t>притягнути зазначених осіб до відповідальності.</w:t>
      </w:r>
    </w:p>
    <w:p>
      <w:pPr>
        <w:pStyle w:val="Normal"/>
        <w:spacing w:lineRule="auto" w:line="240" w:before="0" w:after="0"/>
        <w:ind w:firstLine="709"/>
        <w:jc w:val="both"/>
        <w:rPr>
          <w:rFonts w:ascii="Times New Roman" w:hAnsi="Times New Roman"/>
          <w:sz w:val="28"/>
          <w:szCs w:val="28"/>
        </w:rPr>
      </w:pPr>
      <w:r>
        <w:rPr>
          <w:rFonts w:ascii="Times New Roman" w:hAnsi="Times New Roman"/>
          <w:sz w:val="28"/>
          <w:szCs w:val="28"/>
        </w:rPr>
        <w:t xml:space="preserve">Просимо унеможливити в подальшому створення схем спрямованих на дублювання функцій якими наділені виключно </w:t>
      </w:r>
      <w:r>
        <w:rPr>
          <w:rFonts w:ascii="Times New Roman" w:hAnsi="Times New Roman"/>
          <w:sz w:val="28"/>
          <w:szCs w:val="28"/>
          <w:u w:val="single"/>
        </w:rPr>
        <w:t>державні</w:t>
      </w:r>
      <w:r>
        <w:rPr>
          <w:rFonts w:ascii="Times New Roman" w:hAnsi="Times New Roman"/>
          <w:sz w:val="28"/>
          <w:szCs w:val="28"/>
        </w:rPr>
        <w:t xml:space="preserve"> органи контролю у сфері містобудування.</w:t>
      </w:r>
    </w:p>
    <w:p>
      <w:pPr>
        <w:pStyle w:val="Normal"/>
        <w:spacing w:before="0" w:after="0"/>
        <w:ind w:firstLine="708"/>
        <w:jc w:val="both"/>
        <w:rPr>
          <w:rFonts w:ascii="Times New Roman" w:hAnsi="Times New Roman"/>
          <w:sz w:val="28"/>
          <w:szCs w:val="28"/>
        </w:rPr>
      </w:pPr>
      <w:r>
        <w:rPr>
          <w:rFonts w:ascii="Times New Roman" w:hAnsi="Times New Roman"/>
          <w:sz w:val="28"/>
          <w:szCs w:val="28"/>
        </w:rPr>
      </w:r>
    </w:p>
    <w:p>
      <w:pPr>
        <w:pStyle w:val="Normal"/>
        <w:spacing w:lineRule="auto" w:line="240" w:before="0" w:after="0"/>
        <w:jc w:val="both"/>
        <w:rPr>
          <w:rFonts w:ascii="Times New Roman" w:hAnsi="Times New Roman"/>
          <w:sz w:val="28"/>
          <w:szCs w:val="28"/>
        </w:rPr>
      </w:pPr>
      <w:r>
        <w:rPr>
          <w:rFonts w:ascii="Times New Roman" w:hAnsi="Times New Roman"/>
          <w:sz w:val="28"/>
          <w:szCs w:val="28"/>
        </w:rPr>
      </w:r>
    </w:p>
    <w:p>
      <w:pPr>
        <w:pStyle w:val="Normal"/>
        <w:spacing w:before="0" w:after="160"/>
        <w:jc w:val="both"/>
        <w:rPr/>
      </w:pPr>
      <w:r>
        <w:rPr>
          <w:rFonts w:ascii="Times New Roman" w:hAnsi="Times New Roman"/>
          <w:sz w:val="28"/>
          <w:szCs w:val="28"/>
        </w:rPr>
        <w:t>Секретар м</w:t>
      </w:r>
      <w:r>
        <w:rPr>
          <w:rFonts w:ascii="Times New Roman" w:hAnsi="Times New Roman"/>
          <w:sz w:val="28"/>
          <w:szCs w:val="28"/>
        </w:rPr>
        <w:t>іськ</w:t>
      </w:r>
      <w:r>
        <w:rPr>
          <w:rFonts w:ascii="Times New Roman" w:hAnsi="Times New Roman"/>
          <w:sz w:val="28"/>
          <w:szCs w:val="28"/>
        </w:rPr>
        <w:t>ої</w:t>
      </w:r>
      <w:r>
        <w:rPr>
          <w:rFonts w:ascii="Times New Roman" w:hAnsi="Times New Roman"/>
          <w:sz w:val="28"/>
          <w:szCs w:val="28"/>
        </w:rPr>
        <w:t xml:space="preserve"> </w:t>
      </w:r>
      <w:r>
        <w:rPr>
          <w:rFonts w:ascii="Times New Roman" w:hAnsi="Times New Roman"/>
          <w:sz w:val="28"/>
          <w:szCs w:val="28"/>
        </w:rPr>
        <w:t>ради</w:t>
      </w:r>
      <w:r>
        <w:rPr>
          <w:rFonts w:ascii="Times New Roman" w:hAnsi="Times New Roman"/>
          <w:sz w:val="28"/>
          <w:szCs w:val="28"/>
        </w:rPr>
        <w:t xml:space="preserve">                                                                  </w:t>
      </w:r>
      <w:r>
        <w:rPr>
          <w:rFonts w:ascii="Times New Roman" w:hAnsi="Times New Roman"/>
          <w:sz w:val="28"/>
          <w:szCs w:val="28"/>
        </w:rPr>
        <w:t>Юрій БЕЗПЯТКО</w:t>
      </w:r>
    </w:p>
    <w:sectPr>
      <w:type w:val="nextPage"/>
      <w:pgSz w:w="11906" w:h="16838"/>
      <w:pgMar w:left="1701" w:right="567"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ourier New">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decimal"/>
      <w:lvlText w:val="%1)"/>
      <w:lvlJc w:val="left"/>
      <w:pPr>
        <w:ind w:left="659"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bullet"/>
      <w:lvlText w:val=""/>
      <w:lvlJc w:val="left"/>
      <w:pPr>
        <w:ind w:left="1429" w:hanging="360"/>
      </w:pPr>
      <w:rPr>
        <w:rFonts w:ascii="Symbol" w:hAnsi="Symbol" w:cs="Symbol" w:hint="default"/>
        <w:sz w:val="28"/>
        <w:b/>
        <w:rFonts w:cs="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90"/>
  <w:defaultTabStop w:val="708"/>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a5499"/>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Style14" w:customStyle="1">
    <w:name w:val="Гіперпосилання"/>
    <w:basedOn w:val="DefaultParagraphFont"/>
    <w:uiPriority w:val="99"/>
    <w:unhideWhenUsed/>
    <w:rsid w:val="004a5499"/>
    <w:rPr>
      <w:color w:val="0000FF"/>
      <w:u w:val="single"/>
    </w:rPr>
  </w:style>
  <w:style w:type="character" w:styleId="HTML" w:customStyle="1">
    <w:name w:val="Стандартный HTML Знак"/>
    <w:basedOn w:val="DefaultParagraphFont"/>
    <w:link w:val="HTML"/>
    <w:uiPriority w:val="99"/>
    <w:qFormat/>
    <w:rsid w:val="004a5499"/>
    <w:rPr>
      <w:rFonts w:ascii="Courier New" w:hAnsi="Courier New" w:eastAsia="Times New Roman" w:cs="Courier New"/>
      <w:sz w:val="20"/>
      <w:szCs w:val="20"/>
      <w:lang w:eastAsia="uk-UA"/>
    </w:rPr>
  </w:style>
  <w:style w:type="character" w:styleId="Style15" w:customStyle="1">
    <w:name w:val="Текст выноски Знак"/>
    <w:basedOn w:val="DefaultParagraphFont"/>
    <w:uiPriority w:val="99"/>
    <w:semiHidden/>
    <w:qFormat/>
    <w:rsid w:val="004559b9"/>
    <w:rPr>
      <w:rFonts w:ascii="Segoe UI" w:hAnsi="Segoe UI" w:eastAsia="Calibri" w:cs="Segoe UI"/>
      <w:sz w:val="18"/>
      <w:szCs w:val="18"/>
    </w:rPr>
  </w:style>
  <w:style w:type="character" w:styleId="Rvts23" w:customStyle="1">
    <w:name w:val="rvts23"/>
    <w:basedOn w:val="DefaultParagraphFont"/>
    <w:qFormat/>
    <w:rsid w:val="00695c73"/>
    <w:rPr/>
  </w:style>
  <w:style w:type="character" w:styleId="Rvts64" w:customStyle="1">
    <w:name w:val="rvts64"/>
    <w:basedOn w:val="DefaultParagraphFont"/>
    <w:qFormat/>
    <w:rsid w:val="00695c73"/>
    <w:rPr/>
  </w:style>
  <w:style w:type="character" w:styleId="Rvts9" w:customStyle="1">
    <w:name w:val="rvts9"/>
    <w:basedOn w:val="DefaultParagraphFont"/>
    <w:qFormat/>
    <w:rsid w:val="00695c73"/>
    <w:rPr/>
  </w:style>
  <w:style w:type="paragraph" w:styleId="Style16" w:customStyle="1">
    <w:name w:val="Заголовок"/>
    <w:basedOn w:val="Normal"/>
    <w:next w:val="Style17"/>
    <w:qFormat/>
    <w:rsid w:val="004519dc"/>
    <w:pPr>
      <w:keepNext w:val="true"/>
      <w:spacing w:before="240" w:after="120"/>
    </w:pPr>
    <w:rPr>
      <w:rFonts w:ascii="Liberation Sans" w:hAnsi="Liberation Sans" w:eastAsia="Microsoft YaHei" w:cs="Arial"/>
      <w:sz w:val="28"/>
      <w:szCs w:val="28"/>
    </w:rPr>
  </w:style>
  <w:style w:type="paragraph" w:styleId="Style17">
    <w:name w:val="Body Text"/>
    <w:basedOn w:val="Normal"/>
    <w:rsid w:val="004519dc"/>
    <w:pPr>
      <w:spacing w:lineRule="auto" w:line="276" w:before="0" w:after="140"/>
    </w:pPr>
    <w:rPr/>
  </w:style>
  <w:style w:type="paragraph" w:styleId="Style18">
    <w:name w:val="List"/>
    <w:basedOn w:val="Style17"/>
    <w:rsid w:val="004519dc"/>
    <w:pPr/>
    <w:rPr>
      <w:rFonts w:cs="Arial"/>
    </w:rPr>
  </w:style>
  <w:style w:type="paragraph" w:styleId="Style19" w:customStyle="1">
    <w:name w:val="Caption"/>
    <w:basedOn w:val="Normal"/>
    <w:qFormat/>
    <w:rsid w:val="004519dc"/>
    <w:pPr>
      <w:suppressLineNumbers/>
      <w:spacing w:before="120" w:after="120"/>
    </w:pPr>
    <w:rPr>
      <w:rFonts w:cs="Arial"/>
      <w:i/>
      <w:iCs/>
      <w:sz w:val="24"/>
      <w:szCs w:val="24"/>
    </w:rPr>
  </w:style>
  <w:style w:type="paragraph" w:styleId="Style20" w:customStyle="1">
    <w:name w:val="Покажчик"/>
    <w:basedOn w:val="Normal"/>
    <w:qFormat/>
    <w:rsid w:val="004519dc"/>
    <w:pPr>
      <w:suppressLineNumbers/>
    </w:pPr>
    <w:rPr>
      <w:rFonts w:cs="Arial"/>
    </w:rPr>
  </w:style>
  <w:style w:type="paragraph" w:styleId="HTMLPreformatted">
    <w:name w:val="HTML Preformatted"/>
    <w:basedOn w:val="Normal"/>
    <w:uiPriority w:val="99"/>
    <w:unhideWhenUsed/>
    <w:qFormat/>
    <w:rsid w:val="004a5499"/>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uk-UA"/>
    </w:rPr>
  </w:style>
  <w:style w:type="paragraph" w:styleId="BalloonText">
    <w:name w:val="Balloon Text"/>
    <w:basedOn w:val="Normal"/>
    <w:uiPriority w:val="99"/>
    <w:semiHidden/>
    <w:unhideWhenUsed/>
    <w:qFormat/>
    <w:rsid w:val="004559b9"/>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276ada"/>
    <w:pPr>
      <w:spacing w:before="0" w:after="160"/>
      <w:ind w:left="720" w:hanging="0"/>
      <w:contextualSpacing/>
    </w:pPr>
    <w:rPr/>
  </w:style>
  <w:style w:type="paragraph" w:styleId="Rvps2" w:customStyle="1">
    <w:name w:val="rvps2"/>
    <w:basedOn w:val="Normal"/>
    <w:qFormat/>
    <w:rsid w:val="00695c73"/>
    <w:pPr>
      <w:spacing w:lineRule="auto" w:line="240" w:beforeAutospacing="1" w:afterAutospacing="1"/>
    </w:pPr>
    <w:rPr>
      <w:rFonts w:ascii="Times New Roman" w:hAnsi="Times New Roman" w:eastAsia="Times New Roman"/>
      <w:sz w:val="24"/>
      <w:szCs w:val="24"/>
      <w:lang w:eastAsia="uk-UA"/>
    </w:rPr>
  </w:style>
  <w:style w:type="paragraph" w:styleId="Rvps17" w:customStyle="1">
    <w:name w:val="rvps17"/>
    <w:basedOn w:val="Normal"/>
    <w:qFormat/>
    <w:rsid w:val="00695c73"/>
    <w:pPr>
      <w:spacing w:lineRule="auto" w:line="240" w:beforeAutospacing="1" w:afterAutospacing="1"/>
    </w:pPr>
    <w:rPr>
      <w:rFonts w:ascii="Times New Roman" w:hAnsi="Times New Roman" w:eastAsia="Times New Roman"/>
      <w:sz w:val="24"/>
      <w:szCs w:val="24"/>
      <w:lang w:eastAsia="uk-UA"/>
    </w:rPr>
  </w:style>
  <w:style w:type="paragraph" w:styleId="Rvps7" w:customStyle="1">
    <w:name w:val="rvps7"/>
    <w:basedOn w:val="Normal"/>
    <w:qFormat/>
    <w:rsid w:val="00695c73"/>
    <w:pPr>
      <w:spacing w:lineRule="auto" w:line="240" w:beforeAutospacing="1" w:afterAutospacing="1"/>
    </w:pPr>
    <w:rPr>
      <w:rFonts w:ascii="Times New Roman" w:hAnsi="Times New Roman" w:eastAsia="Times New Roman"/>
      <w:sz w:val="24"/>
      <w:szCs w:val="24"/>
      <w:lang w:eastAsia="uk-UA"/>
    </w:rPr>
  </w:style>
  <w:style w:type="paragraph" w:styleId="Rvps6" w:customStyle="1">
    <w:name w:val="rvps6"/>
    <w:basedOn w:val="Normal"/>
    <w:qFormat/>
    <w:rsid w:val="00695c73"/>
    <w:pPr>
      <w:spacing w:lineRule="auto" w:line="240" w:beforeAutospacing="1" w:afterAutospacing="1"/>
    </w:pPr>
    <w:rPr>
      <w:rFonts w:ascii="Times New Roman" w:hAnsi="Times New Roman" w:eastAsia="Times New Roman"/>
      <w:sz w:val="24"/>
      <w:szCs w:val="24"/>
      <w:lang w:eastAsia="uk-UA"/>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Application>LibreOffice/6.3.3.2$Windows_X86_64 LibreOffice_project/a64200df03143b798afd1ec74a12ab50359878ed</Application>
  <Pages>4</Pages>
  <Words>1095</Words>
  <Characters>7530</Characters>
  <CharactersWithSpaces>8677</CharactersWithSpaces>
  <Paragraphs>68</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2020-08-10T11:17:00Z</dcterms:created>
  <dc:creator>RePack by Diakov</dc:creator>
  <dc:description/>
  <dc:language>uk-UA</dc:language>
  <cp:lastModifiedBy/>
  <cp:lastPrinted>2020-08-13T09:22:00Z</cp:lastPrinted>
  <dcterms:modified xsi:type="dcterms:W3CDTF">2021-03-03T11:59:49Z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