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960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zh-CN"/>
        </w:rPr>
        <w:t xml:space="preserve"> </w:t>
      </w:r>
      <w:r>
        <w:rPr>
          <w:rFonts w:eastAsia="Times New Roman" w:cs="Times New Roman" w:ascii="Times New Roman" w:hAnsi="Times New Roman"/>
          <w:bCs/>
          <w:sz w:val="24"/>
          <w:szCs w:val="24"/>
          <w:lang w:val="uk-UA" w:eastAsia="zh-CN"/>
        </w:rPr>
        <w:t xml:space="preserve">                </w:t>
      </w:r>
      <w:r>
        <w:rPr>
          <w:rFonts w:eastAsia="Times New Roman" w:cs="Times New Roman" w:ascii="Times New Roman" w:hAnsi="Times New Roman"/>
          <w:bCs/>
          <w:sz w:val="26"/>
          <w:szCs w:val="26"/>
          <w:lang w:val="uk-UA" w:eastAsia="zh-CN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zh-CN"/>
        </w:rPr>
        <w:t>Додаток 2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val="uk-UA" w:eastAsia="zh-CN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zh-CN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zh-CN"/>
        </w:rPr>
        <w:t>до Програми</w:t>
      </w:r>
    </w:p>
    <w:p>
      <w:pPr>
        <w:pStyle w:val="Normal"/>
        <w:spacing w:lineRule="auto" w:line="240" w:before="0" w:after="0"/>
        <w:ind w:left="180" w:hanging="0"/>
        <w:jc w:val="both"/>
        <w:rPr>
          <w:rFonts w:ascii="Times New Roman" w:hAnsi="Times New Roman" w:eastAsia="Times New Roman" w:cs="Times New Roman"/>
          <w:bCs/>
          <w:sz w:val="24"/>
          <w:szCs w:val="24"/>
          <w:lang w:val="uk-UA" w:eastAsia="zh-CN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zh-CN"/>
        </w:rPr>
        <w:t xml:space="preserve">  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zh-CN"/>
        </w:rPr>
        <w:t xml:space="preserve">                 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zh-CN"/>
        </w:rPr>
        <w:t>Напрями діяльності, завдання та заходи  Програми з благоустрою  Луцької міської територіальної громади</w:t>
      </w:r>
    </w:p>
    <w:p>
      <w:pPr>
        <w:pStyle w:val="Normal"/>
        <w:spacing w:lineRule="auto" w:line="240" w:before="0" w:after="0"/>
        <w:ind w:left="180" w:hanging="0"/>
        <w:jc w:val="center"/>
        <w:rPr>
          <w:rFonts w:ascii="Times New Roman" w:hAnsi="Times New Roman" w:eastAsia="Times New Roman" w:cs="Times New Roman"/>
          <w:bCs/>
          <w:sz w:val="24"/>
          <w:szCs w:val="24"/>
          <w:lang w:val="uk-UA" w:eastAsia="zh-CN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zh-CN"/>
        </w:rPr>
        <w:t>на 2018-2023</w:t>
      </w:r>
      <w:bookmarkStart w:id="0" w:name="_GoBack"/>
      <w:bookmarkEnd w:id="0"/>
      <w:r>
        <w:rPr>
          <w:rFonts w:eastAsia="Times New Roman" w:cs="Times New Roman" w:ascii="Times New Roman" w:hAnsi="Times New Roman"/>
          <w:bCs/>
          <w:sz w:val="28"/>
          <w:szCs w:val="28"/>
          <w:lang w:val="uk-UA" w:eastAsia="zh-CN"/>
        </w:rPr>
        <w:t xml:space="preserve"> роки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Cs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eastAsia="zh-CN"/>
        </w:rPr>
      </w:r>
    </w:p>
    <w:tbl>
      <w:tblPr>
        <w:tblW w:w="15451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34"/>
        <w:gridCol w:w="2723"/>
        <w:gridCol w:w="3814"/>
        <w:gridCol w:w="1417"/>
        <w:gridCol w:w="1701"/>
        <w:gridCol w:w="1867"/>
        <w:gridCol w:w="1553"/>
        <w:gridCol w:w="1840"/>
      </w:tblGrid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з/п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Напрям діяльності (пріоритетні завдання)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Перелік заходів Програми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Строк виконання заходу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(роки)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Виконавці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Джерела фінансування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44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Орієнтовні обсяги фінансу-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 xml:space="preserve">вання (вартість) 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тис. грн.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Очікуваний результат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5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8</w:t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Послуги в галузі озеленення територій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Роботи з належної експлуатації зелених насаджень: посадка квітів, дерев, кущів, косіння газонів, стрижка  живоплоту, посів газонів, формувальна обрізка гілля дерев, видалення порослі,  чагарників, зрізування дерев, корчування пеньків, тощо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найняті за угодою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12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 000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15 600,00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20 780,00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34 000,00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38 000,00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покращення естетики міського середовища, психо-емоційного стану лучан і гостей міста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272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Послуги з утримання кладовищ та об’єктів меморіальної слави, чергування катафалка, поховання одиноких громадян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 xml:space="preserve">Утримання кладовищ: охорона, освітлення, прибирання територій, косіння трави, догляд за безрідними могилами, очищення доріжок від снігу та посипання доріжок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3 900,00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5 070,00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7 000,00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8 000,00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належне утримання кладовищ та меморіальних комплексів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Цілодобове чергування катафалка: забезпечення вивезення померлих, виявлених на території Луцької міської територіальної громади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433,20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600,00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732,11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7 000,00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7 500,00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вирішення питань у поховальній справі</w:t>
            </w:r>
          </w:p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Поховання одиноких  громадян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70,00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84,50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120,00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дотримання принципів моралі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Видалення сухостійних дерев на кладовищах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260,00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338,00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220,00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безпека експлуатації кладовищ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272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Послуги з утримання фонтанів, насосної станції та Вічного вогню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-утримання фонтанів та насосної станції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</w:r>
          </w:p>
        </w:tc>
        <w:tc>
          <w:tcPr>
            <w:tcW w:w="18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303,70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394,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  <w:t>81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  <w:t>850,00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1250,00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1450,00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Покращення комфортності територій міста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-придбання води для фонтанів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  <w:t>2022</w:t>
            </w:r>
          </w:p>
        </w:tc>
        <w:tc>
          <w:tcPr>
            <w:tcW w:w="1701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867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250,00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325,00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422,50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320,00</w:t>
            </w:r>
          </w:p>
        </w:tc>
        <w:tc>
          <w:tcPr>
            <w:tcW w:w="184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-придбання електроенергії для фонтанів та насосної станції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867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250,00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325,00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422,50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450,00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480,00</w:t>
            </w:r>
          </w:p>
        </w:tc>
        <w:tc>
          <w:tcPr>
            <w:tcW w:w="184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-придбання газу для Вічного вогню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86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1,30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320,00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84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Оренда землі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 xml:space="preserve">Оренда землі для комунальних потреб міста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2 600,00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3 380,00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2 000,00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272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Послуги із санітарного утримання міста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Ліквідація стихійних сміттєзвалищ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</w:r>
          </w:p>
        </w:tc>
        <w:tc>
          <w:tcPr>
            <w:tcW w:w="18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1 500,00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1 950,00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2 535,00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3 300,00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3 600,00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Санітарне прибирання міста (дороги, тротуари, газони)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867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17 000,00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22 100,00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28 730,00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30 000,00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32 000,00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Лабораторне дослідження води, ґрунту пляжних територій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867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80,00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260,00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110,00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Вивезення безгосподарських твердих побутових відходів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867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1 500,00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1 950,00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2 535,00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8 000,00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9 000,00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Відлов бродячих тварин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867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198,00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Придбання контейнерів для збору побутових відходів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86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870,00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1 131,00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1 470,30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4 160,00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4 500,00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Ремонтно-будівельні роботи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 xml:space="preserve">Проведення   обстежень, експертної оцінки,   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-виготовлення проєктної та кошторисної документації з подальшим здійсненням ремонтних та будівельних робіт на об’єктах благоустрою міста;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-поточний ремонт об’єктів та елементів благоустрою (підпірні стінки, сходи, монументальні споруди, пам’ятники, лавки, пляжне обладнання, туристичне ознакування, тощо);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-капітальний ремонт об’єктів та елементів благоустрою (споруди інженерного захисту територій, сходи, контейнерні майданчики, місточки через річки, покриття газонів на вулицях міста, тощо);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-реконструкція  об’єктів благоустрою (Алея почесних поховань, місця поховань (кладовища),пляжі, тощо)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-нове будівництво об’єктів благоустрою.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найняті за угодою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650,00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1 430,00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1 859,00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2 416,70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3 500,00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3 700,00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17 250,00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25 000,00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22 000,00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1 000,00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3 000,00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4 500,00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4 800,00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1 500,00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5 600,00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Покращення комфортності проживання</w:t>
            </w:r>
          </w:p>
        </w:tc>
      </w:tr>
      <w:tr>
        <w:trPr>
          <w:trHeight w:val="416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Модернізація фонтанів міста та насосної станції на  дамбі р. Стир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Модернізація обладнання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zh-CN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1 300,00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покращення комфортності </w:t>
            </w:r>
          </w:p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проживання</w:t>
            </w:r>
          </w:p>
        </w:tc>
      </w:tr>
      <w:tr>
        <w:trPr>
          <w:trHeight w:val="1471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8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Інвентаризація та паспортизація  матеріальних і нематеріальних активів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Інвентаризація та паспортизація матеріальних і нематеріальних активів (об’єкти благоустрою, елементи благоустрою міста)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1 000,00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1 100,00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дотримання вимог чинного законодавства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9</w:t>
            </w:r>
          </w:p>
        </w:tc>
        <w:tc>
          <w:tcPr>
            <w:tcW w:w="272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Придбання малих архітектурних форм/споруд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Придбання малих архітектурних форм/споруд (лавки, смітники, квіткові вази, стенди, туристичні вказівники, навіси на контейнерні майданчики, тощо)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600,00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1 200,00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3 000,00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3 200,00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покращення комфортності 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проживання населення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Придбання дитячого ігрового обладнання в замін зношеного та експлуатаційно-непридатного на території міста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600,00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1 200,00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1 500,00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2 000,00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2 200,00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покращення комфортності 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проживання населення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Придбання меморіальних дощок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100,00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150,00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увічнення пам’яті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</w:tr>
      <w:tr>
        <w:trPr>
          <w:trHeight w:val="274" w:hRule="atLeast"/>
        </w:trPr>
        <w:tc>
          <w:tcPr>
            <w:tcW w:w="53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Придбання аншлагів на перейменовані вулиці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50,00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75,00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Покращення стану адресного господарства</w:t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10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Відведення дощових і талих вод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Відведення дощових і талих вод з території міста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1 600,00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2 080,00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3 704,00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4</w:t>
            </w: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500,00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5</w:t>
            </w: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забезпечення санітарних 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вимог</w:t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11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Утримання рекреаційних територій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Забезпечення належної експлуатаційної придатності об’єктів рекреаційного призначення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left="35" w:right="-108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3 900,00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5 070,00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6 500,00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6 900,00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забезпечення санітарних 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вимог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12</w:t>
            </w:r>
          </w:p>
        </w:tc>
        <w:tc>
          <w:tcPr>
            <w:tcW w:w="27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Святкові оформлення міста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Оформлення новорічних ялинок, місць проведення новорічних та різдвяних заходів, святкове оформлення міста до Дня Незалежності та Дня міста, тощо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248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Луцької </w:t>
            </w:r>
          </w:p>
          <w:p>
            <w:pPr>
              <w:pStyle w:val="NoSpacing"/>
              <w:widowControl w:val="false"/>
              <w:ind w:right="-248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600,00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780,00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1 014,00  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600,00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640,00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культурних потреб лучан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27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Придбання новорічно-різдвяної та святкової атрибутики, тощо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8" w:hanging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департамент </w:t>
            </w: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житлово-комунального господарства</w:t>
            </w:r>
          </w:p>
          <w:p>
            <w:pPr>
              <w:pStyle w:val="NoSpacing"/>
              <w:widowControl w:val="false"/>
              <w:ind w:right="-115" w:hanging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13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520,00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560,00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культурних потреб лучан</w:t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13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Інші  видатки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Видатки з прибирання водоохоронних зон та прибережних смуг, виготовлення меморіальних дощок та інше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8" w:hanging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13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520,00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2 200,00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2 400,00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вимог чинного законодавства</w:t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14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Зимове утримання вулиць, доріг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Очищення проїзної частини та тротуарів від снігового покрову та льоду, їх обробка протиожеледними матеріалами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6 000,00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6 400,00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належне утримання вулиць та доріг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15</w:t>
            </w:r>
          </w:p>
        </w:tc>
        <w:tc>
          <w:tcPr>
            <w:tcW w:w="27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Мережа зливової каналізації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Обслуговування мережі: періодичне очищення оглядових колодязів мережі, промивка труб, заміна решіток водоприймачів, забезпечення належного технічного стану та поточний ремонт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4 500,00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4 800,00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належне утримання вулиць та доріг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27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Будівництво нової, реконструкція і капітальний ремонт існуючої мережі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13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-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10 000,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10 600,00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належне утримання вулиць та доріг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restart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16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723" w:type="dxa"/>
            <w:vMerge w:val="restart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Поводження з побутовими відходами  (ТПВ)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Захоронення твердих побутових відходів (пересипка та обваловка полігону ТПВ в 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с. Брище Луцького району)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13" w:hanging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1 560,00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1 700,00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Реконструкція полігону ТПВ, с.  Брище  Луцького району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1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10 000,00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10 600,00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Реконструкція старої частини полігону для збору ТПВ в 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c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. Брище (з рекультивацією земельного покрову)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1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50 000,00</w:t>
            </w:r>
          </w:p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50 000,00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50 000,00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Реконструкція полігону ТПВ з розширенням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en-US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13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  <w:p>
            <w:pPr>
              <w:pStyle w:val="NoSpacing"/>
              <w:widowControl w:val="false"/>
              <w:ind w:right="-11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40 000,00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40 000,00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 xml:space="preserve">Будівництво підземних  контейнерних майданчиків закритого типу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left="-107" w:hanging="27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zh-CN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ind w:left="-107" w:hanging="27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en-US" w:eastAsia="zh-CN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ind w:left="-107" w:hanging="277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13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1 000,00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1 100,00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санітарних вимог</w:t>
            </w:r>
          </w:p>
        </w:tc>
      </w:tr>
      <w:tr>
        <w:trPr>
          <w:trHeight w:val="770" w:hRule="atLeast"/>
        </w:trPr>
        <w:tc>
          <w:tcPr>
            <w:tcW w:w="53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en-US" w:eastAsia="zh-CN"/>
              </w:rPr>
            </w:r>
          </w:p>
        </w:tc>
        <w:tc>
          <w:tcPr>
            <w:tcW w:w="272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 xml:space="preserve">Утримання сміттєсортувальної лінії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які перемогли в торгах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6 900,00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7 300,00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en-US" w:eastAsia="zh-CN"/>
              </w:rPr>
              <w:t>17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 xml:space="preserve">Санітарне утримання об’єктів 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Санітарне утримання об’єктів (мобільні кабіни)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Утилізація шин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en-US" w:eastAsia="zh-C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які перемогли в торгах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285,00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270,00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left="-11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</w:t>
            </w:r>
          </w:p>
          <w:p>
            <w:pPr>
              <w:pStyle w:val="NoSpacing"/>
              <w:widowControl w:val="false"/>
              <w:ind w:left="-110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санітарних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вимог</w:t>
            </w:r>
          </w:p>
        </w:tc>
      </w:tr>
      <w:tr>
        <w:trPr>
          <w:trHeight w:val="3172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18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Розрахунок фінансової підтримки комунальних підприємств, які припиняють діяльність у березні-червні  2021 р. по ДЖКГ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Видатки на заробітну плату КП «Господарник с.Жидичин»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Видатки на заробітну плату КП «Забороль»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Видатки на заробітну плату виробниче управління ЖКГ с.Княгининок Луцького району Волинської області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Видатки на заробітну плату КП «Рокині»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1029,156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left="-11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вимог чинного законодавства</w:t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19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Послуги з поліпшення благоустрою міста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Виконання робіт по влаштуванні розумних зупинок в місті Луцьку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які перемогли в торгах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3000,00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left="-11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вимог чинного законодавства</w:t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20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Оплата послуг інших організацій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Експертиза інженерних мереж водогону приєднаних громад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45,00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left="-11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вимог чинного законодавства</w:t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21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Утримання водних об'єктів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 xml:space="preserve">Очищення меліоративних каналів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 w:eastAsia="zh-CN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особи, які перемогли в торгах</w:t>
            </w:r>
          </w:p>
          <w:p>
            <w:pPr>
              <w:pStyle w:val="NoSpacing"/>
              <w:widowControl w:val="false"/>
              <w:ind w:right="-10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особи,  найняті за угодою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1000,000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left="-11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вимог чинного законодавства</w:t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22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Разом по роках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Заходи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2018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2019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2022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8" w:hanging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департамент </w:t>
            </w: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житлово-комунального господарства</w:t>
            </w:r>
          </w:p>
          <w:p>
            <w:pPr>
              <w:pStyle w:val="NoSpacing"/>
              <w:widowControl w:val="false"/>
              <w:ind w:right="-115" w:hanging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бюджет</w:t>
            </w:r>
          </w:p>
          <w:p>
            <w:pPr>
              <w:pStyle w:val="NoSpacing"/>
              <w:widowControl w:val="false"/>
              <w:ind w:right="-113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Луцької міської територіальної громади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51 005,90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84 496,11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120 419,61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287 945,159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298 945,00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50000,00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забезпечення вимог чинного законодавства</w:t>
            </w:r>
          </w:p>
        </w:tc>
      </w:tr>
      <w:tr>
        <w:trPr>
          <w:trHeight w:val="770" w:hRule="atLeast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23</w:t>
            </w:r>
          </w:p>
        </w:tc>
        <w:tc>
          <w:tcPr>
            <w:tcW w:w="11522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val="uk-UA" w:eastAsia="zh-CN"/>
              </w:rPr>
              <w:t>Всього за Програмою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  <w:t>892811,779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ind w:right="-104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 w:eastAsia="zh-CN"/>
              </w:rPr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bCs/>
          <w:sz w:val="24"/>
          <w:szCs w:val="24"/>
          <w:lang w:val="uk-UA" w:eastAsia="zh-CN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val="uk-UA" w:eastAsia="zh-CN"/>
        </w:rPr>
      </w:r>
    </w:p>
    <w:p>
      <w:pPr>
        <w:pStyle w:val="Normal"/>
        <w:rPr>
          <w:rFonts w:ascii="Times New Roman" w:hAnsi="Times New Roman" w:eastAsia="Times New Roman" w:cs="Times New Roman"/>
          <w:bCs/>
          <w:sz w:val="24"/>
          <w:szCs w:val="24"/>
          <w:lang w:val="uk-UA" w:eastAsia="zh-CN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val="uk-UA" w:eastAsia="zh-CN"/>
        </w:rPr>
      </w:r>
    </w:p>
    <w:p>
      <w:pPr>
        <w:pStyle w:val="Normal"/>
        <w:spacing w:before="0" w:after="200"/>
        <w:rPr>
          <w:rFonts w:ascii="Times New Roman" w:hAnsi="Times New Roman" w:eastAsia="Times New Roman" w:cs="Times New Roman"/>
          <w:bCs/>
          <w:sz w:val="24"/>
          <w:szCs w:val="24"/>
          <w:lang w:val="uk-UA" w:eastAsia="zh-CN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lang w:val="uk-UA" w:eastAsia="zh-CN"/>
        </w:rPr>
        <w:t xml:space="preserve">         </w:t>
      </w:r>
      <w:r>
        <w:rPr>
          <w:rFonts w:eastAsia="Times New Roman" w:cs="Times New Roman" w:ascii="Times New Roman" w:hAnsi="Times New Roman"/>
          <w:bCs/>
          <w:sz w:val="26"/>
          <w:szCs w:val="26"/>
          <w:lang w:val="uk-UA" w:eastAsia="zh-CN"/>
        </w:rPr>
        <w:t>Микола Осіюк 773 150</w:t>
      </w:r>
    </w:p>
    <w:sectPr>
      <w:type w:val="nextPage"/>
      <w:pgSz w:orient="landscape" w:w="16838" w:h="11906"/>
      <w:pgMar w:left="539" w:right="536" w:header="0" w:top="1258" w:footer="0" w:bottom="426" w:gutter="0"/>
      <w:pgNumType w:start="2"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HTML Preformatted" w:uiPriority="0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b7a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df4b20"/>
    <w:rPr>
      <w:rFonts w:ascii="Segoe UI" w:hAnsi="Segoe UI" w:cs="Segoe UI"/>
      <w:sz w:val="18"/>
      <w:szCs w:val="18"/>
    </w:rPr>
  </w:style>
  <w:style w:type="character" w:styleId="HTML" w:customStyle="1">
    <w:name w:val="Стандартний HTML Знак"/>
    <w:basedOn w:val="DefaultParagraphFont"/>
    <w:link w:val="HTML"/>
    <w:semiHidden/>
    <w:qFormat/>
    <w:rsid w:val="00960e8a"/>
    <w:rPr>
      <w:rFonts w:ascii="Courier New" w:hAnsi="Courier New" w:eastAsia="Times New Roman" w:cs="Courier New"/>
      <w:sz w:val="20"/>
      <w:szCs w:val="20"/>
    </w:rPr>
  </w:style>
  <w:style w:type="paragraph" w:styleId="Style15" w:customStyle="1">
    <w:name w:val="Заголовок"/>
    <w:basedOn w:val="Normal"/>
    <w:next w:val="Style16"/>
    <w:qFormat/>
    <w:rsid w:val="00021fc1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rsid w:val="00021fc1"/>
    <w:pPr>
      <w:spacing w:before="0" w:after="140"/>
    </w:pPr>
    <w:rPr/>
  </w:style>
  <w:style w:type="paragraph" w:styleId="Style17">
    <w:name w:val="List"/>
    <w:basedOn w:val="Style16"/>
    <w:rsid w:val="00021fc1"/>
    <w:pPr/>
    <w:rPr>
      <w:rFonts w:cs="Arial"/>
    </w:rPr>
  </w:style>
  <w:style w:type="paragraph" w:styleId="Style18" w:customStyle="1">
    <w:name w:val="Caption"/>
    <w:basedOn w:val="Normal"/>
    <w:qFormat/>
    <w:rsid w:val="00021fc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rsid w:val="00021fc1"/>
    <w:pPr>
      <w:suppressLineNumbers/>
    </w:pPr>
    <w:rPr>
      <w:rFonts w:cs="Arial"/>
    </w:rPr>
  </w:style>
  <w:style w:type="paragraph" w:styleId="Indexheading">
    <w:name w:val="index heading"/>
    <w:basedOn w:val="Normal"/>
    <w:qFormat/>
    <w:rsid w:val="000c3681"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7b35ce"/>
    <w:pPr>
      <w:widowControl/>
      <w:suppressAutoHyphens w:val="true"/>
      <w:bidi w:val="0"/>
      <w:spacing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df4b2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semiHidden/>
    <w:unhideWhenUsed/>
    <w:qFormat/>
    <w:rsid w:val="00960e8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paragraph" w:styleId="Style20" w:customStyle="1">
    <w:name w:val="Содержимое таблицы"/>
    <w:basedOn w:val="Normal"/>
    <w:qFormat/>
    <w:rsid w:val="000c3681"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bb0078"/>
    <w:rPr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51BBE-05FD-4088-B869-7C96FD055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3298</TotalTime>
  <Application>LibreOffice/6.4.0.3$Windows_X86_64 LibreOffice_project/b0a288ab3d2d4774cb44b62f04d5d28733ac6df8</Application>
  <Pages>10</Pages>
  <Words>1612</Words>
  <Characters>10085</Characters>
  <CharactersWithSpaces>11516</CharactersWithSpaces>
  <Paragraphs>680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2020-09-17T08:56:00Z</dcterms:created>
  <dc:creator>liuft</dc:creator>
  <dc:description/>
  <dc:language>uk-UA</dc:language>
  <cp:lastModifiedBy/>
  <cp:lastPrinted>2020-12-17T06:51:00Z</cp:lastPrinted>
  <dcterms:modified xsi:type="dcterms:W3CDTF">2021-05-20T12:35:27Z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