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0481" w14:textId="77777777" w:rsidR="002769D7" w:rsidRDefault="00E2226C" w:rsidP="000E26B5">
      <w:pPr>
        <w:pStyle w:val="a4"/>
        <w:tabs>
          <w:tab w:val="left" w:pos="482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Додаток 1</w:t>
      </w:r>
    </w:p>
    <w:p w14:paraId="31E89D02" w14:textId="77777777" w:rsidR="002769D7" w:rsidRDefault="00E2226C" w:rsidP="000E26B5">
      <w:pPr>
        <w:pStyle w:val="a4"/>
        <w:tabs>
          <w:tab w:val="left" w:pos="482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до розпорядження міського голови</w:t>
      </w:r>
    </w:p>
    <w:p w14:paraId="43DC2EE4" w14:textId="77777777" w:rsidR="002769D7" w:rsidRDefault="000E26B5" w:rsidP="000E26B5">
      <w:pPr>
        <w:pStyle w:val="a4"/>
        <w:tabs>
          <w:tab w:val="left" w:pos="482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_________________</w:t>
      </w:r>
      <w:r w:rsidR="00E2226C">
        <w:rPr>
          <w:rFonts w:ascii="Times New Roman" w:hAnsi="Times New Roman"/>
          <w:color w:val="000000"/>
          <w:sz w:val="28"/>
          <w:szCs w:val="28"/>
        </w:rPr>
        <w:t xml:space="preserve"> №__________</w:t>
      </w:r>
    </w:p>
    <w:p w14:paraId="70FFC082" w14:textId="77777777" w:rsidR="004D1F86" w:rsidRDefault="004D1F86" w:rsidP="006139B2">
      <w:pPr>
        <w:pStyle w:val="a4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E8939B5" w14:textId="77777777" w:rsidR="002769D7" w:rsidRDefault="00E2226C">
      <w:pPr>
        <w:pStyle w:val="a4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Концепція</w:t>
      </w:r>
    </w:p>
    <w:p w14:paraId="11779F9C" w14:textId="77777777" w:rsidR="004D1F86" w:rsidRDefault="00E2226C">
      <w:pPr>
        <w:pStyle w:val="a4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розвитку цифрової грамотності жителів Луцької міської </w:t>
      </w:r>
    </w:p>
    <w:p w14:paraId="3532E8C2" w14:textId="77777777" w:rsidR="002769D7" w:rsidRDefault="00E2226C">
      <w:pPr>
        <w:pStyle w:val="a4"/>
        <w:spacing w:after="0"/>
        <w:jc w:val="center"/>
      </w:pPr>
      <w:r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</w:p>
    <w:p w14:paraId="7D182015" w14:textId="77777777" w:rsidR="002769D7" w:rsidRPr="00876D75" w:rsidRDefault="002769D7" w:rsidP="004D1F86">
      <w:pPr>
        <w:pStyle w:val="a4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193BC05" w14:textId="77777777" w:rsidR="002769D7" w:rsidRPr="00876D75" w:rsidRDefault="00E2226C" w:rsidP="000E26B5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6D75">
        <w:rPr>
          <w:rFonts w:ascii="Times New Roman" w:hAnsi="Times New Roman"/>
          <w:sz w:val="28"/>
          <w:szCs w:val="28"/>
        </w:rPr>
        <w:t>1. Загальні положення</w:t>
      </w:r>
    </w:p>
    <w:p w14:paraId="3BA0BEFE" w14:textId="77777777" w:rsidR="002769D7" w:rsidRPr="00876D75" w:rsidRDefault="00E2226C" w:rsidP="000E26B5">
      <w:pPr>
        <w:pStyle w:val="a4"/>
        <w:spacing w:after="0" w:line="240" w:lineRule="auto"/>
        <w:ind w:firstLine="567"/>
        <w:jc w:val="both"/>
      </w:pPr>
      <w:r w:rsidRPr="00876D75">
        <w:rPr>
          <w:rFonts w:ascii="Times New Roman" w:hAnsi="Times New Roman"/>
          <w:sz w:val="28"/>
          <w:szCs w:val="28"/>
        </w:rPr>
        <w:t xml:space="preserve">Концепція розвитку цифрової грамотності жителів Луцької міської територіальної громади (далі </w:t>
      </w:r>
      <w:r w:rsidR="000E26B5" w:rsidRPr="00876D75">
        <w:rPr>
          <w:rFonts w:ascii="Times New Roman" w:hAnsi="Times New Roman"/>
          <w:sz w:val="28"/>
          <w:szCs w:val="28"/>
        </w:rPr>
        <w:t>–</w:t>
      </w:r>
      <w:r w:rsidRPr="00876D75">
        <w:rPr>
          <w:rFonts w:ascii="Times New Roman" w:hAnsi="Times New Roman"/>
          <w:sz w:val="28"/>
          <w:szCs w:val="28"/>
        </w:rPr>
        <w:t xml:space="preserve"> Концепція) передбачає здійснення заходів щодо розвитку цифрової грамотності жителів Луцької міської територіальної громади, впровадження відповідних стимулів для </w:t>
      </w:r>
      <w:proofErr w:type="spellStart"/>
      <w:r w:rsidRPr="00876D75">
        <w:rPr>
          <w:rFonts w:ascii="Times New Roman" w:hAnsi="Times New Roman"/>
          <w:sz w:val="28"/>
          <w:szCs w:val="28"/>
        </w:rPr>
        <w:t>цифровізації</w:t>
      </w:r>
      <w:proofErr w:type="spellEnd"/>
      <w:r w:rsidRPr="00876D75">
        <w:rPr>
          <w:rFonts w:ascii="Times New Roman" w:hAnsi="Times New Roman"/>
          <w:sz w:val="28"/>
          <w:szCs w:val="28"/>
        </w:rPr>
        <w:t xml:space="preserve"> суспільної сфери, усвідомлення наявних викликів, набуття мешканцями громади цифрових компетенцій, стимулювання використання та споживання цифрових технологій.</w:t>
      </w:r>
    </w:p>
    <w:p w14:paraId="20CBF270" w14:textId="5DAAC38C" w:rsidR="002769D7" w:rsidRDefault="00E2226C" w:rsidP="000E26B5">
      <w:pPr>
        <w:pStyle w:val="a4"/>
        <w:spacing w:after="0" w:line="240" w:lineRule="auto"/>
        <w:ind w:firstLine="567"/>
        <w:jc w:val="both"/>
      </w:pPr>
      <w:r w:rsidRPr="00876D75">
        <w:rPr>
          <w:rFonts w:ascii="Times New Roman" w:hAnsi="Times New Roman"/>
          <w:sz w:val="28"/>
          <w:szCs w:val="28"/>
        </w:rPr>
        <w:t>Розвиток цифрової грамотності жителів Луцької міської територіальної громад</w:t>
      </w:r>
      <w:r w:rsidR="00BB6ACF">
        <w:rPr>
          <w:rFonts w:ascii="Times New Roman" w:hAnsi="Times New Roman"/>
          <w:sz w:val="28"/>
          <w:szCs w:val="28"/>
        </w:rPr>
        <w:t>и</w:t>
      </w:r>
      <w:r w:rsidRPr="00876D75">
        <w:rPr>
          <w:rFonts w:ascii="Times New Roman" w:hAnsi="Times New Roman"/>
          <w:sz w:val="28"/>
          <w:szCs w:val="28"/>
        </w:rPr>
        <w:t xml:space="preserve"> полягає у впроваджені конкретних рішень, стимулів, мотивацій для збільшення попиту та формуванн</w:t>
      </w:r>
      <w:r w:rsidR="00876D75" w:rsidRPr="00876D75">
        <w:rPr>
          <w:rFonts w:ascii="Times New Roman" w:hAnsi="Times New Roman"/>
          <w:sz w:val="28"/>
          <w:szCs w:val="28"/>
        </w:rPr>
        <w:t>я</w:t>
      </w:r>
      <w:r w:rsidRPr="000E26B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потреб громадян щодо використання цифрових технологій, продуктів та послуг у всіх сферах життєдіяльності.</w:t>
      </w:r>
    </w:p>
    <w:p w14:paraId="4B207633" w14:textId="77777777" w:rsidR="002769D7" w:rsidRPr="00876D75" w:rsidRDefault="004D1F86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Концепція спрямована на</w:t>
      </w:r>
      <w:r w:rsidR="00E2226C" w:rsidRPr="00876D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популяризацію та заохочення</w:t>
      </w:r>
      <w:r w:rsidR="00E2226C">
        <w:rPr>
          <w:rFonts w:ascii="Times New Roman" w:hAnsi="Times New Roman"/>
          <w:color w:val="000000"/>
          <w:sz w:val="28"/>
          <w:szCs w:val="28"/>
        </w:rPr>
        <w:t xml:space="preserve"> громадян споживати та використовувати інформаційно-комунікаційні та цифрові технології, </w:t>
      </w:r>
      <w:r w:rsidR="00E2226C" w:rsidRPr="00876D75">
        <w:rPr>
          <w:rFonts w:ascii="Times New Roman" w:hAnsi="Times New Roman"/>
          <w:sz w:val="28"/>
          <w:szCs w:val="28"/>
        </w:rPr>
        <w:t>робити цифрові рішення доступними, щоб мотивувати ними користуватися.</w:t>
      </w:r>
    </w:p>
    <w:p w14:paraId="37634F41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Основні принципи Концепції.</w:t>
      </w:r>
    </w:p>
    <w:p w14:paraId="77E44A73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1.1.1. Доступність.</w:t>
      </w:r>
    </w:p>
    <w:p w14:paraId="0C0915D1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Доступність є базовою вимогою до функціонування системи цифрової освіти та інструментів формування цифрових навичок мешканців громади.</w:t>
      </w:r>
    </w:p>
    <w:p w14:paraId="5396A61A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У процесі реалізації Концепції мають бути застосовані лише такі інструменти та створені елементи екосистеми цифрової освіти, які зможе використати мешканець громади незалежно від віку, соціального та матеріального становища з метою надбання необхідних компетенцій для ефективного</w:t>
      </w:r>
      <w:r w:rsidR="004D1F86">
        <w:rPr>
          <w:rFonts w:ascii="Times New Roman" w:hAnsi="Times New Roman"/>
          <w:color w:val="000000"/>
          <w:sz w:val="28"/>
          <w:szCs w:val="28"/>
        </w:rPr>
        <w:t xml:space="preserve"> використання цифрових сервісів.</w:t>
      </w:r>
    </w:p>
    <w:p w14:paraId="556F0F9B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Стратегічність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0B6972F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Передбачає функціонування системи, яка б формувала лояльне сприйняття цифрової трансформації, впровадження та швидку адаптацію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смартрішень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діджиталізації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усіх сфер громади.</w:t>
      </w:r>
    </w:p>
    <w:p w14:paraId="17D2B2CE" w14:textId="77777777" w:rsidR="000E26B5" w:rsidRDefault="00E2226C" w:rsidP="000E26B5">
      <w:pPr>
        <w:pStyle w:val="a4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1.1.3. Комплексність.</w:t>
      </w:r>
    </w:p>
    <w:p w14:paraId="09223C51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Використання різних форматів навчання. Принцип, який визначає необхідність формування системи, яка поєднує в собі існування та постійний розвиток </w:t>
      </w:r>
      <w:r w:rsidRPr="004D1F86">
        <w:rPr>
          <w:rFonts w:ascii="Times New Roman" w:hAnsi="Times New Roman"/>
          <w:sz w:val="28"/>
          <w:szCs w:val="28"/>
        </w:rPr>
        <w:t xml:space="preserve">у </w:t>
      </w:r>
      <w:r w:rsidR="004D1F86" w:rsidRPr="004D1F86">
        <w:rPr>
          <w:rFonts w:ascii="Times New Roman" w:hAnsi="Times New Roman"/>
          <w:sz w:val="28"/>
          <w:szCs w:val="28"/>
        </w:rPr>
        <w:t>громаді</w:t>
      </w:r>
      <w:r w:rsidRPr="004D1F86">
        <w:rPr>
          <w:rFonts w:ascii="Times New Roman" w:hAnsi="Times New Roman"/>
          <w:sz w:val="28"/>
          <w:szCs w:val="28"/>
        </w:rPr>
        <w:t xml:space="preserve"> спільноти</w:t>
      </w:r>
      <w:r>
        <w:rPr>
          <w:rFonts w:ascii="Times New Roman" w:hAnsi="Times New Roman"/>
          <w:color w:val="000000"/>
          <w:sz w:val="28"/>
          <w:szCs w:val="28"/>
        </w:rPr>
        <w:t xml:space="preserve"> цифрових менторів та потенційних учнів не лише шляхом навчання, але й шлях</w:t>
      </w:r>
      <w:r w:rsidR="004D1F86">
        <w:rPr>
          <w:rFonts w:ascii="Times New Roman" w:hAnsi="Times New Roman"/>
          <w:color w:val="000000"/>
          <w:sz w:val="28"/>
          <w:szCs w:val="28"/>
        </w:rPr>
        <w:t>ом формування цифрової культур</w:t>
      </w:r>
      <w:r w:rsidR="004D1F86" w:rsidRPr="004D1F86">
        <w:rPr>
          <w:rFonts w:ascii="Times New Roman" w:hAnsi="Times New Roman"/>
          <w:sz w:val="28"/>
          <w:szCs w:val="28"/>
        </w:rPr>
        <w:t>и</w:t>
      </w:r>
      <w:r w:rsidRPr="004D1F86">
        <w:rPr>
          <w:rFonts w:ascii="Times New Roman" w:hAnsi="Times New Roman"/>
          <w:sz w:val="28"/>
          <w:szCs w:val="28"/>
        </w:rPr>
        <w:t>.</w:t>
      </w:r>
    </w:p>
    <w:p w14:paraId="01709ABD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1.1.4.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Методологічність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7ECF7AF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Виклад та поширення матеріалу, обрання таких методів і форм навчання, які є простими, зрозумілими та інформативними для відповідної цільової аудиторії.</w:t>
      </w:r>
    </w:p>
    <w:p w14:paraId="38E6E92A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1.1.5.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Інноваційність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D8BC77A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Слугує орієнтиром на динамічні зміни в навколишньому світі та освітній діяльності, яка ґрунтується на розвитку різноманітних форм мислення, творчих здібностей, високих соціально-адаптаційних можливостей особистості. Вказаний принцип свідчить про відкритість, здатність до передбачення та прогнозування на основі постійної переоцінки цінностей, налаштованість на активні та конструктивні дії в ситуаціях, що швидко змінюються.</w:t>
      </w:r>
    </w:p>
    <w:p w14:paraId="46705748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 Терміни, які вживаються у цій Концепції.</w:t>
      </w:r>
    </w:p>
    <w:p w14:paraId="5ED13554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Цифрова грамотність </w:t>
      </w:r>
      <w:r w:rsidR="000E26B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це система знань, а також когнітивних, соціальних і технічних навичок, які гарантують комфортне, зручне існування людини в інформаційному середовищі та ефективне використання цифрових технологій.</w:t>
      </w:r>
    </w:p>
    <w:p w14:paraId="1AF7BEFF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Цифрова компетенція </w:t>
      </w:r>
      <w:r w:rsidR="000E26B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це здатність користувача впевнено, ефективно та безпечно вибирати і застосовувати інформаційно-комунікаційні технології в різних сферах життя, заснована на безперервному оволодінні новими знаннями та уміннями.</w:t>
      </w:r>
    </w:p>
    <w:p w14:paraId="2D66EA32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Цифрове споживання </w:t>
      </w:r>
      <w:r w:rsidR="000E26B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застосування цифрових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у певних життєвих ситуаціях, що приводить до використання (споживання) різних цифрових ресурсів, інтернет-послуг у роботі та в житті.</w:t>
      </w:r>
    </w:p>
    <w:p w14:paraId="6033446C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Цифрова культура </w:t>
      </w:r>
      <w:r w:rsidR="000E26B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це вміння працювати з сучасною цифровою технікою і володіти сучасними інформаційно-комунікаційними технологіями, до компонентів якої належать:</w:t>
      </w:r>
    </w:p>
    <w:p w14:paraId="29D4CF48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раціональне споживання інформації;</w:t>
      </w:r>
    </w:p>
    <w:p w14:paraId="6420D425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критичне мислення, що стосується кількості та якості сприйнятої інформації і вміщує пошук (вибір достовірних та надійних інформаційних джерел), інтерпретацію (надання переваги більше фактам, ніж думкам), дослідження (глибокий аналіз інформації для формування висновків) та оцінку (погляд на інформаційне повідомлення з різних аспектів);</w:t>
      </w:r>
    </w:p>
    <w:p w14:paraId="5A778B39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цифрова грамотність, тобто вміння користуватись сучасними ІТ та програмним забезпеченням, особливо у професійній діяльності;</w:t>
      </w:r>
    </w:p>
    <w:p w14:paraId="3724E63F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ІТ-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26B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використання ІКТ не лише для власних потреб, але й для вдосконалення навколишнього світу.</w:t>
      </w:r>
    </w:p>
    <w:p w14:paraId="1DA1BEE1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Екосистема цифрової освіти </w:t>
      </w:r>
      <w:r w:rsidR="000E26B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це системи всіх існуючих або новостворених сегментів, єдине функціонування яких дозволить підвищити рівень цифрової грамотності населення.</w:t>
      </w:r>
    </w:p>
    <w:p w14:paraId="612475DC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Центр доступу до цифрової освіти </w:t>
      </w:r>
      <w:r w:rsidR="000E26B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елемент єдиної системи цифрової освіти, з облаштованим робочим місцем, мета якого навчити отримувати послуги в режимі онлайн та використовувати електронні сервіси, надати можливість людям переглянути «освітній серіал» та підвищити свій рівень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цифрової грамотності, отримати на місці консультацію щодо набутих знань та застосувати їх на практиці.</w:t>
      </w:r>
    </w:p>
    <w:p w14:paraId="4ECA54A2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Смартбібліотека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E26B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це багатофункціональний елемент єдиної системи цифрової освіти у сфері розвитку та дозвілля, який забезпечує для користувачів можливість самостійно використовувати електронні сервіси «розумного міста» та технологічні новинки, є основним простором, де можливо підвищити рівень своєї цифрової грамотності.</w:t>
      </w:r>
    </w:p>
    <w:p w14:paraId="431DB147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Цифрова інфраструктура </w:t>
      </w:r>
      <w:r w:rsidR="00E32B4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комплекс технологій, продуктів та процесів, що забезпечують обчислювальні, телекомунікаційні та мережеві можливості електронної взаємодії, обміну даними, сигналами тощо, та основа цифрової економіки.</w:t>
      </w:r>
    </w:p>
    <w:p w14:paraId="6526D63E" w14:textId="77777777" w:rsidR="002769D7" w:rsidRDefault="00E32B45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безпаперовості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E2226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226C">
        <w:rPr>
          <w:rFonts w:ascii="Times New Roman" w:hAnsi="Times New Roman"/>
          <w:color w:val="000000"/>
          <w:sz w:val="28"/>
          <w:szCs w:val="28"/>
        </w:rPr>
        <w:t>оцифровування</w:t>
      </w:r>
      <w:proofErr w:type="spellEnd"/>
      <w:r w:rsidR="00E2226C">
        <w:rPr>
          <w:rFonts w:ascii="Times New Roman" w:hAnsi="Times New Roman"/>
          <w:color w:val="000000"/>
          <w:sz w:val="28"/>
          <w:szCs w:val="28"/>
        </w:rPr>
        <w:t xml:space="preserve"> документів.</w:t>
      </w:r>
    </w:p>
    <w:p w14:paraId="1DF6067B" w14:textId="77777777" w:rsidR="002769D7" w:rsidRPr="004D1F86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F86">
        <w:rPr>
          <w:rFonts w:ascii="Times New Roman" w:hAnsi="Times New Roman"/>
          <w:sz w:val="28"/>
          <w:szCs w:val="28"/>
        </w:rPr>
        <w:t>Лендінг</w:t>
      </w:r>
      <w:proofErr w:type="spellEnd"/>
      <w:r w:rsidRPr="004D1F86">
        <w:rPr>
          <w:rFonts w:ascii="Times New Roman" w:hAnsi="Times New Roman"/>
          <w:sz w:val="28"/>
          <w:szCs w:val="28"/>
        </w:rPr>
        <w:t xml:space="preserve"> </w:t>
      </w:r>
      <w:r w:rsidR="00E32B45" w:rsidRPr="004D1F86">
        <w:rPr>
          <w:rFonts w:ascii="Times New Roman" w:hAnsi="Times New Roman"/>
          <w:sz w:val="28"/>
          <w:szCs w:val="28"/>
        </w:rPr>
        <w:t>–</w:t>
      </w:r>
      <w:r w:rsidRPr="004D1F86">
        <w:rPr>
          <w:rFonts w:ascii="Times New Roman" w:hAnsi="Times New Roman"/>
          <w:sz w:val="28"/>
          <w:szCs w:val="28"/>
        </w:rPr>
        <w:t xml:space="preserve"> це </w:t>
      </w:r>
      <w:proofErr w:type="spellStart"/>
      <w:r w:rsidRPr="004D1F86">
        <w:rPr>
          <w:rFonts w:ascii="Times New Roman" w:hAnsi="Times New Roman"/>
          <w:sz w:val="28"/>
          <w:szCs w:val="28"/>
        </w:rPr>
        <w:t>вебсторінка</w:t>
      </w:r>
      <w:proofErr w:type="spellEnd"/>
      <w:r w:rsidRPr="004D1F86">
        <w:rPr>
          <w:rFonts w:ascii="Times New Roman" w:hAnsi="Times New Roman"/>
          <w:sz w:val="28"/>
          <w:szCs w:val="28"/>
        </w:rPr>
        <w:t xml:space="preserve">, призначенням якої є зробити доступними електронні сервіси для кожного мешканця, використовуючи розміщення коротких змістовних інструкцій, та забезпечити мешканців </w:t>
      </w:r>
      <w:r w:rsidR="004D1F86" w:rsidRPr="004D1F86">
        <w:rPr>
          <w:rFonts w:ascii="Times New Roman" w:hAnsi="Times New Roman"/>
          <w:sz w:val="28"/>
          <w:szCs w:val="28"/>
        </w:rPr>
        <w:t>громади</w:t>
      </w:r>
      <w:r w:rsidRPr="004D1F86">
        <w:rPr>
          <w:rFonts w:ascii="Times New Roman" w:hAnsi="Times New Roman"/>
          <w:sz w:val="28"/>
          <w:szCs w:val="28"/>
        </w:rPr>
        <w:t xml:space="preserve"> можливістю вільно використовувати міські інструменти підвищення цифрової грамотності населення.</w:t>
      </w:r>
    </w:p>
    <w:p w14:paraId="02635D20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Діджитал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-клуб </w:t>
      </w:r>
      <w:r w:rsidR="00E32B4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це спільнота, що складається з </w:t>
      </w:r>
      <w:r w:rsidRPr="004D1F86">
        <w:rPr>
          <w:rFonts w:ascii="Times New Roman" w:hAnsi="Times New Roman"/>
          <w:sz w:val="28"/>
          <w:szCs w:val="28"/>
        </w:rPr>
        <w:t xml:space="preserve">мешканців </w:t>
      </w:r>
      <w:r w:rsidR="004D1F86" w:rsidRPr="004D1F86">
        <w:rPr>
          <w:rFonts w:ascii="Times New Roman" w:hAnsi="Times New Roman"/>
          <w:sz w:val="28"/>
          <w:szCs w:val="28"/>
        </w:rPr>
        <w:t>громади</w:t>
      </w:r>
      <w:r w:rsidRPr="004D1F86">
        <w:rPr>
          <w:rFonts w:ascii="Times New Roman" w:hAnsi="Times New Roman"/>
          <w:sz w:val="28"/>
          <w:szCs w:val="28"/>
        </w:rPr>
        <w:t>, які зацікавлені в підвищенні своєї цифрової грамотності та для яких в</w:t>
      </w:r>
      <w:r>
        <w:rPr>
          <w:rFonts w:ascii="Times New Roman" w:hAnsi="Times New Roman"/>
          <w:color w:val="000000"/>
          <w:sz w:val="28"/>
          <w:szCs w:val="28"/>
        </w:rPr>
        <w:t xml:space="preserve"> рамках вказаного клубу існує система заохочень.</w:t>
      </w:r>
    </w:p>
    <w:p w14:paraId="38F85032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 Мета Концепції та очікувані результати від її реалізації.</w:t>
      </w:r>
    </w:p>
    <w:p w14:paraId="29295127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Концепцію розроблено з метою більш зрозумілого, безпечного та доступного для кожного мешканця Луцької міської територіальної громади </w:t>
      </w:r>
      <w:r w:rsidRPr="004D1F86">
        <w:rPr>
          <w:rFonts w:ascii="Times New Roman" w:hAnsi="Times New Roman"/>
          <w:sz w:val="28"/>
          <w:szCs w:val="28"/>
        </w:rPr>
        <w:t xml:space="preserve">використання електронних сервісів, сприяння в ефективному управлінні </w:t>
      </w:r>
      <w:r w:rsidR="004D1F86" w:rsidRPr="004D1F86">
        <w:rPr>
          <w:rFonts w:ascii="Times New Roman" w:hAnsi="Times New Roman"/>
          <w:sz w:val="28"/>
          <w:szCs w:val="28"/>
        </w:rPr>
        <w:t>громадою</w:t>
      </w:r>
      <w:r w:rsidRPr="004D1F86">
        <w:rPr>
          <w:rFonts w:ascii="Times New Roman" w:hAnsi="Times New Roman"/>
          <w:sz w:val="28"/>
          <w:szCs w:val="28"/>
        </w:rPr>
        <w:t>.</w:t>
      </w:r>
    </w:p>
    <w:p w14:paraId="311B1E7C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Очікуваними результатами розвитку цифрової грамотності жителів громади є:</w:t>
      </w:r>
    </w:p>
    <w:p w14:paraId="786D424D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розвинута територіальна інтегрована система цифрової освіти; функціонування центрів доступу до цифрової освіти; ефективний безкоштовний курс з цифрової грамотності базового рівня;</w:t>
      </w:r>
    </w:p>
    <w:p w14:paraId="12957A36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взаємодія з усіма великими та середніми підприємствами з питань підвищення рівня цифрової грамотності працівників та громадськості;</w:t>
      </w:r>
    </w:p>
    <w:p w14:paraId="0B7E3560" w14:textId="77777777" w:rsidR="002769D7" w:rsidRPr="006139B2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єдина уніфікована електронна інструкція з використання </w:t>
      </w:r>
      <w:r w:rsidR="004D1F86">
        <w:rPr>
          <w:rFonts w:ascii="Times New Roman" w:hAnsi="Times New Roman"/>
          <w:color w:val="000000"/>
          <w:sz w:val="28"/>
          <w:szCs w:val="28"/>
        </w:rPr>
        <w:t xml:space="preserve">електронних </w:t>
      </w:r>
      <w:r>
        <w:rPr>
          <w:rFonts w:ascii="Times New Roman" w:hAnsi="Times New Roman"/>
          <w:color w:val="000000"/>
          <w:sz w:val="28"/>
          <w:szCs w:val="28"/>
        </w:rPr>
        <w:t>сервісі</w:t>
      </w:r>
      <w:r w:rsidRPr="004D1F86">
        <w:rPr>
          <w:rFonts w:ascii="Times New Roman" w:hAnsi="Times New Roman"/>
          <w:sz w:val="28"/>
          <w:szCs w:val="28"/>
        </w:rPr>
        <w:t>в;</w:t>
      </w:r>
    </w:p>
    <w:p w14:paraId="03D2497E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139B2">
        <w:rPr>
          <w:rFonts w:ascii="Times New Roman" w:hAnsi="Times New Roman"/>
          <w:sz w:val="28"/>
          <w:szCs w:val="28"/>
        </w:rPr>
        <w:t>розвин</w:t>
      </w:r>
      <w:r>
        <w:rPr>
          <w:rFonts w:ascii="Times New Roman" w:hAnsi="Times New Roman"/>
          <w:color w:val="000000"/>
          <w:sz w:val="28"/>
          <w:szCs w:val="28"/>
        </w:rPr>
        <w:t xml:space="preserve">ута мережа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смартбібліотек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; розроблений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лендінг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цифрової освіти у місті; карта доступності цифрової освіти;</w:t>
      </w:r>
    </w:p>
    <w:p w14:paraId="355A214B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функціонування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діджитал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-клубу громадян;</w:t>
      </w:r>
    </w:p>
    <w:p w14:paraId="5DBC0EC4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зручна та розвинена цифрова інфраструктура;</w:t>
      </w:r>
    </w:p>
    <w:p w14:paraId="128F4AD9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формування лояльного ставлення до впровадження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смартрішень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діяльності міської влади;</w:t>
      </w:r>
    </w:p>
    <w:p w14:paraId="1E3731EA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збільшення цифрового споживання;</w:t>
      </w:r>
    </w:p>
    <w:p w14:paraId="468291A2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закладення основи для подальшого розвитку цифрової економіки та підвищення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конкурентноздатності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цій сфері;</w:t>
      </w:r>
    </w:p>
    <w:p w14:paraId="1A19D376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збільшення кількості оброблених даних, які дозволяють отримувати цінну інформацію для використання в ділових процесах, суспільному житті, життєдіяльності громади;</w:t>
      </w:r>
    </w:p>
    <w:p w14:paraId="6BD22703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розвинута цифрова культура в громаді завдяки обізнаному сприйняттю мешканцями цифрової реальності, набуттю необхідних навичок управляти нею та працювати в ній;</w:t>
      </w:r>
    </w:p>
    <w:p w14:paraId="782F936D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підвищений індекс використання державних, муніципальних та приватних електронних сервісів;</w:t>
      </w:r>
    </w:p>
    <w:p w14:paraId="5437A7D2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створення середовища, що унеможливлює корупцію як явище; втілення в життєдіяльність мешканців громади принципу «освіта протягом життя» шляхом використання технології онлайн-навчання із застосуванням цифрових освітніх ресурсів;</w:t>
      </w:r>
    </w:p>
    <w:p w14:paraId="762DFA6D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формування у споживачів (бізнес, держава, громадяни) мотивації та потреби у цифрових технологіях;</w:t>
      </w:r>
    </w:p>
    <w:p w14:paraId="5CED3150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наявність навичок у мешканців громади, які б допомагали модернізувати, оптимізувати та розвивати власний бізнес і процеси життєдіяльності громади; розвинене вміння застосовувати цифрові технології для власних потреб; впровадження превентивних механізмів щодо виникнення нового виду дискримінації, спричиненої різними рівнями цифрової обізнаності населення у сфері використання цифрових технологій та електронних сервісів;</w:t>
      </w:r>
    </w:p>
    <w:p w14:paraId="1289C4E0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зменшення рівня кібератак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діджитал-шахрайств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шляхом формування культури особистої безпеки у мережі та використанні цифрових технологій;</w:t>
      </w:r>
    </w:p>
    <w:p w14:paraId="4A526DB0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створення цільових програм з метою забезпечення комфортних умов для функціонування та розвитку цифрових технологій;</w:t>
      </w:r>
    </w:p>
    <w:p w14:paraId="5746C823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підвищення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конкурентноздатності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людини на ринку завдяки вмінню працювати з даними та їх аналізувати.</w:t>
      </w:r>
    </w:p>
    <w:p w14:paraId="5178C054" w14:textId="77777777" w:rsidR="002769D7" w:rsidRDefault="008F1E96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1.4. </w:t>
      </w:r>
      <w:r w:rsidR="00E2226C">
        <w:rPr>
          <w:rFonts w:ascii="Times New Roman" w:hAnsi="Times New Roman"/>
          <w:color w:val="000000"/>
          <w:sz w:val="28"/>
          <w:szCs w:val="28"/>
        </w:rPr>
        <w:t>Доцільність розвитку цифрової грамотності жителів Луцької міської територіальної громади.</w:t>
      </w:r>
    </w:p>
    <w:p w14:paraId="207739A6" w14:textId="77777777" w:rsidR="002769D7" w:rsidRPr="004D1F86" w:rsidRDefault="00E2226C" w:rsidP="004D1F8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Закону України </w:t>
      </w:r>
      <w:r w:rsidR="008F1E96">
        <w:rPr>
          <w:rFonts w:ascii="Times New Roman" w:hAnsi="Times New Roman" w:cs="Times New Roman"/>
          <w:color w:val="000000"/>
          <w:sz w:val="28"/>
          <w:szCs w:val="28"/>
        </w:rPr>
        <w:t>«Про освіту»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інформаційно-комунікаційну компетентність визнано як одну з ключових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необхідних кожній сучасній людині для успішної життєдіяльності.</w:t>
      </w:r>
      <w:r w:rsidR="004D1F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1F86" w:rsidRPr="004D1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</w:t>
      </w:r>
      <w:r w:rsidR="006139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ою</w:t>
      </w:r>
      <w:r w:rsidR="004D1F86" w:rsidRPr="004D1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діяльності Кабінету Міністрів України, затверджено</w:t>
      </w:r>
      <w:r w:rsidR="006139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</w:t>
      </w:r>
      <w:r w:rsidR="004D1F86" w:rsidRPr="004D1F8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</w:t>
      </w:r>
      <w:r w:rsidR="004D1F86" w:rsidRPr="004D1F86">
        <w:rPr>
          <w:rFonts w:ascii="Times New Roman" w:hAnsi="Times New Roman"/>
          <w:sz w:val="28"/>
          <w:szCs w:val="28"/>
        </w:rPr>
        <w:t>остановою Кабі</w:t>
      </w:r>
      <w:r w:rsidR="004D1F86" w:rsidRPr="004D1F86">
        <w:rPr>
          <w:rFonts w:ascii="Times New Roman" w:hAnsi="Times New Roman"/>
          <w:color w:val="000000"/>
          <w:sz w:val="28"/>
          <w:szCs w:val="28"/>
        </w:rPr>
        <w:t>нет</w:t>
      </w:r>
      <w:r w:rsidR="004D1F86">
        <w:rPr>
          <w:rFonts w:ascii="Times New Roman" w:hAnsi="Times New Roman"/>
          <w:color w:val="000000"/>
          <w:sz w:val="28"/>
          <w:szCs w:val="28"/>
        </w:rPr>
        <w:t xml:space="preserve">у Міністрів України від 12 червня 2020 р. № 471 визначено ціль </w:t>
      </w:r>
      <w:r w:rsidR="004D1F86" w:rsidRPr="004D1F86">
        <w:rPr>
          <w:rFonts w:ascii="Times New Roman" w:hAnsi="Times New Roman"/>
          <w:sz w:val="28"/>
          <w:szCs w:val="28"/>
        </w:rPr>
        <w:t xml:space="preserve">– «українець, який хоче мати цифрові навички, може їх вільно набути». </w:t>
      </w:r>
    </w:p>
    <w:p w14:paraId="18EB54B2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Завдяки використанню онлайн та інших технологій громадяни можуть більш ефективно набувати знання, вміння та навички у багатьох сферах життя.</w:t>
      </w:r>
    </w:p>
    <w:p w14:paraId="171CFDC5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Цифрова грамотність повинна бути однією з головних компетенцій.</w:t>
      </w:r>
    </w:p>
    <w:p w14:paraId="4E401E85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Активне впровадження інформаційно-комунікаційних технологій в систему суспільно-політичних відносин значно розширює можливості громадян щодо їх участі в процесах державного управління та впливу на</w:t>
      </w:r>
      <w:r w:rsidR="006139B2"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прийняття управлінських рішень, створює умови для формування якісно нового рівня взаємодії органів влади та громадян.</w:t>
      </w:r>
    </w:p>
    <w:p w14:paraId="0CDFB7C0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Розвиток цифрової грамотності жителів Луцької міської територіальної громади обумовлений:</w:t>
      </w:r>
    </w:p>
    <w:p w14:paraId="7D98F5A5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підвищенням рівня комфорту мешканців шляхом впровадження цифрових технологій абсолютно у всіх сферах людської діяльності;</w:t>
      </w:r>
    </w:p>
    <w:p w14:paraId="7014C448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збільшенням впливу технологій на розширення можливостей людей навчатись, працювати, відпочивати, взаємодіяти;</w:t>
      </w:r>
    </w:p>
    <w:p w14:paraId="67BAFC69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забезпеченням спрощеного доступу до послуг та товарів незалежно від віку;</w:t>
      </w:r>
    </w:p>
    <w:p w14:paraId="0B722489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полегшенням адаптивності до цифрових трансформацій і можливостей їх використання;</w:t>
      </w:r>
    </w:p>
    <w:p w14:paraId="34F04DD3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забезпеченням базових умов для ефективного управління </w:t>
      </w:r>
      <w:r w:rsidR="006139B2" w:rsidRPr="006139B2">
        <w:rPr>
          <w:rFonts w:ascii="Times New Roman" w:hAnsi="Times New Roman"/>
          <w:sz w:val="28"/>
          <w:szCs w:val="28"/>
        </w:rPr>
        <w:t>громадою</w:t>
      </w:r>
      <w:r w:rsidRPr="006139B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підвищенням ефективності фінансових інструментів в умовах обмеженості фінансових ресурсів з метою вирішення соціальних питань через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смартрішення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1E65805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оперативністю прийняття рішень на базі цифрового стандарту, базуючись на спроможності керувати інформацією та використовувати інформаційні бази даних;</w:t>
      </w:r>
    </w:p>
    <w:p w14:paraId="7CCB6C6A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підвищенням віку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конкурентноздатних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осіб на ринку праці; трансформацією освіти та навчального процесу в інформаційному суспільстві;</w:t>
      </w:r>
    </w:p>
    <w:p w14:paraId="230B0BFC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прискоренням економічного зростання цифрового ринку.</w:t>
      </w:r>
    </w:p>
    <w:p w14:paraId="79D7751F" w14:textId="77777777" w:rsidR="002769D7" w:rsidRDefault="008F1E96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1.5. </w:t>
      </w:r>
      <w:r w:rsidR="00E2226C">
        <w:rPr>
          <w:rFonts w:ascii="Times New Roman" w:hAnsi="Times New Roman"/>
          <w:color w:val="000000"/>
          <w:sz w:val="28"/>
          <w:szCs w:val="28"/>
        </w:rPr>
        <w:t>Основні завдання Концепції.</w:t>
      </w:r>
    </w:p>
    <w:p w14:paraId="59B51767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ефективної реалізації Концепції та досягнення запланованих результатів необхідно:</w:t>
      </w:r>
    </w:p>
    <w:p w14:paraId="134FAF0D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досліджувати кон’юнктури ринку та цільову аудиторію з метою отримання індексу рівня цифрової грамотності у Луцькій міській територіальній громаді;</w:t>
      </w:r>
    </w:p>
    <w:p w14:paraId="72FB3706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впровадити систематичний моніторинг динаміки рівня цифрової грамотності;</w:t>
      </w:r>
    </w:p>
    <w:p w14:paraId="2A7ACEF4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сприяти впровадженню міських освітніх програм, що стосуються цифрової грамотності;</w:t>
      </w:r>
    </w:p>
    <w:p w14:paraId="44621E2A" w14:textId="77777777" w:rsidR="002769D7" w:rsidRDefault="006139B2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відкрити </w:t>
      </w:r>
      <w:r w:rsidR="00E2226C">
        <w:rPr>
          <w:rFonts w:ascii="Times New Roman" w:hAnsi="Times New Roman"/>
          <w:color w:val="000000"/>
          <w:sz w:val="28"/>
          <w:szCs w:val="28"/>
        </w:rPr>
        <w:t>точки доступу до цифрової грамотності; підвищити рівень цифрової грамотності учнів, вчителів та батьків; підвищити рівень цифрової грамотності державних службовців та посадових осіб органів місцевого самоврядування;</w:t>
      </w:r>
    </w:p>
    <w:p w14:paraId="032BFB97" w14:textId="7CE04828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створити та розвивати екосистему цифрової освіти; залучити усі виконавчі органи Луцької міської</w:t>
      </w:r>
      <w:r w:rsidR="00BB6A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ради до впровадження Концепції, забезпечення доступності до електронних сервісів у будь-якій сфері;</w:t>
      </w:r>
    </w:p>
    <w:p w14:paraId="495F8A86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запровадити принцип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безпаперовості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роботі органів місцевого самоврядування шляхом розвитку цифрової грамотності у посадових осіб.</w:t>
      </w:r>
    </w:p>
    <w:p w14:paraId="71521923" w14:textId="433D3199" w:rsidR="00C06048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A49938" w14:textId="77777777" w:rsidR="00BB6ACF" w:rsidRDefault="00BB6ACF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9B381E" w14:textId="77777777" w:rsidR="006139B2" w:rsidRDefault="006139B2" w:rsidP="006139B2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EC4C005" w14:textId="77777777" w:rsidR="006139B2" w:rsidRDefault="008F1E96" w:rsidP="00876D75">
      <w:pPr>
        <w:pStyle w:val="a4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139B2">
        <w:rPr>
          <w:rFonts w:ascii="Times New Roman" w:hAnsi="Times New Roman"/>
          <w:sz w:val="28"/>
          <w:szCs w:val="28"/>
        </w:rPr>
        <w:lastRenderedPageBreak/>
        <w:t>2. </w:t>
      </w:r>
      <w:r w:rsidR="00E2226C" w:rsidRPr="006139B2">
        <w:rPr>
          <w:rFonts w:ascii="Times New Roman" w:hAnsi="Times New Roman"/>
          <w:sz w:val="28"/>
          <w:szCs w:val="28"/>
        </w:rPr>
        <w:t xml:space="preserve">Заходи щодо розвитку цифрової грамотності жителів </w:t>
      </w:r>
    </w:p>
    <w:p w14:paraId="3D077A06" w14:textId="77777777" w:rsidR="002769D7" w:rsidRPr="006139B2" w:rsidRDefault="00E2226C" w:rsidP="00876D75">
      <w:pPr>
        <w:pStyle w:val="a4"/>
        <w:spacing w:after="0" w:line="240" w:lineRule="auto"/>
        <w:ind w:firstLine="567"/>
        <w:jc w:val="center"/>
      </w:pPr>
      <w:r w:rsidRPr="006139B2">
        <w:rPr>
          <w:rFonts w:ascii="Times New Roman" w:hAnsi="Times New Roman"/>
          <w:sz w:val="28"/>
          <w:szCs w:val="28"/>
        </w:rPr>
        <w:t xml:space="preserve">Луцької </w:t>
      </w:r>
      <w:r w:rsidR="00876D75" w:rsidRPr="006139B2">
        <w:rPr>
          <w:rFonts w:ascii="Times New Roman" w:hAnsi="Times New Roman"/>
          <w:sz w:val="28"/>
          <w:szCs w:val="28"/>
        </w:rPr>
        <w:t>міської  територіальної громади</w:t>
      </w:r>
    </w:p>
    <w:p w14:paraId="62E11BD5" w14:textId="77777777" w:rsidR="002769D7" w:rsidRDefault="008F1E96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2.1. </w:t>
      </w:r>
      <w:r w:rsidR="00E2226C">
        <w:rPr>
          <w:rFonts w:ascii="Times New Roman" w:hAnsi="Times New Roman"/>
          <w:color w:val="000000"/>
          <w:sz w:val="28"/>
          <w:szCs w:val="28"/>
        </w:rPr>
        <w:t>Дослідження кон’юнктури ринку та цільової аудиторії.</w:t>
      </w:r>
    </w:p>
    <w:p w14:paraId="70F5AA8B" w14:textId="77777777" w:rsidR="002769D7" w:rsidRDefault="008F1E96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2.2. </w:t>
      </w:r>
      <w:r w:rsidR="00E2226C">
        <w:rPr>
          <w:rFonts w:ascii="Times New Roman" w:hAnsi="Times New Roman"/>
          <w:color w:val="000000"/>
          <w:sz w:val="28"/>
          <w:szCs w:val="28"/>
        </w:rPr>
        <w:t>Аналіз нормативно-правових актів у сфері електронної демократії та цифрової грамотності.</w:t>
      </w:r>
    </w:p>
    <w:p w14:paraId="1B9C937B" w14:textId="77777777" w:rsidR="002769D7" w:rsidRDefault="008F1E96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2.3. </w:t>
      </w:r>
      <w:r w:rsidR="00E2226C">
        <w:rPr>
          <w:rFonts w:ascii="Times New Roman" w:hAnsi="Times New Roman"/>
          <w:color w:val="000000"/>
          <w:sz w:val="28"/>
          <w:szCs w:val="28"/>
        </w:rPr>
        <w:t>Проведення дослідження щодо чинників, які впливають на рівень цифрової грамотності населення громади.</w:t>
      </w:r>
    </w:p>
    <w:p w14:paraId="60D28842" w14:textId="77777777" w:rsidR="002769D7" w:rsidRDefault="008F1E96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2.4. </w:t>
      </w:r>
      <w:r w:rsidR="00E2226C">
        <w:rPr>
          <w:rFonts w:ascii="Times New Roman" w:hAnsi="Times New Roman"/>
          <w:color w:val="000000"/>
          <w:sz w:val="28"/>
          <w:szCs w:val="28"/>
        </w:rPr>
        <w:t>Проведення аналізу та розроблення рекомендацій щодо створення необхідної інфраструктури в місті для підвищення рівня цифрової грамотності населення.</w:t>
      </w:r>
    </w:p>
    <w:p w14:paraId="07C23D1F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2.6. Формування партнерської мережі.</w:t>
      </w:r>
    </w:p>
    <w:p w14:paraId="41AF8C61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2.7. Модернізація бібліотек.</w:t>
      </w:r>
    </w:p>
    <w:p w14:paraId="06A92EF9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Передбачає їх перетворення у формат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смартбібліотеки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що є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поліфункціональним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сегментом у сфері розвитку цифрової освіти, який забезпечує для користувачів можливість самостійно використовувати електронні сервіси «розумного </w:t>
      </w:r>
      <w:r w:rsidRPr="006139B2">
        <w:rPr>
          <w:rFonts w:ascii="Times New Roman" w:hAnsi="Times New Roman"/>
          <w:sz w:val="28"/>
          <w:szCs w:val="28"/>
        </w:rPr>
        <w:t>міста»</w:t>
      </w:r>
      <w:r>
        <w:rPr>
          <w:rFonts w:ascii="Times New Roman" w:hAnsi="Times New Roman"/>
          <w:color w:val="000000"/>
          <w:sz w:val="28"/>
          <w:szCs w:val="28"/>
        </w:rPr>
        <w:t xml:space="preserve"> та технологічні новинки, а саме:</w:t>
      </w:r>
    </w:p>
    <w:p w14:paraId="237BAFBF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читання книг з АІІ-технологіями, що містять текстовий, звуковий і графічний режими;</w:t>
      </w:r>
    </w:p>
    <w:p w14:paraId="5B11E915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наявність електронних книг </w:t>
      </w:r>
      <w:r w:rsidR="00C06048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як доповнення паперового аналогу чи планшету;</w:t>
      </w:r>
    </w:p>
    <w:p w14:paraId="5927BB65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друкування на ЗD-принтері;</w:t>
      </w:r>
    </w:p>
    <w:p w14:paraId="644CF9B1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використання графічного планшету, ЗD-ручки.</w:t>
      </w:r>
    </w:p>
    <w:p w14:paraId="7813D9A2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Крім того, бібліотеки існують як універсальні центри цифрової освіти, на базі яких буде забезпечено можливість пройти онлайн курс, користуватись інтернетом, отримати консультацію.</w:t>
      </w:r>
    </w:p>
    <w:p w14:paraId="2C910FFE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2.8. </w:t>
      </w:r>
      <w:r w:rsidR="00E2226C">
        <w:rPr>
          <w:rFonts w:ascii="Times New Roman" w:hAnsi="Times New Roman"/>
          <w:color w:val="000000"/>
          <w:sz w:val="28"/>
          <w:szCs w:val="28"/>
        </w:rPr>
        <w:t>Формування та розвиток спільноти цифрових менторів.</w:t>
      </w:r>
    </w:p>
    <w:p w14:paraId="541F4BBA" w14:textId="77777777" w:rsidR="00C06048" w:rsidRPr="006139B2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91136" w14:textId="77777777" w:rsidR="002769D7" w:rsidRPr="006139B2" w:rsidRDefault="00E2226C" w:rsidP="006139B2">
      <w:pPr>
        <w:pStyle w:val="a4"/>
        <w:spacing w:after="0" w:line="240" w:lineRule="auto"/>
        <w:ind w:firstLine="567"/>
        <w:jc w:val="center"/>
      </w:pPr>
      <w:r w:rsidRPr="006139B2">
        <w:rPr>
          <w:rFonts w:ascii="Times New Roman" w:hAnsi="Times New Roman"/>
          <w:sz w:val="28"/>
          <w:szCs w:val="28"/>
        </w:rPr>
        <w:t>3.</w:t>
      </w:r>
      <w:r w:rsidR="00C06048" w:rsidRPr="006139B2">
        <w:rPr>
          <w:rFonts w:ascii="Times New Roman" w:hAnsi="Times New Roman"/>
          <w:sz w:val="28"/>
          <w:szCs w:val="28"/>
        </w:rPr>
        <w:t> </w:t>
      </w:r>
      <w:r w:rsidRPr="006139B2">
        <w:rPr>
          <w:rFonts w:ascii="Times New Roman" w:hAnsi="Times New Roman"/>
          <w:sz w:val="28"/>
          <w:szCs w:val="28"/>
        </w:rPr>
        <w:t xml:space="preserve">Формування точок доступу </w:t>
      </w:r>
      <w:r w:rsidR="00876D75" w:rsidRPr="006139B2">
        <w:rPr>
          <w:rFonts w:ascii="Times New Roman" w:hAnsi="Times New Roman"/>
          <w:sz w:val="28"/>
          <w:szCs w:val="28"/>
        </w:rPr>
        <w:t>до цифрових можливостей громади</w:t>
      </w:r>
    </w:p>
    <w:p w14:paraId="24061B03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3.1. </w:t>
      </w:r>
      <w:r w:rsidR="00E2226C">
        <w:rPr>
          <w:rFonts w:ascii="Times New Roman" w:hAnsi="Times New Roman"/>
          <w:color w:val="000000"/>
          <w:sz w:val="28"/>
          <w:szCs w:val="28"/>
        </w:rPr>
        <w:t>Залучення приватного сектору.</w:t>
      </w:r>
    </w:p>
    <w:p w14:paraId="19470621" w14:textId="77777777" w:rsidR="002769D7" w:rsidRDefault="00C06048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3.2. </w:t>
      </w:r>
      <w:r w:rsidR="00E2226C">
        <w:rPr>
          <w:rFonts w:ascii="Times New Roman" w:hAnsi="Times New Roman"/>
          <w:color w:val="000000"/>
          <w:sz w:val="28"/>
          <w:szCs w:val="28"/>
        </w:rPr>
        <w:t>Технічне облаштування Центрів надання адміністративних послуг з метою забезпечення місць онлайн-освіти.</w:t>
      </w:r>
    </w:p>
    <w:p w14:paraId="54C2D0C4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3.3. </w:t>
      </w:r>
      <w:r w:rsidR="00E2226C">
        <w:rPr>
          <w:rFonts w:ascii="Times New Roman" w:hAnsi="Times New Roman"/>
          <w:color w:val="000000"/>
          <w:sz w:val="28"/>
          <w:szCs w:val="28"/>
        </w:rPr>
        <w:t>Відкриття</w:t>
      </w:r>
      <w:r w:rsidR="00E2226C" w:rsidRPr="006139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226C" w:rsidRPr="006139B2">
        <w:rPr>
          <w:rFonts w:ascii="Times New Roman" w:hAnsi="Times New Roman"/>
          <w:sz w:val="28"/>
          <w:szCs w:val="28"/>
        </w:rPr>
        <w:t>оффлайн</w:t>
      </w:r>
      <w:proofErr w:type="spellEnd"/>
      <w:r w:rsidR="00E2226C">
        <w:rPr>
          <w:rFonts w:ascii="Times New Roman" w:hAnsi="Times New Roman"/>
          <w:color w:val="000000"/>
          <w:sz w:val="28"/>
          <w:szCs w:val="28"/>
        </w:rPr>
        <w:t xml:space="preserve"> хабів у партнерстві з Міністерством цифрової трансформації України.</w:t>
      </w:r>
    </w:p>
    <w:p w14:paraId="50CFD28F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</w:t>
      </w:r>
      <w:r w:rsidR="00E2226C">
        <w:rPr>
          <w:rFonts w:ascii="Times New Roman" w:hAnsi="Times New Roman"/>
          <w:color w:val="000000"/>
          <w:sz w:val="28"/>
          <w:szCs w:val="28"/>
        </w:rPr>
        <w:t>Формування цифрової культури у закладах освіти.</w:t>
      </w:r>
    </w:p>
    <w:p w14:paraId="4FCD8C3E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4.1. </w:t>
      </w:r>
      <w:r w:rsidR="00E2226C">
        <w:rPr>
          <w:rFonts w:ascii="Times New Roman" w:hAnsi="Times New Roman"/>
          <w:color w:val="000000"/>
          <w:sz w:val="28"/>
          <w:szCs w:val="28"/>
        </w:rPr>
        <w:t>Розробка та інтеграція Цифрових лабораторій в закладах середньої освіти.</w:t>
      </w:r>
    </w:p>
    <w:p w14:paraId="1B8A0DA1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4.2. </w:t>
      </w:r>
      <w:r w:rsidR="00E2226C">
        <w:rPr>
          <w:rFonts w:ascii="Times New Roman" w:hAnsi="Times New Roman"/>
          <w:color w:val="000000"/>
          <w:sz w:val="28"/>
          <w:szCs w:val="28"/>
        </w:rPr>
        <w:t>Формування мережі менторів у вищих навчальних закладах.</w:t>
      </w:r>
    </w:p>
    <w:p w14:paraId="1A398A92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</w:t>
      </w:r>
      <w:r w:rsidR="00E2226C">
        <w:rPr>
          <w:rFonts w:ascii="Times New Roman" w:hAnsi="Times New Roman"/>
          <w:color w:val="000000"/>
          <w:sz w:val="28"/>
          <w:szCs w:val="28"/>
        </w:rPr>
        <w:t>Організація навчання державних службовців та посадових осіб органів місцевого самоврядування.</w:t>
      </w:r>
    </w:p>
    <w:p w14:paraId="2C85B58B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6. </w:t>
      </w:r>
      <w:r w:rsidR="00E2226C">
        <w:rPr>
          <w:rFonts w:ascii="Times New Roman" w:hAnsi="Times New Roman"/>
          <w:color w:val="000000"/>
          <w:sz w:val="28"/>
          <w:szCs w:val="28"/>
        </w:rPr>
        <w:t xml:space="preserve">Організація та розвиток </w:t>
      </w:r>
      <w:proofErr w:type="spellStart"/>
      <w:r w:rsidR="00E2226C">
        <w:rPr>
          <w:rFonts w:ascii="Times New Roman" w:hAnsi="Times New Roman"/>
          <w:color w:val="000000"/>
          <w:sz w:val="28"/>
          <w:szCs w:val="28"/>
        </w:rPr>
        <w:t>діджитал</w:t>
      </w:r>
      <w:proofErr w:type="spellEnd"/>
      <w:r w:rsidR="00E2226C">
        <w:rPr>
          <w:rFonts w:ascii="Times New Roman" w:hAnsi="Times New Roman"/>
          <w:color w:val="000000"/>
          <w:sz w:val="28"/>
          <w:szCs w:val="28"/>
        </w:rPr>
        <w:t>-клубу.</w:t>
      </w:r>
    </w:p>
    <w:p w14:paraId="2092594F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6.1. </w:t>
      </w:r>
      <w:r w:rsidR="00E2226C">
        <w:rPr>
          <w:rFonts w:ascii="Times New Roman" w:hAnsi="Times New Roman"/>
          <w:color w:val="000000"/>
          <w:sz w:val="28"/>
          <w:szCs w:val="28"/>
        </w:rPr>
        <w:t>Формування мережі профільних курсів з цифрової грамотності базового рівня.</w:t>
      </w:r>
    </w:p>
    <w:p w14:paraId="2978EDF0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6.2. </w:t>
      </w:r>
      <w:r w:rsidR="00E2226C">
        <w:rPr>
          <w:rFonts w:ascii="Times New Roman" w:hAnsi="Times New Roman"/>
          <w:color w:val="000000"/>
          <w:sz w:val="28"/>
          <w:szCs w:val="28"/>
        </w:rPr>
        <w:t>Організація міського форуму цифрового спрямування для людей похилого віку.</w:t>
      </w:r>
    </w:p>
    <w:p w14:paraId="1F4CD98B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7. </w:t>
      </w:r>
      <w:r w:rsidR="00E2226C">
        <w:rPr>
          <w:rFonts w:ascii="Times New Roman" w:hAnsi="Times New Roman"/>
          <w:color w:val="000000"/>
          <w:sz w:val="28"/>
          <w:szCs w:val="28"/>
        </w:rPr>
        <w:t>Організація системи інформування про можливості підвищення, рівня цифрової грамотності.</w:t>
      </w:r>
    </w:p>
    <w:p w14:paraId="62427CAA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8.1. </w:t>
      </w:r>
      <w:r w:rsidR="00E2226C">
        <w:rPr>
          <w:rFonts w:ascii="Times New Roman" w:hAnsi="Times New Roman"/>
          <w:color w:val="000000"/>
          <w:sz w:val="28"/>
          <w:szCs w:val="28"/>
        </w:rPr>
        <w:t>Створення інтерактивної карти цифрової освіти.</w:t>
      </w:r>
    </w:p>
    <w:p w14:paraId="2BB5776D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8.2. </w:t>
      </w:r>
      <w:r w:rsidR="00E2226C">
        <w:rPr>
          <w:rFonts w:ascii="Times New Roman" w:hAnsi="Times New Roman"/>
          <w:color w:val="000000"/>
          <w:sz w:val="28"/>
          <w:szCs w:val="28"/>
        </w:rPr>
        <w:t xml:space="preserve">Створення </w:t>
      </w:r>
      <w:proofErr w:type="spellStart"/>
      <w:r w:rsidR="00E2226C">
        <w:rPr>
          <w:rFonts w:ascii="Times New Roman" w:hAnsi="Times New Roman"/>
          <w:color w:val="000000"/>
          <w:sz w:val="28"/>
          <w:szCs w:val="28"/>
        </w:rPr>
        <w:t>лендінгу</w:t>
      </w:r>
      <w:proofErr w:type="spellEnd"/>
      <w:r w:rsidR="00E2226C">
        <w:rPr>
          <w:rFonts w:ascii="Times New Roman" w:hAnsi="Times New Roman"/>
          <w:color w:val="000000"/>
          <w:sz w:val="28"/>
          <w:szCs w:val="28"/>
        </w:rPr>
        <w:t xml:space="preserve"> цифрової грамотності.</w:t>
      </w:r>
    </w:p>
    <w:p w14:paraId="6BB35920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8.3. </w:t>
      </w:r>
      <w:r w:rsidR="00E2226C">
        <w:rPr>
          <w:rFonts w:ascii="Times New Roman" w:hAnsi="Times New Roman"/>
          <w:color w:val="000000"/>
          <w:sz w:val="28"/>
          <w:szCs w:val="28"/>
        </w:rPr>
        <w:t>Розробка та розміщення афіш.</w:t>
      </w:r>
    </w:p>
    <w:p w14:paraId="5A6F1A3B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9. </w:t>
      </w:r>
      <w:r w:rsidR="00E2226C">
        <w:rPr>
          <w:rFonts w:ascii="Times New Roman" w:hAnsi="Times New Roman"/>
          <w:color w:val="000000"/>
          <w:sz w:val="28"/>
          <w:szCs w:val="28"/>
        </w:rPr>
        <w:t>Маркетингове просування.</w:t>
      </w:r>
    </w:p>
    <w:p w14:paraId="734E4224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9.1. </w:t>
      </w:r>
      <w:r w:rsidR="00E2226C">
        <w:rPr>
          <w:rFonts w:ascii="Times New Roman" w:hAnsi="Times New Roman"/>
          <w:color w:val="000000"/>
          <w:sz w:val="28"/>
          <w:szCs w:val="28"/>
        </w:rPr>
        <w:t>Створення маркетингової стратегії, яка буде спрямована на актуалізацію запиту щодо цифрових навичок.</w:t>
      </w:r>
    </w:p>
    <w:p w14:paraId="1C4C50D2" w14:textId="77777777" w:rsidR="002769D7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9.2. </w:t>
      </w:r>
      <w:r w:rsidR="00E2226C">
        <w:rPr>
          <w:rFonts w:ascii="Times New Roman" w:hAnsi="Times New Roman"/>
          <w:color w:val="000000"/>
          <w:sz w:val="28"/>
          <w:szCs w:val="28"/>
        </w:rPr>
        <w:t xml:space="preserve">Промоція включатиме в себе заходи, які спрямовані на впровадження </w:t>
      </w:r>
      <w:proofErr w:type="spellStart"/>
      <w:r w:rsidR="00E2226C">
        <w:rPr>
          <w:rFonts w:ascii="Times New Roman" w:hAnsi="Times New Roman"/>
          <w:color w:val="000000"/>
          <w:sz w:val="28"/>
          <w:szCs w:val="28"/>
        </w:rPr>
        <w:t>діджитал</w:t>
      </w:r>
      <w:proofErr w:type="spellEnd"/>
      <w:r w:rsidR="00E2226C">
        <w:rPr>
          <w:rFonts w:ascii="Times New Roman" w:hAnsi="Times New Roman"/>
          <w:color w:val="000000"/>
          <w:sz w:val="28"/>
          <w:szCs w:val="28"/>
        </w:rPr>
        <w:t xml:space="preserve">-культури та </w:t>
      </w:r>
      <w:proofErr w:type="spellStart"/>
      <w:r w:rsidR="00E2226C">
        <w:rPr>
          <w:rFonts w:ascii="Times New Roman" w:hAnsi="Times New Roman"/>
          <w:color w:val="000000"/>
          <w:sz w:val="28"/>
          <w:szCs w:val="28"/>
        </w:rPr>
        <w:t>діджитал</w:t>
      </w:r>
      <w:proofErr w:type="spellEnd"/>
      <w:r w:rsidR="00E2226C">
        <w:rPr>
          <w:rFonts w:ascii="Times New Roman" w:hAnsi="Times New Roman"/>
          <w:color w:val="000000"/>
          <w:sz w:val="28"/>
          <w:szCs w:val="28"/>
        </w:rPr>
        <w:t>-гігієни, шляхом проведення тренінгів, фестивалів, конференцій з цифрової грамотності та інших форм залучення різних цільових аудиторій.</w:t>
      </w:r>
    </w:p>
    <w:p w14:paraId="36C557F0" w14:textId="77777777" w:rsidR="002769D7" w:rsidRDefault="00E2226C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  Систематичний моніторинг ефективності обраних інструментів.</w:t>
      </w:r>
    </w:p>
    <w:p w14:paraId="4BCB6F3F" w14:textId="77777777" w:rsidR="00C06048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77B4A7" w14:textId="77777777" w:rsidR="002769D7" w:rsidRPr="006139B2" w:rsidRDefault="00876D75" w:rsidP="000E26B5">
      <w:pPr>
        <w:pStyle w:val="a4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6139B2">
        <w:rPr>
          <w:rFonts w:ascii="Times New Roman" w:hAnsi="Times New Roman"/>
          <w:sz w:val="28"/>
          <w:szCs w:val="28"/>
        </w:rPr>
        <w:t>4</w:t>
      </w:r>
      <w:r w:rsidR="00E2226C" w:rsidRPr="006139B2">
        <w:rPr>
          <w:rFonts w:ascii="Times New Roman" w:hAnsi="Times New Roman"/>
          <w:sz w:val="28"/>
          <w:szCs w:val="28"/>
        </w:rPr>
        <w:t>. Строк виконання</w:t>
      </w:r>
    </w:p>
    <w:p w14:paraId="495A52AB" w14:textId="77777777" w:rsidR="002769D7" w:rsidRDefault="00E2226C" w:rsidP="000E26B5">
      <w:pPr>
        <w:pStyle w:val="a4"/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Враховуючи стрімке впровадження цифрових технологій, реалізація Концепції цифрової грамотності жителів Луцької міської територіальної громади розрахована до 5 років.</w:t>
      </w:r>
    </w:p>
    <w:p w14:paraId="29224875" w14:textId="77777777" w:rsidR="002769D7" w:rsidRDefault="002769D7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427E48" w14:textId="77777777" w:rsidR="00C06048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F35876" w14:textId="77777777" w:rsidR="00C06048" w:rsidRDefault="00C06048" w:rsidP="000E26B5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958B92" w14:textId="77777777" w:rsidR="002769D7" w:rsidRDefault="00E2226C" w:rsidP="000E26B5">
      <w:pPr>
        <w:pStyle w:val="a4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Заступник міського голови,</w:t>
      </w:r>
    </w:p>
    <w:p w14:paraId="16183EAD" w14:textId="77777777" w:rsidR="002769D7" w:rsidRDefault="00E2226C" w:rsidP="000E26B5">
      <w:pPr>
        <w:pStyle w:val="a4"/>
        <w:tabs>
          <w:tab w:val="left" w:pos="7035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color w:val="000000"/>
          <w:sz w:val="28"/>
          <w:szCs w:val="28"/>
        </w:rPr>
        <w:tab/>
        <w:t>Юрій ВЕРБИЧ</w:t>
      </w:r>
    </w:p>
    <w:p w14:paraId="3B293622" w14:textId="77777777" w:rsidR="002769D7" w:rsidRDefault="002769D7" w:rsidP="000E26B5">
      <w:pPr>
        <w:pStyle w:val="a4"/>
        <w:tabs>
          <w:tab w:val="left" w:pos="703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70E948A" w14:textId="77777777" w:rsidR="00C06048" w:rsidRDefault="00C06048" w:rsidP="000E26B5">
      <w:pPr>
        <w:pStyle w:val="a4"/>
        <w:tabs>
          <w:tab w:val="left" w:pos="703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6531F9" w14:textId="77777777" w:rsidR="002769D7" w:rsidRPr="00C06048" w:rsidRDefault="00C06048">
      <w:pPr>
        <w:pStyle w:val="a4"/>
        <w:tabs>
          <w:tab w:val="left" w:pos="7035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C06048">
        <w:rPr>
          <w:rFonts w:ascii="Times New Roman" w:hAnsi="Times New Roman"/>
          <w:color w:val="000000"/>
        </w:rPr>
        <w:t>Король 777 999</w:t>
      </w:r>
    </w:p>
    <w:p w14:paraId="563AEE01" w14:textId="77777777" w:rsidR="00C06048" w:rsidRDefault="00C06048">
      <w:pPr>
        <w:pStyle w:val="a4"/>
        <w:tabs>
          <w:tab w:val="left" w:pos="703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C06048" w:rsidSect="004D1F86">
      <w:headerReference w:type="default" r:id="rId6"/>
      <w:pgSz w:w="11906" w:h="16838"/>
      <w:pgMar w:top="567" w:right="567" w:bottom="1418" w:left="1985" w:header="567" w:footer="0" w:gutter="0"/>
      <w:pgNumType w:start="2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DF44" w14:textId="77777777" w:rsidR="00B13AC8" w:rsidRDefault="00B13AC8">
      <w:r>
        <w:separator/>
      </w:r>
    </w:p>
  </w:endnote>
  <w:endnote w:type="continuationSeparator" w:id="0">
    <w:p w14:paraId="76DDE5E4" w14:textId="77777777" w:rsidR="00B13AC8" w:rsidRDefault="00B1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E958" w14:textId="77777777" w:rsidR="00B13AC8" w:rsidRDefault="00B13AC8">
      <w:r>
        <w:separator/>
      </w:r>
    </w:p>
  </w:footnote>
  <w:footnote w:type="continuationSeparator" w:id="0">
    <w:p w14:paraId="14320BD7" w14:textId="77777777" w:rsidR="00B13AC8" w:rsidRDefault="00B1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29D5" w14:textId="77777777" w:rsidR="002769D7" w:rsidRDefault="00E2226C">
    <w:pPr>
      <w:pStyle w:val="a9"/>
      <w:tabs>
        <w:tab w:val="clear" w:pos="4819"/>
        <w:tab w:val="center" w:pos="4710"/>
      </w:tabs>
      <w:rPr>
        <w:rFonts w:ascii="Times New Roman" w:hAnsi="Times New Roman" w:cs="Times New Roman"/>
        <w:sz w:val="28"/>
        <w:szCs w:val="28"/>
      </w:rPr>
    </w:pPr>
    <w:r>
      <w:tab/>
    </w:r>
    <w:r w:rsidRPr="00876D75">
      <w:rPr>
        <w:rFonts w:ascii="Times New Roman" w:hAnsi="Times New Roman" w:cs="Times New Roman"/>
        <w:sz w:val="28"/>
        <w:szCs w:val="28"/>
      </w:rPr>
      <w:fldChar w:fldCharType="begin"/>
    </w:r>
    <w:r w:rsidRPr="00876D75">
      <w:rPr>
        <w:rFonts w:ascii="Times New Roman" w:hAnsi="Times New Roman" w:cs="Times New Roman"/>
        <w:sz w:val="28"/>
        <w:szCs w:val="28"/>
      </w:rPr>
      <w:instrText>PAGE</w:instrText>
    </w:r>
    <w:r w:rsidRPr="00876D75">
      <w:rPr>
        <w:rFonts w:ascii="Times New Roman" w:hAnsi="Times New Roman" w:cs="Times New Roman"/>
        <w:sz w:val="28"/>
        <w:szCs w:val="28"/>
      </w:rPr>
      <w:fldChar w:fldCharType="separate"/>
    </w:r>
    <w:r w:rsidR="006139B2">
      <w:rPr>
        <w:rFonts w:ascii="Times New Roman" w:hAnsi="Times New Roman" w:cs="Times New Roman"/>
        <w:noProof/>
        <w:sz w:val="28"/>
        <w:szCs w:val="28"/>
      </w:rPr>
      <w:t>7</w:t>
    </w:r>
    <w:r w:rsidRPr="00876D75">
      <w:rPr>
        <w:rFonts w:ascii="Times New Roman" w:hAnsi="Times New Roman" w:cs="Times New Roman"/>
        <w:sz w:val="28"/>
        <w:szCs w:val="28"/>
      </w:rPr>
      <w:fldChar w:fldCharType="end"/>
    </w:r>
  </w:p>
  <w:p w14:paraId="5FD0C03F" w14:textId="77777777" w:rsidR="006139B2" w:rsidRPr="00876D75" w:rsidRDefault="006139B2">
    <w:pPr>
      <w:pStyle w:val="a9"/>
      <w:tabs>
        <w:tab w:val="clear" w:pos="4819"/>
        <w:tab w:val="center" w:pos="471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D7"/>
    <w:rsid w:val="000E26B5"/>
    <w:rsid w:val="002769D7"/>
    <w:rsid w:val="004D1F86"/>
    <w:rsid w:val="006139B2"/>
    <w:rsid w:val="006A57A4"/>
    <w:rsid w:val="00876D75"/>
    <w:rsid w:val="008F1E96"/>
    <w:rsid w:val="00936B0B"/>
    <w:rsid w:val="00B13AC8"/>
    <w:rsid w:val="00BB6ACF"/>
    <w:rsid w:val="00C06048"/>
    <w:rsid w:val="00E2226C"/>
    <w:rsid w:val="00E32B45"/>
    <w:rsid w:val="00FA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751B"/>
  <w15:chartTrackingRefBased/>
  <w15:docId w15:val="{1B27D6FA-328F-43C8-A889-9334AE82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8"/>
    <w:link w:val="aa"/>
    <w:uiPriority w:val="99"/>
  </w:style>
  <w:style w:type="paragraph" w:styleId="ab">
    <w:name w:val="footer"/>
    <w:basedOn w:val="a"/>
    <w:link w:val="ac"/>
    <w:uiPriority w:val="99"/>
    <w:unhideWhenUsed/>
    <w:rsid w:val="000E26B5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rsid w:val="000E26B5"/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rsid w:val="000E2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9256</Words>
  <Characters>5276</Characters>
  <Application>Microsoft Office Word</Application>
  <DocSecurity>0</DocSecurity>
  <Lines>43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cp:lastModifiedBy>litvinchuk</cp:lastModifiedBy>
  <cp:revision>2</cp:revision>
  <dcterms:created xsi:type="dcterms:W3CDTF">2021-06-04T07:36:00Z</dcterms:created>
  <dcterms:modified xsi:type="dcterms:W3CDTF">2021-06-04T07:36:00Z</dcterms:modified>
  <dc:language>uk-UA</dc:language>
</cp:coreProperties>
</file>