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0"/>
          <w:szCs w:val="20"/>
        </w:rPr>
      </w:pPr>
      <w:r>
        <w:rPr/>
        <w:object>
          <v:shape id="ole_rId2" style="width:58.2pt;height:59.2pt" o:ole="">
            <v:imagedata r:id="rId3" o:title=""/>
          </v:shape>
          <o:OLEObject Type="Embed" ProgID="" ShapeID="ole_rId2" DrawAspect="Content" ObjectID="_1864724062" r:id="rId2"/>
        </w:object>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1"/>
        <w:widowControl w:val="false"/>
        <w:numPr>
          <w:ilvl w:val="0"/>
          <w:numId w:val="1"/>
        </w:numPr>
        <w:suppressAutoHyphens w:val="true"/>
        <w:rPr>
          <w:rFonts w:ascii="Times New Roman" w:hAnsi="Times New Roman" w:cs="Times New Roman"/>
          <w:sz w:val="28"/>
          <w:szCs w:val="28"/>
        </w:rPr>
      </w:pPr>
      <w:r>
        <w:rPr>
          <w:rFonts w:cs="Times New Roman" w:ascii="Times New Roman" w:hAnsi="Times New Roman"/>
          <w:sz w:val="28"/>
          <w:szCs w:val="28"/>
        </w:rPr>
        <w:t>ЛУЦЬКА  МІСЬКА  РАДА</w:t>
      </w:r>
    </w:p>
    <w:p>
      <w:pPr>
        <w:pStyle w:val="Normal"/>
        <w:rPr>
          <w:rFonts w:ascii="Times New Roman" w:hAnsi="Times New Roman" w:cs="Times New Roman"/>
          <w:sz w:val="24"/>
        </w:rPr>
      </w:pPr>
      <w:r>
        <w:rPr>
          <w:rFonts w:cs="Times New Roman" w:ascii="Times New Roman" w:hAnsi="Times New Roman"/>
          <w:sz w:val="24"/>
        </w:rPr>
      </w:r>
    </w:p>
    <w:p>
      <w:pPr>
        <w:pStyle w:val="2"/>
        <w:widowControl w:val="false"/>
        <w:numPr>
          <w:ilvl w:val="1"/>
          <w:numId w:val="1"/>
        </w:numPr>
        <w:tabs>
          <w:tab w:val="left" w:pos="4218" w:leader="none"/>
          <w:tab w:val="left" w:pos="4674" w:leader="none"/>
        </w:tabs>
        <w:suppressAutoHyphens w:val="true"/>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Normal"/>
        <w:jc w:val="center"/>
        <w:rPr>
          <w:rFonts w:ascii="Times New Roman" w:hAnsi="Times New Roman" w:cs="Times New Roman"/>
          <w:b/>
          <w:b/>
          <w:sz w:val="24"/>
          <w:szCs w:val="24"/>
        </w:rPr>
      </w:pPr>
      <w:r>
        <w:rPr>
          <w:rFonts w:cs="Times New Roman" w:ascii="Times New Roman" w:hAnsi="Times New Roman"/>
          <w:b/>
          <w:sz w:val="24"/>
          <w:szCs w:val="24"/>
        </w:rPr>
      </w:r>
    </w:p>
    <w:p>
      <w:pPr>
        <w:pStyle w:val="Normal"/>
        <w:jc w:val="center"/>
        <w:rPr>
          <w:rFonts w:ascii="Times New Roman" w:hAnsi="Times New Roman" w:cs="Times New Roman"/>
          <w:b/>
          <w:b/>
          <w:sz w:val="24"/>
          <w:szCs w:val="24"/>
        </w:rPr>
      </w:pPr>
      <w:r>
        <w:rPr>
          <w:rFonts w:cs="Times New Roman" w:ascii="Times New Roman" w:hAnsi="Times New Roman"/>
          <w:b/>
          <w:sz w:val="24"/>
          <w:szCs w:val="24"/>
        </w:rPr>
      </w:r>
    </w:p>
    <w:p>
      <w:pPr>
        <w:pStyle w:val="Normal"/>
        <w:tabs>
          <w:tab w:val="left" w:pos="4687" w:leader="none"/>
        </w:tabs>
        <w:jc w:val="both"/>
        <w:rPr>
          <w:rFonts w:ascii="Times New Roman" w:hAnsi="Times New Roman" w:cs="Times New Roman"/>
          <w:sz w:val="24"/>
        </w:rPr>
      </w:pPr>
      <w:r>
        <w:rPr>
          <w:rFonts w:cs="Times New Roman" w:ascii="Times New Roman" w:hAnsi="Times New Roman"/>
          <w:sz w:val="24"/>
        </w:rPr>
        <w:t>________________                                        Луцьк                                         №______________</w:t>
      </w:r>
    </w:p>
    <w:p>
      <w:pPr>
        <w:pStyle w:val="Normal"/>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p>
    <w:p>
      <w:pPr>
        <w:pStyle w:val="Normal"/>
        <w:widowControl/>
        <w:suppressAutoHyphens w:val="true"/>
        <w:bidi w:val="0"/>
        <w:ind w:left="0" w:right="4989" w:hanging="0"/>
        <w:jc w:val="both"/>
        <w:rPr/>
      </w:pPr>
      <w:r>
        <w:rPr>
          <w:rFonts w:cs="Times New Roman" w:ascii="Times New Roman" w:hAnsi="Times New Roman"/>
          <w:sz w:val="28"/>
          <w:szCs w:val="28"/>
        </w:rPr>
        <w:t xml:space="preserve">Про затвердження проекту земле-устрою щодо відведення земельної ділянки комунальної власності несільськогосподарського призна-чення для будівництва і обслугову-вання </w:t>
      </w:r>
      <w:r>
        <w:rPr>
          <w:rFonts w:cs="Times New Roman" w:ascii="Times New Roman" w:hAnsi="Times New Roman"/>
          <w:sz w:val="28"/>
          <w:szCs w:val="28"/>
          <w:lang w:val="uk-UA"/>
        </w:rPr>
        <w:t>паркінгів та автостоянок на землях житлової та громадської забудови</w:t>
      </w:r>
      <w:r>
        <w:rPr>
          <w:rFonts w:cs="Times New Roman" w:ascii="Times New Roman" w:hAnsi="Times New Roman"/>
          <w:sz w:val="28"/>
          <w:szCs w:val="28"/>
        </w:rPr>
        <w:t>, для продажу у власність на земельних торгах на вул. Авто-ремонтній у м. Луцьку</w:t>
      </w:r>
      <w:r>
        <w:rPr>
          <w:rFonts w:cs="Times New Roman" w:ascii="Times New Roman" w:hAnsi="Times New Roman"/>
          <w:sz w:val="28"/>
          <w:szCs w:val="28"/>
          <w:lang w:val="uk-UA"/>
        </w:rPr>
        <w:t>, площею 0,0465 га</w:t>
      </w:r>
    </w:p>
    <w:p>
      <w:pPr>
        <w:pStyle w:val="Normal"/>
        <w:widowControl/>
        <w:suppressAutoHyphens w:val="true"/>
        <w:bidi w:val="0"/>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bidi w:val="0"/>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bidi w:val="0"/>
        <w:ind w:left="0" w:right="0" w:firstLine="624"/>
        <w:jc w:val="both"/>
        <w:rPr/>
      </w:pPr>
      <w:r>
        <w:rPr>
          <w:rFonts w:cs="Times New Roman" w:ascii="Times New Roman" w:hAnsi="Times New Roman"/>
          <w:sz w:val="28"/>
          <w:szCs w:val="28"/>
        </w:rPr>
        <w:t>З метою підготовки проведення земельних торгів (аукціону) з продажу у власність земельної ділянки комунальної власності несільськогосподарського призначення Луцької міської територіальної громади</w:t>
      </w:r>
      <w:r>
        <w:rPr>
          <w:rFonts w:cs="Times New Roman" w:ascii="Times New Roman" w:hAnsi="Times New Roman"/>
          <w:sz w:val="28"/>
          <w:szCs w:val="28"/>
          <w:lang w:val="uk-UA"/>
        </w:rPr>
        <w:t>, площею 0,0465 га, кадастровим номером 0710100000:22:110:0041, у м. Луцьку</w:t>
      </w:r>
      <w:r>
        <w:rPr>
          <w:rFonts w:cs="Times New Roman" w:ascii="Times New Roman" w:hAnsi="Times New Roman"/>
          <w:sz w:val="28"/>
          <w:szCs w:val="28"/>
        </w:rPr>
        <w:t>, керуючись статтями 13, 142, 143 Конституції України, статтями 12, 79-1, 134</w:t>
      </w:r>
      <w:r>
        <w:rPr>
          <w:rFonts w:eastAsia="Times New Roman" w:cs="Times New Roman" w:ascii="Times New Roman" w:hAnsi="Times New Roman"/>
          <w:sz w:val="28"/>
          <w:szCs w:val="28"/>
        </w:rPr>
        <w:t>‒</w:t>
      </w:r>
      <w:r>
        <w:rPr>
          <w:rFonts w:cs="Times New Roman" w:ascii="Times New Roman" w:hAnsi="Times New Roman"/>
          <w:sz w:val="28"/>
          <w:szCs w:val="28"/>
        </w:rPr>
        <w:t>139 Земельного кодексу України, статтею 26 Закону України “Про місцеве самоврядування в Україні”, статтями 25, 26, 30, 50 Закону України “Про землеустрій”, статтями 15, 16, 24 “Про Державний земельний кадастр”, статтями 3, 13, 22 “Про оцінку земель”,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5, 12, 18, 20, 21 “Про державну реєстрацію речових прав на нерухоме майн</w:t>
      </w:r>
      <w:r>
        <w:rPr>
          <w:rFonts w:eastAsia="Times New Roman" w:cs="Times New Roman" w:ascii="Times New Roman" w:hAnsi="Times New Roman"/>
          <w:bCs/>
          <w:color w:val="auto"/>
          <w:sz w:val="28"/>
          <w:szCs w:val="28"/>
          <w:lang w:val="uk-UA" w:eastAsia="zh-CN" w:bidi="ar-SA"/>
        </w:rPr>
        <w:t>о”, пунктами 107, 110, 110-2 Порядку ведення Державного земельного кадастру, затвердженого Постановою Кабінету Міністрів України від 17.10.2012 № 1051, рішенням Луцької міської ради</w:t>
        <w:br/>
        <w:t>від 26.06.2019 № 58</w:t>
      </w:r>
      <w:r>
        <w:rPr>
          <w:rFonts w:eastAsia="Times New Roman" w:cs="Times New Roman" w:ascii="Times New Roman" w:hAnsi="Times New Roman"/>
          <w:bCs/>
          <w:color w:val="auto"/>
          <w:kern w:val="0"/>
          <w:sz w:val="28"/>
          <w:szCs w:val="28"/>
          <w:lang w:val="uk-UA" w:eastAsia="zh-CN" w:bidi="ar-SA"/>
        </w:rPr>
        <w:t>/3 “</w:t>
      </w:r>
      <w:r>
        <w:rPr>
          <w:rFonts w:eastAsia="Times New Roman" w:cs="Times New Roman" w:ascii="Times New Roman" w:hAnsi="Times New Roman"/>
          <w:b w:val="false"/>
          <w:bCs/>
          <w:i w:val="false"/>
          <w:strike w:val="false"/>
          <w:dstrike w:val="false"/>
          <w:color w:val="auto"/>
          <w:kern w:val="0"/>
          <w:sz w:val="28"/>
          <w:szCs w:val="28"/>
          <w:u w:val="none"/>
          <w:lang w:val="uk-UA" w:eastAsia="zh-CN" w:bidi="ar-SA"/>
        </w:rPr>
        <w:t xml:space="preserve">Про надання </w:t>
      </w:r>
      <w:r>
        <w:rPr>
          <w:rFonts w:eastAsia="Times New Roman" w:cs="Times New Roman" w:ascii="Times New Roman" w:hAnsi="Times New Roman"/>
          <w:bCs/>
          <w:color w:val="auto"/>
          <w:kern w:val="0"/>
          <w:sz w:val="28"/>
          <w:szCs w:val="28"/>
          <w:lang w:val="uk-UA" w:eastAsia="zh-CN" w:bidi="ar-SA"/>
        </w:rPr>
        <w:t>виконавчому комітет</w:t>
      </w:r>
      <w:r>
        <w:rPr>
          <w:rFonts w:eastAsia="Times New Roman" w:cs="Times New Roman" w:ascii="Times New Roman" w:hAnsi="Times New Roman"/>
          <w:bCs/>
          <w:color w:val="auto"/>
          <w:sz w:val="28"/>
          <w:szCs w:val="28"/>
          <w:lang w:val="uk-UA" w:eastAsia="zh-CN" w:bidi="ar-SA"/>
        </w:rPr>
        <w:t>у Луцької міської ради дозволів на розроблення проектів землеустрою щодо відведення земельних ділянок комунальної власності несільськогосподарського призначення, які пропонуватимуться для включення в перелік земельних ділянок, що виставлятимуться на земельні торги, та проведення їх експертних грошових оцінок”, витягом з Державного земельного кадастру про земельну ділянку від 11.05.2021 № НВ-0711469862021</w:t>
      </w:r>
      <w:r>
        <w:rPr>
          <w:rFonts w:cs="Times New Roman" w:ascii="Times New Roman" w:hAnsi="Times New Roman"/>
          <w:sz w:val="28"/>
          <w:szCs w:val="28"/>
        </w:rPr>
        <w:t>, міська рада</w:t>
      </w:r>
    </w:p>
    <w:p>
      <w:pPr>
        <w:pStyle w:val="Normal"/>
        <w:widowControl/>
        <w:suppressAutoHyphens w:val="true"/>
        <w:bidi w:val="0"/>
        <w:ind w:left="0" w:right="0" w:firstLine="737"/>
        <w:jc w:val="center"/>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bidi w:val="0"/>
        <w:ind w:left="0" w:right="0" w:hanging="0"/>
        <w:rPr>
          <w:rFonts w:ascii="Times New Roman" w:hAnsi="Times New Roman" w:cs="Times New Roman"/>
          <w:sz w:val="28"/>
          <w:szCs w:val="28"/>
        </w:rPr>
      </w:pPr>
      <w:r>
        <w:rPr>
          <w:rFonts w:cs="Times New Roman" w:ascii="Times New Roman" w:hAnsi="Times New Roman"/>
          <w:sz w:val="28"/>
          <w:szCs w:val="28"/>
        </w:rPr>
        <w:t>ВИРІШИЛА:</w:t>
      </w:r>
    </w:p>
    <w:p>
      <w:pPr>
        <w:pStyle w:val="Normal"/>
        <w:widowControl/>
        <w:suppressAutoHyphens w:val="true"/>
        <w:bidi w:val="0"/>
        <w:ind w:left="0" w:right="0" w:hanging="0"/>
        <w:jc w:val="center"/>
        <w:rPr>
          <w:rFonts w:ascii="Times New Roman" w:hAnsi="Times New Roman" w:cs="Times New Roman"/>
          <w:sz w:val="28"/>
          <w:szCs w:val="28"/>
        </w:rPr>
      </w:pPr>
      <w:r>
        <w:rPr>
          <w:rFonts w:cs="Times New Roman" w:ascii="Times New Roman" w:hAnsi="Times New Roman"/>
          <w:sz w:val="28"/>
          <w:szCs w:val="28"/>
        </w:rPr>
      </w:r>
    </w:p>
    <w:p>
      <w:pPr>
        <w:pStyle w:val="Normal"/>
        <w:widowControl/>
        <w:numPr>
          <w:ilvl w:val="0"/>
          <w:numId w:val="2"/>
        </w:numPr>
        <w:tabs>
          <w:tab w:val="left" w:pos="1020" w:leader="none"/>
        </w:tabs>
        <w:suppressAutoHyphens w:val="true"/>
        <w:bidi w:val="0"/>
        <w:ind w:left="0" w:right="0" w:firstLine="567"/>
        <w:jc w:val="both"/>
        <w:rPr/>
      </w:pPr>
      <w:r>
        <w:rPr>
          <w:rFonts w:cs="Times New Roman" w:ascii="Times New Roman" w:hAnsi="Times New Roman"/>
          <w:sz w:val="28"/>
          <w:szCs w:val="28"/>
          <w:lang w:val="uk-UA"/>
        </w:rPr>
        <w:t>Затвердити проект землеустрою щодо відведення земельної</w:t>
        <w:br/>
        <w:t>ділянки комунальної власності несільськогосподарського призначення на вул. Авторемонтній у м. Луцьку, площею 0,0465 га, кадастровим номером 0710100000:22:110:0041, цільовим призначенням: В.02.09 — для будівництва і обслуговування паркінгів та автостоянок на землях житлової та громадської забудови, вид використання — для будівництва і обслуговування стоянки транспортних засобів, для продажу у власність на земельних торгах (аукціоні), згідно з додатком.</w:t>
      </w:r>
    </w:p>
    <w:p>
      <w:pPr>
        <w:pStyle w:val="Normal"/>
        <w:widowControl/>
        <w:numPr>
          <w:ilvl w:val="0"/>
          <w:numId w:val="2"/>
        </w:numPr>
        <w:tabs>
          <w:tab w:val="left" w:pos="1020" w:leader="none"/>
        </w:tabs>
        <w:suppressAutoHyphens w:val="true"/>
        <w:kinsoku w:val="true"/>
        <w:overflowPunct w:val="true"/>
        <w:autoSpaceDE w:val="true"/>
        <w:bidi w:val="0"/>
        <w:ind w:left="0" w:right="0" w:firstLine="567"/>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Управлінню земельних ресурсів Луцької міської ради (Шабала С.О.) забезпечити:</w:t>
      </w:r>
    </w:p>
    <w:p>
      <w:pPr>
        <w:pStyle w:val="Normal"/>
        <w:widowControl/>
        <w:numPr>
          <w:ilvl w:val="1"/>
          <w:numId w:val="2"/>
        </w:numPr>
        <w:tabs>
          <w:tab w:val="left" w:pos="1185" w:leader="none"/>
        </w:tabs>
        <w:suppressAutoHyphens w:val="true"/>
        <w:kinsoku w:val="true"/>
        <w:overflowPunct w:val="true"/>
        <w:autoSpaceDE w:val="true"/>
        <w:bidi w:val="0"/>
        <w:ind w:left="0" w:right="0" w:firstLine="567"/>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Проведення Державної реєстрації права комунальної власності Луцької міської територіальної громади в особі Луцької міської ради на земельну ділянку, зазначену в пункті 1 цього рішення, в Державному реєстрі речових прав на нерухоме майно та їх обтяжень.</w:t>
      </w:r>
    </w:p>
    <w:p>
      <w:pPr>
        <w:pStyle w:val="Normal"/>
        <w:widowControl/>
        <w:numPr>
          <w:ilvl w:val="1"/>
          <w:numId w:val="2"/>
        </w:numPr>
        <w:tabs>
          <w:tab w:val="left" w:pos="1185" w:leader="none"/>
        </w:tabs>
        <w:suppressAutoHyphens w:val="true"/>
        <w:kinsoku w:val="true"/>
        <w:overflowPunct w:val="true"/>
        <w:autoSpaceDE w:val="true"/>
        <w:bidi w:val="0"/>
        <w:ind w:left="0" w:right="0" w:firstLine="567"/>
        <w:jc w:val="both"/>
        <w:rPr/>
      </w:pPr>
      <w:r>
        <w:rPr>
          <w:rFonts w:eastAsia="Times New Roman" w:cs="Times New Roman" w:ascii="Times New Roman" w:hAnsi="Times New Roman"/>
          <w:sz w:val="28"/>
          <w:szCs w:val="28"/>
          <w:lang w:val="uk-UA"/>
        </w:rPr>
        <w:t>Укладення виконавчим комітетом Луцької міської ради з суб</w:t>
      </w:r>
      <w:r>
        <w:rPr>
          <w:rFonts w:eastAsia="SimSun" w:cs="Times New Roman" w:ascii="Times New Roman" w:hAnsi="Times New Roman"/>
          <w:sz w:val="28"/>
          <w:szCs w:val="28"/>
          <w:lang w:val="uk-UA"/>
        </w:rPr>
        <w:t>’єктом оціночної діяльності у сфері оцінки земель договору на проведення експертної грошової оцінки земельної ділянки, зазначеної в пункті 1 цього рішення, для її підготовки до продажу на земельних торгах (аукціоні).</w:t>
      </w:r>
    </w:p>
    <w:p>
      <w:pPr>
        <w:pStyle w:val="Normal"/>
        <w:widowControl/>
        <w:numPr>
          <w:ilvl w:val="0"/>
          <w:numId w:val="2"/>
        </w:numPr>
        <w:tabs>
          <w:tab w:val="left" w:pos="960" w:leader="none"/>
        </w:tabs>
        <w:suppressAutoHyphens w:val="true"/>
        <w:kinsoku w:val="true"/>
        <w:overflowPunct w:val="true"/>
        <w:autoSpaceDE w:val="true"/>
        <w:bidi w:val="0"/>
        <w:ind w:left="0" w:right="0" w:firstLine="567"/>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Контроль за виконанням рішення покласти на комісію міської ради з питань земельних відносин та земельного кадастру (Козлюк О.Є.).</w:t>
      </w:r>
    </w:p>
    <w:p>
      <w:pPr>
        <w:pStyle w:val="Normal"/>
        <w:widowControl/>
        <w:numPr>
          <w:ilvl w:val="0"/>
          <w:numId w:val="0"/>
        </w:numPr>
        <w:tabs>
          <w:tab w:val="left" w:pos="1020" w:leader="none"/>
        </w:tabs>
        <w:suppressAutoHyphens w:val="true"/>
        <w:kinsoku w:val="true"/>
        <w:overflowPunct w:val="true"/>
        <w:autoSpaceDE w:val="true"/>
        <w:bidi w:val="0"/>
        <w:ind w:left="72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bidi w:val="0"/>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tabs>
          <w:tab w:val="left" w:pos="7320" w:leader="none"/>
        </w:tabs>
        <w:suppressAutoHyphens w:val="true"/>
        <w:bidi w:val="0"/>
        <w:ind w:left="0" w:right="0" w:hanging="0"/>
        <w:jc w:val="both"/>
        <w:rPr/>
      </w:pPr>
      <w:r>
        <w:rPr>
          <w:rFonts w:cs="Times New Roman" w:ascii="Times New Roman" w:hAnsi="Times New Roman"/>
          <w:sz w:val="28"/>
          <w:szCs w:val="28"/>
        </w:rPr>
        <w:t>Міський голова</w:t>
        <w:tab/>
        <w:t>Ігор</w:t>
      </w:r>
      <w:r>
        <w:rPr>
          <w:rFonts w:cs="Times New Roman" w:ascii="Times New Roman" w:hAnsi="Times New Roman"/>
          <w:sz w:val="28"/>
          <w:szCs w:val="28"/>
          <w:lang w:val="uk-UA"/>
        </w:rPr>
        <w:t xml:space="preserve"> ПОЛІЩУК</w:t>
      </w:r>
    </w:p>
    <w:p>
      <w:pPr>
        <w:pStyle w:val="Normal"/>
        <w:widowControl/>
        <w:tabs>
          <w:tab w:val="left" w:pos="7513" w:leader="none"/>
        </w:tabs>
        <w:suppressAutoHyphens w:val="true"/>
        <w:bidi w:val="0"/>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tabs>
          <w:tab w:val="left" w:pos="7513" w:leader="none"/>
        </w:tabs>
        <w:suppressAutoHyphens w:val="true"/>
        <w:bidi w:val="0"/>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tabs>
          <w:tab w:val="left" w:pos="7513" w:leader="none"/>
        </w:tabs>
        <w:suppressAutoHyphens w:val="true"/>
        <w:bidi w:val="0"/>
        <w:ind w:left="0" w:right="0" w:hanging="0"/>
        <w:jc w:val="both"/>
        <w:rPr>
          <w:rFonts w:ascii="Times New Roman" w:hAnsi="Times New Roman" w:cs="Times New Roman"/>
          <w:sz w:val="24"/>
          <w:szCs w:val="24"/>
          <w:lang w:val="uk-UA"/>
        </w:rPr>
      </w:pPr>
      <w:r>
        <w:rPr>
          <w:rFonts w:cs="Times New Roman" w:ascii="Times New Roman" w:hAnsi="Times New Roman"/>
          <w:sz w:val="24"/>
          <w:szCs w:val="24"/>
          <w:lang w:val="uk-UA"/>
        </w:rPr>
        <w:t>Шабала 777 873</w:t>
      </w:r>
    </w:p>
    <w:sectPr>
      <w:type w:val="nextPage"/>
      <w:pgSz w:w="11906" w:h="16838"/>
      <w:pgMar w:left="1701" w:right="850" w:header="0" w:top="567" w:footer="0" w:bottom="181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Times New Roman">
    <w:charset w:val="01"/>
    <w:family w:val="roman"/>
    <w:pitch w:val="variable"/>
  </w:font>
  <w:font w:name="Liberation Sans">
    <w:altName w:val="Arial"/>
    <w:charset w:val="cc"/>
    <w:family w:val="swiss"/>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rPr/>
    </w:lvl>
    <w:lvl w:ilvl="1">
      <w:start w:val="1"/>
      <w:pStyle w:val="2"/>
      <w:numFmt w:val="none"/>
      <w:suff w:val="nothing"/>
      <w:lvlText w:val=""/>
      <w:lvlJc w:val="left"/>
      <w:pPr>
        <w:ind w:left="0" w:hanging="0"/>
      </w:pPr>
      <w:r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tabs>
          <w:tab w:val="num" w:pos="720"/>
        </w:tabs>
        <w:ind w:left="720" w:hanging="360"/>
      </w:pPr>
      <w:rPr>
        <w:sz w:val="28"/>
        <w:szCs w:val="28"/>
        <w:rFonts w:ascii="Times New Roman" w:hAnsi="Times New Roman" w:eastAsia="SimSun" w:cs="Times New Roman"/>
        <w:lang w:val="uk-UA"/>
      </w:rPr>
    </w:lvl>
    <w:lvl w:ilvl="1">
      <w:start w:val="1"/>
      <w:numFmt w:val="decimal"/>
      <w:lvlText w:val="%1.%2."/>
      <w:lvlJc w:val="left"/>
      <w:pPr>
        <w:tabs>
          <w:tab w:val="num" w:pos="1080"/>
        </w:tabs>
        <w:ind w:left="1080" w:hanging="360"/>
      </w:pPr>
      <w:rPr>
        <w:sz w:val="28"/>
        <w:szCs w:val="28"/>
        <w:rFonts w:ascii="Times New Roman" w:hAnsi="Times New Roman" w:eastAsia="SimSun" w:cs="Times New Roman"/>
        <w:lang w:val="uk-UA"/>
      </w:rPr>
    </w:lvl>
    <w:lvl w:ilvl="2">
      <w:start w:val="1"/>
      <w:numFmt w:val="decimal"/>
      <w:lvlText w:val="%2.%3."/>
      <w:lvlJc w:val="left"/>
      <w:pPr>
        <w:tabs>
          <w:tab w:val="num" w:pos="1440"/>
        </w:tabs>
        <w:ind w:left="1440" w:hanging="360"/>
      </w:pPr>
      <w:rPr>
        <w:sz w:val="28"/>
        <w:szCs w:val="28"/>
        <w:rFonts w:ascii="Times New Roman" w:hAnsi="Times New Roman" w:eastAsia="SimSun" w:cs="Times New Roman"/>
        <w:lang w:val="uk-UA"/>
      </w:rPr>
    </w:lvl>
    <w:lvl w:ilvl="3">
      <w:start w:val="1"/>
      <w:numFmt w:val="decimal"/>
      <w:lvlText w:val="%4."/>
      <w:lvlJc w:val="left"/>
      <w:pPr>
        <w:tabs>
          <w:tab w:val="num" w:pos="1800"/>
        </w:tabs>
        <w:ind w:left="1800" w:hanging="360"/>
      </w:pPr>
      <w:rPr>
        <w:sz w:val="28"/>
        <w:szCs w:val="28"/>
        <w:rFonts w:ascii="Times New Roman" w:hAnsi="Times New Roman" w:eastAsia="SimSun" w:cs="Times New Roman"/>
        <w:lang w:val="uk-UA"/>
      </w:rPr>
    </w:lvl>
    <w:lvl w:ilvl="4">
      <w:start w:val="1"/>
      <w:numFmt w:val="decimal"/>
      <w:lvlText w:val="%5."/>
      <w:lvlJc w:val="left"/>
      <w:pPr>
        <w:tabs>
          <w:tab w:val="num" w:pos="2160"/>
        </w:tabs>
        <w:ind w:left="2160" w:hanging="360"/>
      </w:pPr>
      <w:rPr>
        <w:sz w:val="28"/>
        <w:szCs w:val="28"/>
        <w:rFonts w:ascii="Times New Roman" w:hAnsi="Times New Roman" w:eastAsia="SimSun" w:cs="Times New Roman"/>
        <w:lang w:val="uk-UA"/>
      </w:rPr>
    </w:lvl>
    <w:lvl w:ilvl="5">
      <w:start w:val="1"/>
      <w:numFmt w:val="decimal"/>
      <w:lvlText w:val="%6."/>
      <w:lvlJc w:val="left"/>
      <w:pPr>
        <w:tabs>
          <w:tab w:val="num" w:pos="2520"/>
        </w:tabs>
        <w:ind w:left="2520" w:hanging="360"/>
      </w:pPr>
      <w:rPr>
        <w:sz w:val="28"/>
        <w:szCs w:val="28"/>
        <w:rFonts w:ascii="Times New Roman" w:hAnsi="Times New Roman" w:eastAsia="SimSun" w:cs="Times New Roman"/>
        <w:lang w:val="uk-UA"/>
      </w:rPr>
    </w:lvl>
    <w:lvl w:ilvl="6">
      <w:start w:val="1"/>
      <w:numFmt w:val="decimal"/>
      <w:lvlText w:val="%7."/>
      <w:lvlJc w:val="left"/>
      <w:pPr>
        <w:tabs>
          <w:tab w:val="num" w:pos="2880"/>
        </w:tabs>
        <w:ind w:left="2880" w:hanging="360"/>
      </w:pPr>
      <w:rPr>
        <w:sz w:val="28"/>
        <w:szCs w:val="28"/>
        <w:rFonts w:ascii="Times New Roman" w:hAnsi="Times New Roman" w:eastAsia="SimSun" w:cs="Times New Roman"/>
        <w:lang w:val="uk-UA"/>
      </w:rPr>
    </w:lvl>
    <w:lvl w:ilvl="7">
      <w:start w:val="1"/>
      <w:numFmt w:val="decimal"/>
      <w:lvlText w:val="%8."/>
      <w:lvlJc w:val="left"/>
      <w:pPr>
        <w:tabs>
          <w:tab w:val="num" w:pos="3240"/>
        </w:tabs>
        <w:ind w:left="3240" w:hanging="360"/>
      </w:pPr>
      <w:rPr>
        <w:sz w:val="28"/>
        <w:szCs w:val="28"/>
        <w:rFonts w:ascii="Times New Roman" w:hAnsi="Times New Roman" w:eastAsia="SimSun" w:cs="Times New Roman"/>
        <w:lang w:val="uk-UA"/>
      </w:rPr>
    </w:lvl>
    <w:lvl w:ilvl="8">
      <w:start w:val="1"/>
      <w:numFmt w:val="decimal"/>
      <w:lvlText w:val="%9."/>
      <w:lvlJc w:val="left"/>
      <w:pPr>
        <w:tabs>
          <w:tab w:val="num" w:pos="3600"/>
        </w:tabs>
        <w:ind w:left="3600" w:hanging="360"/>
      </w:pPr>
      <w:rPr>
        <w:sz w:val="28"/>
        <w:szCs w:val="28"/>
        <w:rFonts w:ascii="Times New Roman" w:hAnsi="Times New Roman" w:eastAsia="SimSun" w:cs="Times New Roman"/>
        <w:lang w:val="uk-UA"/>
      </w:r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uk-UA" w:eastAsia="zh-CN" w:bidi="hi-IN"/>
      </w:rPr>
    </w:rPrDefault>
    <w:pPrDefault>
      <w:pPr/>
    </w:pPrDefault>
  </w:docDefaults>
  <w:style w:type="paragraph" w:styleId="Normal">
    <w:name w:val="Normal"/>
    <w:qFormat/>
    <w:pPr>
      <w:widowControl/>
      <w:suppressAutoHyphens w:val="true"/>
      <w:bidi w:val="0"/>
    </w:pPr>
    <w:rPr>
      <w:rFonts w:ascii="Times New Roman" w:hAnsi="Times New Roman" w:eastAsia="Times New Roman" w:cs="Times New Roman"/>
      <w:bCs/>
      <w:color w:val="auto"/>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eastAsia="SimSun" w:cs="Times New Roman"/>
      <w:sz w:val="28"/>
      <w:szCs w:val="28"/>
      <w:lang w:val="uk-UA"/>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Style13">
    <w:name w:val="Символ нумерации"/>
    <w:qFormat/>
    <w:rPr>
      <w:rFonts w:ascii="Times New Roman" w:hAnsi="Times New Roman" w:cs="Times New Roman"/>
      <w:sz w:val="28"/>
      <w:szCs w:val="28"/>
      <w:lang w:val="uk-UA"/>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Розділ"/>
    <w:basedOn w:val="Normal"/>
    <w:qFormat/>
    <w:pPr>
      <w:suppressLineNumbers/>
      <w:spacing w:before="120" w:after="120"/>
    </w:pPr>
    <w:rPr>
      <w:rFonts w:cs="Arial"/>
      <w:i/>
      <w:iCs/>
      <w:sz w:val="24"/>
      <w:szCs w:val="24"/>
    </w:rPr>
  </w:style>
  <w:style w:type="paragraph" w:styleId="Style20">
    <w:name w:val="Покажчик"/>
    <w:basedOn w:val="Normal"/>
    <w:qFormat/>
    <w:pPr>
      <w:suppressLineNumbers/>
    </w:pPr>
    <w:rPr>
      <w:rFonts w:cs="Arial"/>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1036</TotalTime>
  <Application>LibreOffice/6.0.0.3$Windows_x86 LibreOffice_project/64a0f66915f38c6217de274f0aa8e15618924765</Application>
  <Pages>2</Pages>
  <Words>420</Words>
  <Characters>2828</Characters>
  <CharactersWithSpaces>3315</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2017-08-28T10:16:00Z</dcterms:created>
  <dc:creator>С</dc:creator>
  <dc:description/>
  <dc:language>uk-UA</dc:language>
  <cp:lastModifiedBy>Василь  Демчук</cp:lastModifiedBy>
  <cp:lastPrinted>2020-12-09T12:29:00Z</cp:lastPrinted>
  <dcterms:modified xsi:type="dcterms:W3CDTF">2021-06-01T15:17:02Z</dcterms:modified>
  <cp:revision>36</cp:revision>
  <dc:subject/>
  <dc:title> </dc:title>
</cp:coreProperties>
</file>