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uppressAutoHyphens w:val="true"/>
        <w:jc w:val="center"/>
        <w:rPr/>
      </w:pPr>
      <w:r>
        <w:rPr/>
      </w:r>
    </w:p>
    <w:p>
      <w:pPr>
        <w:pStyle w:val="Normal"/>
        <w:suppressAutoHyphens w:val="true"/>
        <w:jc w:val="center"/>
        <w:rPr/>
      </w:pPr>
      <w:r>
        <w:rPr/>
        <w:object w:dxaOrig="3096" w:dyaOrig="3281">
          <v:shape id="ole_rId2" style="width:58.2pt;height:59.2pt" o:ole="">
            <v:imagedata r:id="rId3" o:title=""/>
          </v:shape>
          <o:OLEObject Type="Embed" ProgID="" ShapeID="ole_rId2" DrawAspect="Content" ObjectID="_1088808313" r:id="rId2"/>
        </w:object>
      </w:r>
    </w:p>
    <w:p>
      <w:pPr>
        <w:pStyle w:val="Normal"/>
        <w:suppressAutoHyphens w:val="true"/>
        <w:jc w:val="center"/>
        <w:rPr>
          <w:sz w:val="16"/>
          <w:szCs w:val="16"/>
        </w:rPr>
      </w:pPr>
      <w:r>
        <w:rPr>
          <w:sz w:val="16"/>
          <w:szCs w:val="16"/>
        </w:rPr>
      </w:r>
    </w:p>
    <w:p>
      <w:pPr>
        <w:pStyle w:val="1"/>
        <w:suppressAutoHyphens w:val="true"/>
        <w:rPr>
          <w:sz w:val="28"/>
          <w:szCs w:val="28"/>
        </w:rPr>
      </w:pPr>
      <w:r>
        <w:rPr>
          <w:sz w:val="28"/>
          <w:szCs w:val="28"/>
        </w:rPr>
        <w:t>ЛУЦЬКА  МІСЬКА  РАДА</w:t>
      </w:r>
    </w:p>
    <w:p>
      <w:pPr>
        <w:pStyle w:val="Normal"/>
        <w:suppressAutoHyphens w:val="true"/>
        <w:rPr>
          <w:sz w:val="20"/>
          <w:szCs w:val="20"/>
        </w:rPr>
      </w:pPr>
      <w:r>
        <w:rPr>
          <w:sz w:val="20"/>
          <w:szCs w:val="20"/>
        </w:rPr>
      </w:r>
    </w:p>
    <w:p>
      <w:pPr>
        <w:pStyle w:val="2"/>
        <w:tabs>
          <w:tab w:val="clear" w:pos="408"/>
          <w:tab w:val="left" w:pos="4218" w:leader="none"/>
          <w:tab w:val="left" w:pos="4674" w:leader="none"/>
        </w:tabs>
        <w:suppressAutoHyphens w:val="true"/>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suppressAutoHyphens w:val="true"/>
        <w:jc w:val="center"/>
        <w:rPr>
          <w:b/>
          <w:b/>
          <w:bCs w:val="false"/>
          <w:i/>
          <w:i/>
          <w:sz w:val="40"/>
          <w:szCs w:val="40"/>
        </w:rPr>
      </w:pPr>
      <w:r>
        <w:rPr>
          <w:b/>
          <w:bCs w:val="false"/>
          <w:i/>
          <w:sz w:val="40"/>
          <w:szCs w:val="40"/>
        </w:rPr>
      </w:r>
    </w:p>
    <w:p>
      <w:pPr>
        <w:pStyle w:val="Normal"/>
        <w:tabs>
          <w:tab w:val="clear" w:pos="408"/>
          <w:tab w:val="left" w:pos="4687" w:leader="none"/>
        </w:tabs>
        <w:suppressAutoHyphens w:val="true"/>
        <w:jc w:val="both"/>
        <w:rPr>
          <w:sz w:val="24"/>
        </w:rPr>
      </w:pPr>
      <w:r>
        <w:rPr>
          <w:sz w:val="24"/>
        </w:rPr>
        <w:t>________________                                        Луцьк                                         №______________</w:t>
      </w:r>
    </w:p>
    <w:p>
      <w:pPr>
        <w:pStyle w:val="Normal"/>
        <w:suppressAutoHyphens w:val="true"/>
        <w:rPr>
          <w:sz w:val="24"/>
        </w:rPr>
      </w:pPr>
      <w:r>
        <w:rPr>
          <w:sz w:val="24"/>
        </w:rPr>
      </w:r>
    </w:p>
    <w:tbl>
      <w:tblPr>
        <w:tblW w:w="9517" w:type="dxa"/>
        <w:jc w:val="left"/>
        <w:tblInd w:w="-108" w:type="dxa"/>
        <w:tblCellMar>
          <w:top w:w="0" w:type="dxa"/>
          <w:left w:w="108" w:type="dxa"/>
          <w:bottom w:w="0" w:type="dxa"/>
          <w:right w:w="108" w:type="dxa"/>
        </w:tblCellMar>
      </w:tblPr>
      <w:tblGrid>
        <w:gridCol w:w="5211"/>
        <w:gridCol w:w="4306"/>
      </w:tblGrid>
      <w:tr>
        <w:trPr>
          <w:trHeight w:val="900" w:hRule="atLeast"/>
        </w:trPr>
        <w:tc>
          <w:tcPr>
            <w:tcW w:w="5211" w:type="dxa"/>
            <w:tcBorders/>
            <w:shd w:fill="auto" w:val="clear"/>
          </w:tcPr>
          <w:p>
            <w:pPr>
              <w:pStyle w:val="Normal"/>
              <w:tabs>
                <w:tab w:val="clear" w:pos="408"/>
                <w:tab w:val="left" w:pos="4536" w:leader="none"/>
              </w:tabs>
              <w:suppressAutoHyphens w:val="true"/>
              <w:ind w:right="459" w:hanging="0"/>
              <w:jc w:val="both"/>
              <w:rPr>
                <w:sz w:val="28"/>
                <w:szCs w:val="28"/>
              </w:rPr>
            </w:pPr>
            <w:r>
              <w:rPr>
                <w:sz w:val="28"/>
                <w:szCs w:val="28"/>
              </w:rPr>
              <w:t xml:space="preserve">Про передачу майна, набутого під час реалізації проєкту </w:t>
            </w:r>
            <w:r>
              <w:rPr>
                <w:color w:val="000000"/>
                <w:sz w:val="28"/>
                <w:szCs w:val="28"/>
              </w:rPr>
              <w:t>«Оновлення інфраструктури електротранспорту міста Луцька»</w:t>
            </w:r>
          </w:p>
        </w:tc>
        <w:tc>
          <w:tcPr>
            <w:tcW w:w="4306" w:type="dxa"/>
            <w:tcBorders/>
            <w:shd w:fill="auto" w:val="clear"/>
          </w:tcPr>
          <w:p>
            <w:pPr>
              <w:pStyle w:val="Normal"/>
              <w:suppressAutoHyphens w:val="true"/>
              <w:snapToGrid w:val="false"/>
              <w:ind w:left="1026" w:hanging="0"/>
              <w:rPr>
                <w:b/>
                <w:b/>
                <w:sz w:val="20"/>
                <w:szCs w:val="28"/>
              </w:rPr>
            </w:pPr>
            <w:r>
              <w:rPr>
                <w:b/>
                <w:sz w:val="20"/>
                <w:szCs w:val="28"/>
              </w:rPr>
            </w:r>
          </w:p>
        </w:tc>
      </w:tr>
    </w:tbl>
    <w:p>
      <w:pPr>
        <w:pStyle w:val="StyleZakonu"/>
        <w:suppressAutoHyphens w:val="true"/>
        <w:spacing w:lineRule="auto" w:line="240" w:before="0" w:after="0"/>
        <w:ind w:left="0" w:right="0" w:firstLine="709"/>
        <w:rPr>
          <w:highlight w:val="white"/>
        </w:rPr>
      </w:pPr>
      <w:r>
        <w:rPr>
          <w:sz w:val="27"/>
          <w:szCs w:val="27"/>
        </w:rPr>
      </w:r>
    </w:p>
    <w:p>
      <w:pPr>
        <w:pStyle w:val="StyleZakonu"/>
        <w:suppressAutoHyphens w:val="true"/>
        <w:spacing w:lineRule="auto" w:line="240" w:before="0" w:after="0"/>
        <w:ind w:left="0" w:right="0" w:firstLine="709"/>
        <w:rPr>
          <w:sz w:val="28"/>
          <w:szCs w:val="28"/>
        </w:rPr>
      </w:pPr>
      <w:r>
        <w:rPr>
          <w:sz w:val="28"/>
          <w:szCs w:val="28"/>
          <w:shd w:fill="FFFFFF" w:val="clear"/>
        </w:rPr>
        <w:t>У зв’язку з реалізацією проєкту «Оновлення інфраструктури електротранспорту міста Луцька Волинської області», відповідно до Закону України «Про ратифікацію Фінансової угоди (Проєкт «Міський громадський транспорт України») між Україною та Європейським інвестиційним банком», на виконання «Програми розвитку Луцького підприємства електротранспорту на 2016 – 2021 роки», керуючись п. 27 ч. 1 ст. 26 Закону України «Про місцеве самоврядування в Україні» міська рада</w:t>
      </w:r>
    </w:p>
    <w:p>
      <w:pPr>
        <w:pStyle w:val="StyleZakonu"/>
        <w:suppressAutoHyphens w:val="true"/>
        <w:spacing w:lineRule="auto" w:line="240" w:before="0" w:after="0"/>
        <w:ind w:left="0" w:right="0" w:firstLine="709"/>
        <w:rPr>
          <w:sz w:val="28"/>
          <w:szCs w:val="28"/>
          <w:highlight w:val="white"/>
        </w:rPr>
      </w:pPr>
      <w:r>
        <w:rPr>
          <w:sz w:val="28"/>
          <w:szCs w:val="28"/>
          <w:shd w:fill="FFFFFF" w:val="clear"/>
        </w:rPr>
      </w:r>
    </w:p>
    <w:p>
      <w:pPr>
        <w:pStyle w:val="StyleZakonu"/>
        <w:suppressAutoHyphens w:val="true"/>
        <w:spacing w:lineRule="auto" w:line="240" w:before="0" w:after="0"/>
        <w:ind w:left="0" w:right="0" w:hanging="0"/>
        <w:rPr>
          <w:sz w:val="28"/>
          <w:szCs w:val="28"/>
        </w:rPr>
      </w:pPr>
      <w:r>
        <w:rPr>
          <w:bCs/>
          <w:sz w:val="28"/>
          <w:szCs w:val="28"/>
        </w:rPr>
        <w:t>ВИРІШИЛА</w:t>
      </w:r>
      <w:r>
        <w:rPr>
          <w:sz w:val="28"/>
          <w:szCs w:val="28"/>
        </w:rPr>
        <w:t>:</w:t>
      </w:r>
    </w:p>
    <w:p>
      <w:pPr>
        <w:pStyle w:val="Normal"/>
        <w:shd w:fill="FFFFFF" w:val="clear"/>
        <w:suppressAutoHyphens w:val="true"/>
        <w:ind w:firstLine="709"/>
        <w:jc w:val="both"/>
        <w:textAlignment w:val="baseline"/>
        <w:rPr>
          <w:bCs w:val="false"/>
          <w:sz w:val="28"/>
          <w:szCs w:val="28"/>
          <w:lang w:eastAsia="uk-UA"/>
        </w:rPr>
      </w:pPr>
      <w:r>
        <w:rPr>
          <w:bCs w:val="false"/>
          <w:sz w:val="28"/>
          <w:szCs w:val="28"/>
          <w:lang w:eastAsia="uk-UA"/>
        </w:rPr>
      </w:r>
      <w:bookmarkStart w:id="0" w:name="10"/>
      <w:bookmarkStart w:id="1" w:name="12"/>
      <w:bookmarkStart w:id="2" w:name="13"/>
      <w:bookmarkStart w:id="3" w:name="14"/>
      <w:bookmarkStart w:id="4" w:name="8"/>
      <w:bookmarkStart w:id="5" w:name="7"/>
      <w:bookmarkStart w:id="6" w:name="10"/>
      <w:bookmarkStart w:id="7" w:name="12"/>
      <w:bookmarkStart w:id="8" w:name="13"/>
      <w:bookmarkStart w:id="9" w:name="14"/>
      <w:bookmarkStart w:id="10" w:name="8"/>
      <w:bookmarkStart w:id="11" w:name="7"/>
      <w:bookmarkEnd w:id="6"/>
      <w:bookmarkEnd w:id="7"/>
      <w:bookmarkEnd w:id="8"/>
      <w:bookmarkEnd w:id="9"/>
      <w:bookmarkEnd w:id="10"/>
      <w:bookmarkEnd w:id="11"/>
    </w:p>
    <w:p>
      <w:pPr>
        <w:pStyle w:val="Normal"/>
        <w:shd w:fill="FFFFFF" w:val="clear"/>
        <w:tabs>
          <w:tab w:val="clear" w:pos="408"/>
          <w:tab w:val="left" w:pos="1134" w:leader="none"/>
        </w:tabs>
        <w:suppressAutoHyphens w:val="true"/>
        <w:ind w:firstLine="709"/>
        <w:jc w:val="both"/>
        <w:textAlignment w:val="baseline"/>
        <w:rPr>
          <w:sz w:val="28"/>
          <w:szCs w:val="28"/>
        </w:rPr>
      </w:pPr>
      <w:r>
        <w:rPr>
          <w:bCs w:val="false"/>
          <w:sz w:val="28"/>
          <w:szCs w:val="28"/>
          <w:lang w:eastAsia="uk-UA"/>
        </w:rPr>
        <w:t xml:space="preserve">1. Передати з балансу виконавчого комітету Луцької міської ради на баланс </w:t>
      </w:r>
      <w:r>
        <w:rPr>
          <w:bCs w:val="false"/>
          <w:color w:val="000000"/>
          <w:sz w:val="28"/>
          <w:szCs w:val="28"/>
          <w:lang w:eastAsia="uk-UA"/>
        </w:rPr>
        <w:t>КП «Луцьке підприємство електротранспорту» (Пуц В.В.) на поповнення статутного капіталу майно:</w:t>
      </w:r>
    </w:p>
    <w:p>
      <w:pPr>
        <w:pStyle w:val="Normal"/>
        <w:shd w:fill="FFFFFF" w:val="clear"/>
        <w:tabs>
          <w:tab w:val="clear" w:pos="408"/>
          <w:tab w:val="left" w:pos="1134" w:leader="none"/>
        </w:tabs>
        <w:suppressAutoHyphens w:val="true"/>
        <w:ind w:firstLine="709"/>
        <w:jc w:val="both"/>
        <w:textAlignment w:val="baseline"/>
        <w:rPr>
          <w:sz w:val="28"/>
          <w:szCs w:val="28"/>
        </w:rPr>
      </w:pPr>
      <w:r>
        <w:rPr>
          <w:bCs w:val="false"/>
          <w:sz w:val="28"/>
          <w:szCs w:val="28"/>
          <w:lang w:eastAsia="uk-UA"/>
        </w:rPr>
        <w:t xml:space="preserve">1.1. Тролейбус моделі </w:t>
      </w:r>
      <w:r>
        <w:rPr>
          <w:bCs w:val="false"/>
          <w:color w:val="000000"/>
          <w:sz w:val="28"/>
          <w:szCs w:val="28"/>
          <w:lang w:eastAsia="uk-UA"/>
        </w:rPr>
        <w:t>Т70117. Виробник: ДП «АСЗ №1» АТ «АК "Богдан Моторс"», фабричний номер: 100</w:t>
      </w:r>
      <w:r>
        <w:rPr>
          <w:rFonts w:eastAsia="Times New Roman" w:cs="Times New Roman"/>
          <w:bCs w:val="false"/>
          <w:color w:val="000000"/>
          <w:sz w:val="28"/>
          <w:szCs w:val="28"/>
          <w:lang w:val="en-US" w:eastAsia="uk-UA" w:bidi="ar-SA"/>
        </w:rPr>
        <w:t>306</w:t>
      </w:r>
      <w:r>
        <w:rPr>
          <w:bCs w:val="false"/>
          <w:color w:val="000000"/>
          <w:sz w:val="28"/>
          <w:szCs w:val="28"/>
          <w:lang w:eastAsia="uk-UA"/>
        </w:rPr>
        <w:t xml:space="preserve">, рік та місяць виготовлення: </w:t>
      </w:r>
      <w:r>
        <w:rPr>
          <w:rFonts w:eastAsia="Times New Roman" w:cs="Times New Roman"/>
          <w:bCs w:val="false"/>
          <w:color w:val="000000"/>
          <w:sz w:val="28"/>
          <w:szCs w:val="28"/>
          <w:lang w:val="en-US" w:eastAsia="uk-UA" w:bidi="ar-SA"/>
        </w:rPr>
        <w:t>т</w:t>
      </w:r>
      <w:r>
        <w:rPr>
          <w:rFonts w:eastAsia="Times New Roman" w:cs="Times New Roman"/>
          <w:bCs w:val="false"/>
          <w:color w:val="000000"/>
          <w:sz w:val="28"/>
          <w:szCs w:val="28"/>
          <w:lang w:val="uk-UA" w:eastAsia="uk-UA" w:bidi="ar-SA"/>
        </w:rPr>
        <w:t>равень</w:t>
      </w:r>
      <w:r>
        <w:rPr>
          <w:bCs w:val="false"/>
          <w:color w:val="000000"/>
          <w:sz w:val="28"/>
          <w:szCs w:val="28"/>
          <w:lang w:eastAsia="uk-UA"/>
        </w:rPr>
        <w:t xml:space="preserve"> 2021 р., VIN: Y6LT70117МL100306, номер тягового двигуна: </w:t>
      </w:r>
      <w:r>
        <w:rPr>
          <w:rFonts w:eastAsia="Times New Roman" w:cs="Times New Roman"/>
          <w:bCs w:val="false"/>
          <w:color w:val="000000"/>
          <w:sz w:val="28"/>
          <w:szCs w:val="28"/>
          <w:lang w:val="en-US" w:eastAsia="uk-UA" w:bidi="ar-SA"/>
        </w:rPr>
        <w:t>21016</w:t>
      </w:r>
      <w:r>
        <w:rPr>
          <w:bCs w:val="false"/>
          <w:color w:val="000000"/>
          <w:sz w:val="28"/>
          <w:szCs w:val="28"/>
          <w:lang w:eastAsia="uk-UA"/>
        </w:rPr>
        <w:t>.</w:t>
        <w:tab/>
      </w:r>
    </w:p>
    <w:p>
      <w:pPr>
        <w:pStyle w:val="Normal"/>
        <w:shd w:fill="FFFFFF" w:val="clear"/>
        <w:tabs>
          <w:tab w:val="clear" w:pos="408"/>
          <w:tab w:val="left" w:pos="1134" w:leader="none"/>
        </w:tabs>
        <w:suppressAutoHyphens w:val="true"/>
        <w:ind w:firstLine="709"/>
        <w:jc w:val="both"/>
        <w:textAlignment w:val="baseline"/>
        <w:rPr>
          <w:color w:val="000000"/>
          <w:sz w:val="28"/>
          <w:szCs w:val="28"/>
        </w:rPr>
      </w:pPr>
      <w:r>
        <w:rPr>
          <w:bCs w:val="false"/>
          <w:color w:val="000000"/>
          <w:sz w:val="28"/>
          <w:szCs w:val="28"/>
          <w:lang w:eastAsia="uk-UA"/>
        </w:rPr>
        <w:t>1.2. Тролейбус моделі Т70117. Виробник: ДП «АСЗ №1» АТ «АК "Богдан Моторс"», фабричний номер: 100</w:t>
      </w:r>
      <w:r>
        <w:rPr>
          <w:rFonts w:eastAsia="Times New Roman" w:cs="Times New Roman"/>
          <w:bCs w:val="false"/>
          <w:color w:val="000000"/>
          <w:sz w:val="28"/>
          <w:szCs w:val="28"/>
          <w:lang w:val="en-US" w:eastAsia="uk-UA" w:bidi="ar-SA"/>
        </w:rPr>
        <w:t>307</w:t>
      </w:r>
      <w:r>
        <w:rPr>
          <w:bCs w:val="false"/>
          <w:color w:val="000000"/>
          <w:sz w:val="28"/>
          <w:szCs w:val="28"/>
          <w:lang w:eastAsia="uk-UA"/>
        </w:rPr>
        <w:t>, рік та місяць виготовлення:</w:t>
      </w:r>
      <w:r>
        <w:rPr>
          <w:bCs w:val="false"/>
          <w:color w:val="000000"/>
          <w:sz w:val="28"/>
          <w:szCs w:val="28"/>
          <w:lang w:val="uk-UA" w:eastAsia="uk-UA"/>
        </w:rPr>
        <w:t xml:space="preserve"> </w:t>
      </w:r>
      <w:r>
        <w:rPr>
          <w:rFonts w:eastAsia="Times New Roman" w:cs="Times New Roman"/>
          <w:bCs w:val="false"/>
          <w:color w:val="000000"/>
          <w:sz w:val="28"/>
          <w:szCs w:val="28"/>
          <w:lang w:val="en-US" w:eastAsia="uk-UA" w:bidi="ar-SA"/>
        </w:rPr>
        <w:t>т</w:t>
      </w:r>
      <w:r>
        <w:rPr>
          <w:rFonts w:eastAsia="Times New Roman" w:cs="Times New Roman"/>
          <w:bCs w:val="false"/>
          <w:color w:val="000000"/>
          <w:sz w:val="28"/>
          <w:szCs w:val="28"/>
          <w:lang w:val="uk-UA" w:eastAsia="uk-UA" w:bidi="ar-SA"/>
        </w:rPr>
        <w:t>равень 2021</w:t>
      </w:r>
      <w:r>
        <w:rPr>
          <w:bCs w:val="false"/>
          <w:color w:val="000000"/>
          <w:sz w:val="28"/>
          <w:szCs w:val="28"/>
          <w:lang w:eastAsia="uk-UA"/>
        </w:rPr>
        <w:t xml:space="preserve"> </w:t>
      </w:r>
      <w:r>
        <w:rPr>
          <w:bCs w:val="false"/>
          <w:color w:val="000000"/>
          <w:sz w:val="28"/>
          <w:szCs w:val="28"/>
          <w:lang w:eastAsia="uk-UA"/>
        </w:rPr>
        <w:t>р.</w:t>
      </w:r>
      <w:r>
        <w:rPr>
          <w:bCs w:val="false"/>
          <w:color w:val="000000"/>
          <w:sz w:val="28"/>
          <w:szCs w:val="28"/>
          <w:lang w:eastAsia="uk-UA"/>
        </w:rPr>
        <w:t>, VIN: Y6LT70117ML100</w:t>
      </w:r>
      <w:r>
        <w:rPr>
          <w:bCs w:val="false"/>
          <w:color w:val="000000"/>
          <w:sz w:val="28"/>
          <w:szCs w:val="28"/>
          <w:lang w:val="en-US" w:eastAsia="uk-UA"/>
        </w:rPr>
        <w:t>307</w:t>
      </w:r>
      <w:r>
        <w:rPr>
          <w:bCs w:val="false"/>
          <w:color w:val="000000"/>
          <w:sz w:val="28"/>
          <w:szCs w:val="28"/>
          <w:lang w:eastAsia="uk-UA"/>
        </w:rPr>
        <w:t xml:space="preserve">, номер тягового двигуна: </w:t>
      </w:r>
      <w:r>
        <w:rPr>
          <w:rFonts w:eastAsia="Times New Roman" w:cs="Times New Roman"/>
          <w:bCs w:val="false"/>
          <w:color w:val="000000"/>
          <w:sz w:val="28"/>
          <w:szCs w:val="28"/>
          <w:lang w:val="en-US" w:eastAsia="uk-UA" w:bidi="ar-SA"/>
        </w:rPr>
        <w:t>21026</w:t>
      </w:r>
      <w:r>
        <w:rPr>
          <w:bCs w:val="false"/>
          <w:color w:val="000000"/>
          <w:sz w:val="28"/>
          <w:szCs w:val="28"/>
          <w:lang w:eastAsia="uk-UA"/>
        </w:rPr>
        <w:t>.</w:t>
      </w:r>
    </w:p>
    <w:p>
      <w:pPr>
        <w:pStyle w:val="Normal"/>
        <w:shd w:fill="FFFFFF" w:val="clear"/>
        <w:tabs>
          <w:tab w:val="clear" w:pos="408"/>
          <w:tab w:val="left" w:pos="1134" w:leader="none"/>
        </w:tabs>
        <w:suppressAutoHyphens w:val="true"/>
        <w:ind w:firstLine="708"/>
        <w:jc w:val="both"/>
        <w:textAlignment w:val="baseline"/>
        <w:rPr>
          <w:sz w:val="28"/>
          <w:szCs w:val="28"/>
        </w:rPr>
      </w:pPr>
      <w:r>
        <w:rPr>
          <w:color w:val="000000"/>
          <w:sz w:val="28"/>
          <w:szCs w:val="28"/>
          <w:shd w:fill="FFFFFF" w:val="clear"/>
        </w:rPr>
        <w:t>2. Передачу майна оформити відповідним актом п</w:t>
      </w:r>
      <w:r>
        <w:rPr>
          <w:sz w:val="28"/>
          <w:szCs w:val="28"/>
          <w:shd w:fill="FFFFFF" w:val="clear"/>
        </w:rPr>
        <w:t>рийняття-передачі згідно з чинним законодавством.</w:t>
      </w:r>
    </w:p>
    <w:p>
      <w:pPr>
        <w:pStyle w:val="Normal"/>
        <w:tabs>
          <w:tab w:val="clear" w:pos="408"/>
          <w:tab w:val="left" w:pos="1134" w:leader="none"/>
        </w:tabs>
        <w:suppressAutoHyphens w:val="true"/>
        <w:ind w:firstLine="709"/>
        <w:jc w:val="both"/>
        <w:rPr>
          <w:sz w:val="28"/>
          <w:szCs w:val="28"/>
        </w:rPr>
      </w:pPr>
      <w:r>
        <w:rPr>
          <w:sz w:val="28"/>
          <w:szCs w:val="28"/>
        </w:rPr>
        <w:t xml:space="preserve">3. Контроль за виконанням рішення покласти на постійну комісію міської ради з питань генерального планування, будівництва, архітектури та благоустрою, житлово-комунального господарства, екології, транспорту та енергоощадності (Бондарук Р.А.) та заступника міського голови відповідно до розподілу обов’язків. </w:t>
      </w:r>
    </w:p>
    <w:p>
      <w:pPr>
        <w:pStyle w:val="Normal"/>
        <w:suppressAutoHyphens w:val="true"/>
        <w:rPr>
          <w:sz w:val="27"/>
          <w:szCs w:val="27"/>
        </w:rPr>
      </w:pPr>
      <w:r>
        <w:rPr>
          <w:sz w:val="27"/>
          <w:szCs w:val="27"/>
        </w:rPr>
      </w:r>
    </w:p>
    <w:p>
      <w:pPr>
        <w:pStyle w:val="Normal"/>
        <w:tabs>
          <w:tab w:val="clear" w:pos="408"/>
          <w:tab w:val="left" w:pos="6521" w:leader="none"/>
        </w:tabs>
        <w:suppressAutoHyphens w:val="true"/>
        <w:jc w:val="both"/>
        <w:rPr>
          <w:sz w:val="28"/>
          <w:szCs w:val="28"/>
        </w:rPr>
      </w:pPr>
      <w:bookmarkStart w:id="12" w:name="16"/>
      <w:bookmarkStart w:id="13" w:name="17"/>
      <w:bookmarkEnd w:id="12"/>
      <w:bookmarkEnd w:id="13"/>
      <w:r>
        <w:rPr>
          <w:sz w:val="28"/>
          <w:szCs w:val="28"/>
        </w:rPr>
        <w:t>Міський голова</w:t>
        <w:tab/>
        <w:t xml:space="preserve">          Ігор ПОЛІЩУК</w:t>
      </w:r>
    </w:p>
    <w:p>
      <w:pPr>
        <w:pStyle w:val="Normal"/>
        <w:suppressAutoHyphens w:val="true"/>
        <w:rPr>
          <w:sz w:val="27"/>
          <w:szCs w:val="27"/>
          <w:lang w:val="en-US" w:eastAsia="uk-UA"/>
        </w:rPr>
      </w:pPr>
      <w:r>
        <w:rPr>
          <w:sz w:val="27"/>
          <w:szCs w:val="27"/>
          <w:lang w:val="en-US" w:eastAsia="uk-UA"/>
        </w:rPr>
      </w:r>
    </w:p>
    <w:p>
      <w:pPr>
        <w:pStyle w:val="Normal"/>
        <w:suppressAutoHyphens w:val="true"/>
        <w:jc w:val="both"/>
        <w:rPr/>
      </w:pPr>
      <w:r>
        <w:rPr>
          <w:sz w:val="24"/>
          <w:lang w:eastAsia="uk-UA"/>
        </w:rPr>
        <w:t>Борис Смаль 777 932</w:t>
      </w:r>
    </w:p>
    <w:sectPr>
      <w:type w:val="nextPage"/>
      <w:pgSz w:w="11906" w:h="16838"/>
      <w:pgMar w:left="1985" w:right="454" w:header="0" w:top="567" w:footer="0" w:bottom="1418" w:gutter="0"/>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Courier New">
    <w:charset w:val="cc"/>
    <w:family w:val="modern"/>
    <w:pitch w:val="default"/>
  </w:font>
  <w:font w:name="Wingdings">
    <w:charset w:val="02"/>
    <w:family w:val="auto"/>
    <w:pitch w:val="variable"/>
  </w:font>
  <w:font w:name="OpenSymbol">
    <w:altName w:val="Arial Unicode MS"/>
    <w:charset w:val="00"/>
    <w:family w:val="auto"/>
    <w:pitch w:val="variable"/>
  </w:font>
  <w:font w:name="Liberation Sans">
    <w:altName w:val="Arial"/>
    <w:charset w:val="cc"/>
    <w:family w:val="swiss"/>
    <w:pitch w:val="variable"/>
  </w:font>
  <w:font w:name="Calibri">
    <w:charset w:val="cc"/>
    <w:family w:val="swiss"/>
    <w:pitch w:val="variable"/>
  </w:font>
  <w:font w:name="Tahoma">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rPr>
        <w:sz w:val="28"/>
        <w:szCs w:val="28"/>
        <w:rFonts w:ascii="Times New Roman" w:hAnsi="Times New Roman" w:cs="Times New Roman"/>
      </w:rPr>
    </w:lvl>
    <w:lvl w:ilvl="1">
      <w:start w:val="1"/>
      <w:pStyle w:val="2"/>
      <w:numFmt w:val="none"/>
      <w:suff w:val="nothing"/>
      <w:lvlText w:val=""/>
      <w:lvlJc w:val="left"/>
      <w:pPr>
        <w:ind w:left="576" w:hanging="576"/>
      </w:pPr>
      <w:rPr/>
    </w:lvl>
    <w:lvl w:ilvl="2">
      <w:start w:val="1"/>
      <w:pStyle w:val="3"/>
      <w:numFmt w:val="none"/>
      <w:suff w:val="nothing"/>
      <w:lvlText w:val=""/>
      <w:lvlJc w:val="left"/>
      <w:pPr>
        <w:ind w:left="720" w:hanging="720"/>
      </w:pPr>
      <w:r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90"/>
  <w:displayBackgroundShape/>
  <w:defaultTabStop w:val="4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pPrDefault>
  </w:docDefaults>
  <w:style w:type="paragraph" w:styleId="Normal">
    <w:name w:val="Normal"/>
    <w:qFormat/>
    <w:pPr>
      <w:widowControl/>
      <w:suppressAutoHyphens w:val="true"/>
      <w:bidi w:val="0"/>
    </w:pPr>
    <w:rPr>
      <w:rFonts w:ascii="Times New Roman" w:hAnsi="Times New Roman" w:eastAsia="Times New Roman" w:cs="Times New Roman"/>
      <w:bCs/>
      <w:color w:val="auto"/>
      <w:sz w:val="28"/>
      <w:szCs w:val="24"/>
      <w:lang w:val="uk-UA" w:bidi="ar-SA" w:eastAsia="zh-CN"/>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paragraph" w:styleId="3">
    <w:name w:val="Heading 3"/>
    <w:basedOn w:val="Normal"/>
    <w:next w:val="Normal"/>
    <w:qFormat/>
    <w:pPr>
      <w:keepNext w:val="true"/>
      <w:numPr>
        <w:ilvl w:val="2"/>
        <w:numId w:val="1"/>
      </w:numPr>
      <w:spacing w:before="240" w:after="60"/>
      <w:outlineLvl w:val="2"/>
    </w:pPr>
    <w:rPr>
      <w:rFonts w:ascii="Arial" w:hAnsi="Arial" w:cs="Arial"/>
      <w:b/>
      <w:sz w:val="26"/>
      <w:szCs w:val="26"/>
    </w:rPr>
  </w:style>
  <w:style w:type="character" w:styleId="WW8Num1z0">
    <w:name w:val="WW8Num1z0"/>
    <w:qFormat/>
    <w:rPr>
      <w:rFonts w:ascii="Times New Roman" w:hAnsi="Times New Roman" w:cs="Times New Roman"/>
      <w:sz w:val="28"/>
      <w:szCs w:val="28"/>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cs="Times New Roman"/>
      <w:sz w:val="28"/>
      <w:szCs w:val="28"/>
    </w:rPr>
  </w:style>
  <w:style w:type="character" w:styleId="WW8Num3z0">
    <w:name w:val="WW8Num3z0"/>
    <w:qFormat/>
    <w:rPr>
      <w:rFonts w:ascii="Times New Roman" w:hAnsi="Times New Roman" w:cs="Times New Roman"/>
      <w:b/>
      <w:sz w:val="28"/>
      <w:szCs w:val="28"/>
      <w:lang w:val="uk-UA"/>
    </w:rPr>
  </w:style>
  <w:style w:type="character" w:styleId="WW8Num4z0">
    <w:name w:val="WW8Num4z0"/>
    <w:qFormat/>
    <w:rPr>
      <w:rFonts w:ascii="Times New Roman" w:hAnsi="Times New Roman" w:cs="Times New Roman"/>
      <w:b/>
      <w:sz w:val="28"/>
      <w:szCs w:val="28"/>
    </w:rPr>
  </w:style>
  <w:style w:type="character" w:styleId="WW8Num4z1">
    <w:name w:val="WW8Num4z1"/>
    <w:qFormat/>
    <w:rPr>
      <w:rFonts w:ascii="Times New Roman" w:hAnsi="Times New Roman" w:cs="Times New Roman"/>
      <w:b w:val="false"/>
      <w:sz w:val="28"/>
      <w:szCs w:val="28"/>
    </w:rPr>
  </w:style>
  <w:style w:type="character" w:styleId="WW8Num4z2">
    <w:name w:val="WW8Num4z2"/>
    <w:qFormat/>
    <w:rPr>
      <w:rFonts w:ascii="Times New Roman" w:hAnsi="Times New Roman" w:cs="Times New Roman"/>
      <w:b/>
      <w:bCs/>
      <w:sz w:val="28"/>
      <w:szCs w:val="28"/>
    </w:rPr>
  </w:style>
  <w:style w:type="character" w:styleId="WW8Num5z0">
    <w:name w:val="WW8Num5z0"/>
    <w:qFormat/>
    <w:rPr/>
  </w:style>
  <w:style w:type="character" w:styleId="WW8Num5z1">
    <w:name w:val="WW8Num5z1"/>
    <w:qFormat/>
    <w:rPr>
      <w:rFonts w:ascii="Times New Roman" w:hAnsi="Times New Roman" w:cs="Times New Roman"/>
      <w:b w:val="false"/>
      <w:sz w:val="28"/>
      <w:szCs w:val="28"/>
    </w:rPr>
  </w:style>
  <w:style w:type="character" w:styleId="WW8Num5z2">
    <w:name w:val="WW8Num5z2"/>
    <w:qFormat/>
    <w:rPr>
      <w:rFonts w:ascii="Times New Roman" w:hAnsi="Times New Roman" w:cs="Times New Roman"/>
      <w:b/>
      <w:bCs/>
      <w:sz w:val="28"/>
      <w:szCs w:val="28"/>
    </w:rPr>
  </w:style>
  <w:style w:type="character" w:styleId="WW8Num6z0">
    <w:name w:val="WW8Num6z0"/>
    <w:qFormat/>
    <w:rPr/>
  </w:style>
  <w:style w:type="character" w:styleId="WW8Num6z1">
    <w:name w:val="WW8Num6z1"/>
    <w:qFormat/>
    <w:rPr>
      <w:b w:val="false"/>
    </w:rPr>
  </w:style>
  <w:style w:type="character" w:styleId="WW8Num6z2">
    <w:name w:val="WW8Num6z2"/>
    <w:qFormat/>
    <w:rPr>
      <w:rFonts w:ascii="Times New Roman" w:hAnsi="Times New Roman" w:cs="Times New Roman"/>
      <w:b/>
      <w:bCs/>
    </w:rPr>
  </w:style>
  <w:style w:type="character" w:styleId="WW8Num7z0">
    <w:name w:val="WW8Num7z0"/>
    <w:qFormat/>
    <w:rPr/>
  </w:style>
  <w:style w:type="character" w:styleId="WW8Num8z0">
    <w:name w:val="WW8Num8z0"/>
    <w:qFormat/>
    <w:rPr>
      <w:rFonts w:ascii="Times New Roman" w:hAnsi="Times New Roman" w:cs="Times New Roman"/>
      <w:b w:val="false"/>
      <w:bCs w:val="false"/>
      <w:i w:val="false"/>
      <w:sz w:val="28"/>
      <w:szCs w:val="28"/>
      <w:lang w:val="uk-UA" w:eastAsia="uk-UA"/>
    </w:rPr>
  </w:style>
  <w:style w:type="character" w:styleId="WW8Num9z0">
    <w:name w:val="WW8Num9z0"/>
    <w:qFormat/>
    <w:rPr>
      <w:rFonts w:ascii="Times New Roman" w:hAnsi="Times New Roman" w:cs="Times New Roman"/>
      <w:sz w:val="28"/>
      <w:szCs w:val="28"/>
    </w:rPr>
  </w:style>
  <w:style w:type="character" w:styleId="WW8Num9z1">
    <w:name w:val="WW8Num9z1"/>
    <w:qFormat/>
    <w:rPr>
      <w:rFonts w:ascii="Times New Roman" w:hAnsi="Times New Roman" w:cs="Times New Roman"/>
      <w:b w:val="false"/>
      <w:bCs/>
      <w:i w:val="false"/>
      <w:iCs/>
      <w:color w:val="FF3300"/>
      <w:sz w:val="28"/>
      <w:szCs w:val="28"/>
    </w:rPr>
  </w:style>
  <w:style w:type="character" w:styleId="WW8Num9z3">
    <w:name w:val="WW8Num9z3"/>
    <w:qFormat/>
    <w:rPr/>
  </w:style>
  <w:style w:type="character" w:styleId="WW8Num10z0">
    <w:name w:val="WW8Num10z0"/>
    <w:qFormat/>
    <w:rPr>
      <w:rFonts w:ascii="Times New Roman" w:hAnsi="Times New Roman" w:cs="Times New Roman"/>
      <w:b/>
      <w:sz w:val="28"/>
      <w:szCs w:val="28"/>
    </w:rPr>
  </w:style>
  <w:style w:type="character" w:styleId="WW8Num11z0">
    <w:name w:val="WW8Num11z0"/>
    <w:qFormat/>
    <w:rPr>
      <w:rFonts w:ascii="Symbol" w:hAnsi="Symbol" w:cs="OpenSymbol"/>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rFonts w:ascii="Times New Roman" w:hAnsi="Times New Roman" w:eastAsia="Calibri" w:cs="Times New Roman"/>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3z3">
    <w:name w:val="WW8Num13z3"/>
    <w:qFormat/>
    <w:rPr>
      <w:rFonts w:ascii="Symbol" w:hAnsi="Symbol" w:cs="Symbol"/>
    </w:rPr>
  </w:style>
  <w:style w:type="character" w:styleId="WW8Num14z0">
    <w:name w:val="WW8Num14z0"/>
    <w:qFormat/>
    <w:rPr/>
  </w:style>
  <w:style w:type="character" w:styleId="WW8Num15z0">
    <w:name w:val="WW8Num15z0"/>
    <w:qFormat/>
    <w:rPr>
      <w:b/>
    </w:rPr>
  </w:style>
  <w:style w:type="character" w:styleId="WW8Num15z1">
    <w:name w:val="WW8Num15z1"/>
    <w:qFormat/>
    <w:rPr>
      <w:b w:val="false"/>
    </w:rPr>
  </w:style>
  <w:style w:type="character" w:styleId="WW8Num15z2">
    <w:name w:val="WW8Num15z2"/>
    <w:qFormat/>
    <w:rPr>
      <w:rFonts w:ascii="Times New Roman" w:hAnsi="Times New Roman" w:eastAsia="Times New Roman" w:cs="Times New Roman"/>
      <w:b/>
    </w:rPr>
  </w:style>
  <w:style w:type="character" w:styleId="WW8Num15z3">
    <w:name w:val="WW8Num15z3"/>
    <w:qFormat/>
    <w:rPr/>
  </w:style>
  <w:style w:type="character" w:styleId="WW8Num16z0">
    <w:name w:val="WW8Num16z0"/>
    <w:qFormat/>
    <w:rPr>
      <w:rFonts w:ascii="Times New Roman" w:hAnsi="Times New Roman" w:eastAsia="Calibri" w:cs="Times New Roman"/>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6z3">
    <w:name w:val="WW8Num16z3"/>
    <w:qFormat/>
    <w:rPr>
      <w:rFonts w:ascii="Symbol" w:hAnsi="Symbol" w:cs="Symbol"/>
    </w:rPr>
  </w:style>
  <w:style w:type="character" w:styleId="Style11">
    <w:name w:val="Основной шрифт абзаца"/>
    <w:qFormat/>
    <w:rPr/>
  </w:style>
  <w:style w:type="character" w:styleId="WW8Num2z1">
    <w:name w:val="WW8Num2z1"/>
    <w:qFormat/>
    <w:rPr>
      <w:rFonts w:ascii="Times New Roman" w:hAnsi="Times New Roman" w:cs="Times New Roman"/>
      <w:b w:val="false"/>
      <w:sz w:val="28"/>
      <w:szCs w:val="28"/>
    </w:rPr>
  </w:style>
  <w:style w:type="character" w:styleId="WW8Num2z2">
    <w:name w:val="WW8Num2z2"/>
    <w:qFormat/>
    <w:rPr>
      <w:rFonts w:ascii="Times New Roman" w:hAnsi="Times New Roman" w:cs="Times New Roman"/>
      <w:b/>
      <w:bCs/>
    </w:rPr>
  </w:style>
  <w:style w:type="character" w:styleId="WW8Num7z1">
    <w:name w:val="WW8Num7z1"/>
    <w:qFormat/>
    <w:rPr>
      <w:b w:val="false"/>
    </w:rPr>
  </w:style>
  <w:style w:type="character" w:styleId="WW8Num7z2">
    <w:name w:val="WW8Num7z2"/>
    <w:qFormat/>
    <w:rPr>
      <w:rFonts w:ascii="Times New Roman" w:hAnsi="Times New Roman" w:cs="Times New Roman"/>
      <w:b/>
      <w:bCs/>
    </w:rPr>
  </w:style>
  <w:style w:type="character" w:styleId="WW8Num10z1">
    <w:name w:val="WW8Num10z1"/>
    <w:qFormat/>
    <w:rPr>
      <w:rFonts w:ascii="Times New Roman" w:hAnsi="Times New Roman" w:cs="Times New Roman"/>
      <w:b w:val="false"/>
      <w:bCs/>
      <w:i w:val="false"/>
      <w:iCs/>
      <w:color w:val="FF3300"/>
      <w:sz w:val="28"/>
      <w:szCs w:val="28"/>
    </w:rPr>
  </w:style>
  <w:style w:type="character" w:styleId="WW8Num10z3">
    <w:name w:val="WW8Num10z3"/>
    <w:qFormat/>
    <w:rPr/>
  </w:style>
  <w:style w:type="character" w:styleId="21">
    <w:name w:val="Основной шрифт абзаца2"/>
    <w:qFormat/>
    <w:rPr/>
  </w:style>
  <w:style w:type="character" w:styleId="WW8Num8z1">
    <w:name w:val="WW8Num8z1"/>
    <w:qFormat/>
    <w:rPr>
      <w:b w:val="false"/>
    </w:rPr>
  </w:style>
  <w:style w:type="character" w:styleId="WW8Num8z2">
    <w:name w:val="WW8Num8z2"/>
    <w:qFormat/>
    <w:rPr>
      <w:rFonts w:ascii="Times New Roman" w:hAnsi="Times New Roman" w:cs="Times New Roman"/>
      <w:b/>
      <w:bCs/>
      <w:sz w:val="28"/>
      <w:szCs w:val="28"/>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11">
    <w:name w:val="Основной шрифт абзаца1"/>
    <w:qFormat/>
    <w:rPr/>
  </w:style>
  <w:style w:type="character" w:styleId="Style12">
    <w:name w:val="Гіперпосилання"/>
    <w:rPr>
      <w:color w:val="0000FF"/>
      <w:u w:val="single"/>
    </w:rPr>
  </w:style>
  <w:style w:type="character" w:styleId="Style13">
    <w:name w:val="Маркеры списка"/>
    <w:qFormat/>
    <w:rPr>
      <w:rFonts w:ascii="OpenSymbol" w:hAnsi="OpenSymbol" w:eastAsia="OpenSymbol" w:cs="OpenSymbol"/>
    </w:rPr>
  </w:style>
  <w:style w:type="character" w:styleId="Style14">
    <w:name w:val="Символ нумерации"/>
    <w:qFormat/>
    <w:rPr/>
  </w:style>
  <w:style w:type="character" w:styleId="Fieldcontent">
    <w:name w:val="field-content"/>
    <w:basedOn w:val="Style11"/>
    <w:qFormat/>
    <w:rPr/>
  </w:style>
  <w:style w:type="paragraph" w:styleId="Style15">
    <w:name w:val="Заголовок"/>
    <w:basedOn w:val="Normal"/>
    <w:next w:val="Style16"/>
    <w:qFormat/>
    <w:pPr>
      <w:keepNext w:val="true"/>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12">
    <w:name w:val="Название1"/>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3">
    <w:name w:val="Название объекта1"/>
    <w:basedOn w:val="Normal"/>
    <w:qFormat/>
    <w:pPr>
      <w:suppressLineNumbers/>
      <w:spacing w:before="120" w:after="120"/>
    </w:pPr>
    <w:rPr>
      <w:rFonts w:cs="Mangal"/>
      <w:i/>
      <w:iCs/>
      <w:sz w:val="24"/>
      <w:szCs w:val="24"/>
    </w:rPr>
  </w:style>
  <w:style w:type="paragraph" w:styleId="14">
    <w:name w:val="Указатель1"/>
    <w:basedOn w:val="Normal"/>
    <w:qFormat/>
    <w:pPr>
      <w:suppressLineNumbers/>
    </w:pPr>
    <w:rPr>
      <w:rFonts w:cs="Mangal"/>
    </w:rPr>
  </w:style>
  <w:style w:type="paragraph" w:styleId="Style20">
    <w:name w:val="Обычный (веб)"/>
    <w:basedOn w:val="Normal"/>
    <w:qFormat/>
    <w:pPr>
      <w:spacing w:before="280" w:after="280"/>
    </w:pPr>
    <w:rPr>
      <w:bCs w:val="false"/>
      <w:sz w:val="24"/>
      <w:lang w:val="ru-RU"/>
    </w:rPr>
  </w:style>
  <w:style w:type="paragraph" w:styleId="StyleZakonu">
    <w:name w:val="StyleZakonu"/>
    <w:basedOn w:val="Normal"/>
    <w:qFormat/>
    <w:pPr>
      <w:suppressAutoHyphens w:val="true"/>
      <w:spacing w:lineRule="exact" w:line="220" w:before="0" w:after="60"/>
      <w:ind w:left="0" w:right="0" w:firstLine="284"/>
      <w:jc w:val="both"/>
    </w:pPr>
    <w:rPr>
      <w:bCs w:val="false"/>
      <w:sz w:val="20"/>
      <w:szCs w:val="20"/>
    </w:rPr>
  </w:style>
  <w:style w:type="paragraph" w:styleId="Style21">
    <w:name w:val="Абзац списка"/>
    <w:basedOn w:val="Normal"/>
    <w:qFormat/>
    <w:pPr>
      <w:suppressAutoHyphens w:val="true"/>
      <w:spacing w:before="0" w:after="0"/>
      <w:ind w:left="720" w:right="0" w:hanging="0"/>
    </w:pPr>
    <w:rPr>
      <w:rFonts w:ascii="Calibri" w:hAnsi="Calibri" w:eastAsia="Calibri" w:cs="Calibri"/>
      <w:bCs w:val="false"/>
      <w:sz w:val="24"/>
    </w:rPr>
  </w:style>
  <w:style w:type="paragraph" w:styleId="HTML">
    <w:name w:val="Стандартный HTML"/>
    <w:basedOn w:val="Normal"/>
    <w:qFormat/>
    <w:pPr>
      <w:suppressAutoHyphens w:val="true"/>
    </w:pPr>
    <w:rPr>
      <w:rFonts w:ascii="Courier New" w:hAnsi="Courier New" w:cs="Courier New"/>
      <w:bCs w:val="false"/>
      <w:sz w:val="20"/>
      <w:szCs w:val="20"/>
    </w:rPr>
  </w:style>
  <w:style w:type="paragraph" w:styleId="Normalny1">
    <w:name w:val="Normalny1"/>
    <w:qFormat/>
    <w:pPr>
      <w:widowControl/>
      <w:suppressAutoHyphens w:val="true"/>
      <w:bidi w:val="0"/>
      <w:spacing w:lineRule="auto" w:line="276"/>
    </w:pPr>
    <w:rPr>
      <w:rFonts w:ascii="Arial" w:hAnsi="Arial" w:eastAsia="Times New Roman" w:cs="Arial"/>
      <w:color w:val="000000"/>
      <w:sz w:val="22"/>
      <w:szCs w:val="22"/>
      <w:lang w:val="pl-PL" w:bidi="ar-SA" w:eastAsia="zh-CN"/>
    </w:rPr>
  </w:style>
  <w:style w:type="paragraph" w:styleId="Style22">
    <w:name w:val="Содержимое таблицы"/>
    <w:basedOn w:val="Normal"/>
    <w:qFormat/>
    <w:pPr>
      <w:suppressLineNumbers/>
    </w:pPr>
    <w:rPr/>
  </w:style>
  <w:style w:type="paragraph" w:styleId="Style23">
    <w:name w:val="Заголовок таблицы"/>
    <w:basedOn w:val="Style22"/>
    <w:qFormat/>
    <w:pPr>
      <w:suppressLineNumbers/>
      <w:jc w:val="center"/>
    </w:pPr>
    <w:rPr>
      <w:b/>
      <w:bCs/>
    </w:rPr>
  </w:style>
  <w:style w:type="paragraph" w:styleId="Style24">
    <w:name w:val="Текст выноски"/>
    <w:basedOn w:val="Normal"/>
    <w:qFormat/>
    <w:pPr/>
    <w:rPr>
      <w:rFonts w:ascii="Tahoma" w:hAnsi="Tahoma" w:cs="Tahoma"/>
      <w:sz w:val="16"/>
      <w:szCs w:val="16"/>
    </w:rPr>
  </w:style>
  <w:style w:type="paragraph" w:styleId="ListParagraph">
    <w:name w:val="List Paragraph"/>
    <w:basedOn w:val="Normal"/>
    <w:qFormat/>
    <w:pPr>
      <w:suppressAutoHyphens w:val="false"/>
      <w:ind w:left="720" w:hanging="0"/>
    </w:pPr>
    <w:rPr>
      <w:rFonts w:ascii="Calibri" w:hAnsi="Calibri" w:cs="Calibri"/>
      <w:bCs w:val="false"/>
      <w:sz w:val="24"/>
      <w:lang w:val="en-US"/>
    </w:rPr>
  </w:style>
  <w:style w:type="paragraph" w:styleId="Style25">
    <w:name w:val="Вміст таблиці"/>
    <w:basedOn w:val="Normal"/>
    <w:qFormat/>
    <w:pPr>
      <w:suppressLineNumbers/>
    </w:pPr>
    <w:rPr/>
  </w:style>
  <w:style w:type="paragraph" w:styleId="Style26">
    <w:name w:val="Заголовок таблиці"/>
    <w:basedOn w:val="Style25"/>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329</TotalTime>
  <Application>LibreOffice/6.3.4.2$Windows_X86_64 LibreOffice_project/60da17e045e08f1793c57c00ba83cdfce946d0aa</Application>
  <Pages>1</Pages>
  <Words>217</Words>
  <Characters>1465</Characters>
  <CharactersWithSpaces>1763</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2017-10-31T16:30:00Z</dcterms:created>
  <dc:creator>nkhmel</dc:creator>
  <dc:description/>
  <cp:keywords/>
  <dc:language>uk-UA</dc:language>
  <cp:lastModifiedBy/>
  <cp:lastPrinted>2020-10-20T16:33:00Z</cp:lastPrinted>
  <dcterms:modified xsi:type="dcterms:W3CDTF">2021-06-16T11:37:55Z</dcterms:modified>
  <cp:revision>56</cp:revision>
  <dc:subject/>
  <dc:title> </dc:title>
</cp:coreProperties>
</file>