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26466094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>Про  відмову</w:t>
      </w:r>
      <w:r>
        <w:rPr>
          <w:spacing w:val="0"/>
          <w:sz w:val="28"/>
          <w:szCs w:val="28"/>
          <w:lang w:val="uk-UA"/>
        </w:rPr>
        <w:t xml:space="preserve">  </w:t>
      </w:r>
      <w:r>
        <w:rPr>
          <w:spacing w:val="0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ину  Жабчуку В.М.</w:t>
      </w:r>
      <w:r>
        <w:rPr>
          <w:spacing w:val="0"/>
          <w:sz w:val="28"/>
          <w:szCs w:val="28"/>
          <w:lang w:val="ru-RU"/>
        </w:rPr>
        <w:t xml:space="preserve">  </w:t>
      </w:r>
      <w:r>
        <w:rPr>
          <w:spacing w:val="0"/>
          <w:szCs w:val="28"/>
        </w:rPr>
        <w:t xml:space="preserve">    </w:t>
      </w:r>
      <w:r>
        <w:rPr>
          <w:spacing w:val="0"/>
          <w:sz w:val="12"/>
          <w:szCs w:val="12"/>
        </w:rPr>
        <w:t xml:space="preserve"> </w:t>
      </w:r>
    </w:p>
    <w:p>
      <w:pPr>
        <w:pStyle w:val="Normal"/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  <w:lang w:val="ru-RU"/>
        </w:rPr>
        <w:t xml:space="preserve">у </w:t>
      </w:r>
      <w:r>
        <w:rPr>
          <w:spacing w:val="0"/>
          <w:sz w:val="28"/>
          <w:szCs w:val="28"/>
          <w:lang w:val="uk-UA"/>
        </w:rPr>
        <w:t>наданні дозволу на розроблення проекту</w:t>
      </w:r>
    </w:p>
    <w:p>
      <w:pPr>
        <w:pStyle w:val="Normal"/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>землеустрою  щодо  відведення  земельної</w:t>
      </w:r>
    </w:p>
    <w:p>
      <w:pPr>
        <w:pStyle w:val="Normal"/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 xml:space="preserve">ділянки   у  власність   для 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будівництва та</w:t>
      </w:r>
    </w:p>
    <w:p>
      <w:pPr>
        <w:pStyle w:val="Normal"/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обслуговування жилого будинку, господар-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ських  будівель  та  споруд  в  с. Зміїнець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Луцького району  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>
          <w:sz w:val="28"/>
          <w:szCs w:val="28"/>
          <w:u w:val="none"/>
        </w:rPr>
        <w:t xml:space="preserve">На виконання рішення </w:t>
      </w:r>
      <w:r>
        <w:rPr>
          <w:sz w:val="28"/>
          <w:szCs w:val="28"/>
          <w:u w:val="none"/>
          <w:lang w:val="uk-UA"/>
        </w:rPr>
        <w:t xml:space="preserve">Волинського окружного адміністративного суду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03.06.2021</w:t>
      </w:r>
      <w:r>
        <w:rPr>
          <w:sz w:val="28"/>
          <w:szCs w:val="28"/>
          <w:u w:val="none"/>
          <w:lang w:val="uk-UA"/>
        </w:rPr>
        <w:t xml:space="preserve"> (справа №140/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2926/21</w:t>
      </w:r>
      <w:r>
        <w:rPr>
          <w:sz w:val="28"/>
          <w:szCs w:val="28"/>
          <w:u w:val="none"/>
          <w:lang w:val="uk-UA"/>
        </w:rPr>
        <w:t xml:space="preserve">), яке набрало законної сили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06.07.2021</w:t>
      </w:r>
      <w:r>
        <w:rPr>
          <w:sz w:val="28"/>
          <w:szCs w:val="28"/>
          <w:u w:val="none"/>
          <w:lang w:val="uk-UA"/>
        </w:rPr>
        <w:t xml:space="preserve"> про зобов'язання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Луцької міської </w:t>
      </w:r>
      <w:r>
        <w:rPr>
          <w:sz w:val="28"/>
          <w:szCs w:val="28"/>
          <w:u w:val="none"/>
          <w:lang w:val="uk-UA"/>
        </w:rPr>
        <w:t xml:space="preserve">ради повторно розглянути заяву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Жабчука Валентина Миколайовича</w:t>
      </w:r>
      <w:r>
        <w:rPr>
          <w:sz w:val="28"/>
          <w:szCs w:val="28"/>
          <w:u w:val="none"/>
          <w:lang w:val="uk-UA"/>
        </w:rPr>
        <w:t xml:space="preserve"> щодо надання дозволу на розроблення проек</w:t>
      </w:r>
      <w:r>
        <w:rPr>
          <w:sz w:val="28"/>
          <w:szCs w:val="28"/>
          <w:lang w:val="uk-UA"/>
        </w:rPr>
        <w:t>ту</w:t>
      </w:r>
      <w:r>
        <w:rPr>
          <w:sz w:val="28"/>
          <w:szCs w:val="28"/>
        </w:rPr>
        <w:t xml:space="preserve"> землеустрою щодо відведення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земельної ділянки для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будівництва та обслуговування жилого будинку, господарських будівель і споруд орієнтовною площею 0,10 га</w:t>
      </w:r>
      <w:r>
        <w:rPr>
          <w:sz w:val="28"/>
          <w:szCs w:val="28"/>
          <w:u w:val="none"/>
        </w:rPr>
        <w:t xml:space="preserve">, розглянувши заяву громадянина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Жабчука Валентина Миколайовича</w:t>
      </w:r>
      <w:r>
        <w:rPr>
          <w:sz w:val="28"/>
          <w:szCs w:val="28"/>
          <w:u w:val="none"/>
        </w:rPr>
        <w:t xml:space="preserve"> від 14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.12.2020 з поданим графічним матеріалом</w:t>
      </w:r>
      <w:r>
        <w:rPr>
          <w:sz w:val="28"/>
          <w:szCs w:val="28"/>
          <w:u w:val="none"/>
        </w:rPr>
        <w:t xml:space="preserve">,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г</w:t>
      </w:r>
      <w:r>
        <w:rPr>
          <w:sz w:val="28"/>
          <w:szCs w:val="28"/>
          <w:u w:val="none"/>
          <w:lang w:val="uk-UA"/>
        </w:rPr>
        <w:t xml:space="preserve">енеральний план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села Зміїнець</w:t>
      </w:r>
      <w:r>
        <w:rPr>
          <w:sz w:val="28"/>
          <w:szCs w:val="28"/>
          <w:u w:val="none"/>
          <w:lang w:val="uk-UA"/>
        </w:rPr>
        <w:t xml:space="preserve">, затверджений рішенням </w:t>
      </w:r>
      <w:r>
        <w:rPr>
          <w:rFonts w:eastAsia="Times New Roman" w:cs="Times New Roman"/>
          <w:color w:val="000000"/>
          <w:sz w:val="28"/>
          <w:szCs w:val="28"/>
          <w:u w:val="none"/>
          <w:lang w:val="uk-UA" w:eastAsia="zh-CN" w:bidi="ar-SA"/>
        </w:rPr>
        <w:t>Княгининівської сільської ради</w:t>
      </w:r>
      <w:r>
        <w:rPr>
          <w:color w:val="000000"/>
          <w:sz w:val="28"/>
          <w:szCs w:val="28"/>
          <w:u w:val="none"/>
          <w:lang w:val="uk-UA"/>
        </w:rPr>
        <w:t xml:space="preserve"> від </w:t>
      </w:r>
      <w:r>
        <w:rPr>
          <w:rFonts w:eastAsia="Times New Roman" w:cs="Times New Roman"/>
          <w:color w:val="000000"/>
          <w:sz w:val="28"/>
          <w:szCs w:val="28"/>
          <w:u w:val="none"/>
          <w:lang w:val="uk-UA" w:eastAsia="zh-CN" w:bidi="ar-SA"/>
        </w:rPr>
        <w:t>09.08.2019</w:t>
      </w:r>
      <w:r>
        <w:rPr>
          <w:color w:val="000000"/>
          <w:sz w:val="28"/>
          <w:szCs w:val="28"/>
          <w:u w:val="none"/>
          <w:lang w:val="uk-UA"/>
        </w:rPr>
        <w:t xml:space="preserve"> № </w:t>
      </w:r>
      <w:r>
        <w:rPr>
          <w:rFonts w:eastAsia="Times New Roman" w:cs="Times New Roman"/>
          <w:color w:val="000000"/>
          <w:sz w:val="28"/>
          <w:szCs w:val="28"/>
          <w:u w:val="none"/>
          <w:lang w:val="uk-UA" w:eastAsia="zh-CN" w:bidi="ar-SA"/>
        </w:rPr>
        <w:t>46/5.2</w:t>
      </w:r>
      <w:r>
        <w:rPr>
          <w:color w:val="000000"/>
          <w:sz w:val="28"/>
          <w:szCs w:val="28"/>
          <w:u w:val="none"/>
          <w:lang w:val="uk-UA"/>
        </w:rPr>
        <w:t xml:space="preserve">, </w:t>
      </w:r>
      <w:r>
        <w:rPr>
          <w:color w:val="000000"/>
          <w:sz w:val="28"/>
          <w:szCs w:val="28"/>
          <w:u w:val="none"/>
        </w:rPr>
        <w:t xml:space="preserve">лист управління містобудування та архітектури Луцької міської ради від </w:t>
      </w:r>
      <w:r>
        <w:rPr>
          <w:rFonts w:eastAsia="Times New Roman" w:cs="Times New Roman"/>
          <w:strike w:val="false"/>
          <w:dstrike w:val="false"/>
          <w:color w:val="000000"/>
          <w:kern w:val="0"/>
          <w:sz w:val="28"/>
          <w:szCs w:val="28"/>
          <w:u w:val="none"/>
          <w:lang w:val="uk-UA" w:eastAsia="zh-CN" w:bidi="ar-SA"/>
        </w:rPr>
        <w:t>09.07</w:t>
      </w:r>
      <w:r>
        <w:rPr>
          <w:rFonts w:eastAsia="Times New Roman" w:cs="Times New Roman"/>
          <w:strike w:val="false"/>
          <w:dstrike w:val="false"/>
          <w:color w:val="000000"/>
          <w:sz w:val="28"/>
          <w:szCs w:val="28"/>
          <w:u w:val="none"/>
          <w:lang w:val="uk-UA" w:eastAsia="zh-CN" w:bidi="ar-SA"/>
        </w:rPr>
        <w:t>.2021,</w:t>
      </w:r>
      <w:r>
        <w:rPr>
          <w:strike w:val="false"/>
          <w:dstrike w:val="false"/>
          <w:sz w:val="28"/>
          <w:szCs w:val="28"/>
          <w:u w:val="none"/>
        </w:rPr>
        <w:t xml:space="preserve"> </w:t>
      </w:r>
      <w:r>
        <w:rPr>
          <w:strike w:val="false"/>
          <w:dstrike w:val="false"/>
          <w:sz w:val="28"/>
          <w:szCs w:val="28"/>
          <w:u w:val="none"/>
          <w:lang w:val="uk-UA"/>
        </w:rPr>
        <w:t xml:space="preserve">враховуючи, що земельна ділянка </w:t>
      </w:r>
      <w:r>
        <w:rPr>
          <w:rFonts w:eastAsia="Times New Roman" w:cs="Times New Roman"/>
          <w:strike w:val="false"/>
          <w:dstrike w:val="false"/>
          <w:color w:val="auto"/>
          <w:sz w:val="28"/>
          <w:szCs w:val="28"/>
          <w:u w:val="none"/>
          <w:lang w:val="uk-UA" w:eastAsia="zh-CN" w:bidi="ar-SA"/>
        </w:rPr>
        <w:t xml:space="preserve">знаходиться на території проектної транспортної розв’язки та частково на території громадської забудови (територія для будівництва школи) в якій будівництво та обслуговування жилих будинків, господарських будівель і споруд не передбачене, що згідно з пунктом 7 статті 118 Земельного кодексу України є підставою для відмови у наданні дозволу на розроблення проекту землеустрою щодо відведення земельної ділянки, </w:t>
      </w:r>
      <w:r>
        <w:rPr>
          <w:sz w:val="28"/>
          <w:szCs w:val="28"/>
          <w:u w:val="none"/>
        </w:rPr>
        <w:t>керуючись статтями</w:t>
      </w:r>
      <w:r>
        <w:rPr>
          <w:sz w:val="28"/>
          <w:szCs w:val="28"/>
          <w:u w:val="none"/>
          <w:lang w:val="ru-RU"/>
        </w:rPr>
        <w:t xml:space="preserve"> 12, 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sz w:val="28"/>
          <w:szCs w:val="28"/>
          <w:u w:val="none"/>
        </w:rPr>
        <w:t>81,</w:t>
      </w:r>
      <w:r>
        <w:rPr>
          <w:sz w:val="28"/>
          <w:szCs w:val="28"/>
          <w:u w:val="none"/>
          <w:lang w:val="ru-RU"/>
        </w:rPr>
        <w:t xml:space="preserve"> </w:t>
      </w:r>
      <w:r>
        <w:rPr>
          <w:sz w:val="28"/>
          <w:szCs w:val="28"/>
          <w:u w:val="none"/>
          <w:lang w:val="uk-UA"/>
        </w:rPr>
        <w:t>90-</w:t>
      </w:r>
      <w:r>
        <w:rPr>
          <w:sz w:val="28"/>
          <w:szCs w:val="28"/>
          <w:u w:val="none"/>
          <w:lang w:val="ru-RU"/>
        </w:rPr>
        <w:t>91,</w:t>
      </w:r>
      <w:r>
        <w:rPr>
          <w:sz w:val="28"/>
          <w:szCs w:val="28"/>
          <w:u w:val="none"/>
        </w:rPr>
        <w:t xml:space="preserve"> 116, 118, 121, 122, 125, </w:t>
      </w:r>
      <w:r>
        <w:rPr>
          <w:sz w:val="28"/>
          <w:szCs w:val="28"/>
          <w:u w:val="none"/>
          <w:lang w:val="ru-RU"/>
        </w:rPr>
        <w:t>126</w:t>
      </w:r>
      <w:r>
        <w:rPr>
          <w:sz w:val="28"/>
          <w:szCs w:val="28"/>
          <w:u w:val="none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Про адміністративні послуги</w:t>
      </w:r>
      <w:r>
        <w:rPr>
          <w:sz w:val="28"/>
          <w:szCs w:val="28"/>
          <w:u w:val="none"/>
        </w:rPr>
        <w:t>», статтею 24 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регулювання містобудівної діяльності», </w:t>
      </w:r>
      <w:r>
        <w:rPr>
          <w:sz w:val="28"/>
          <w:szCs w:val="28"/>
          <w:u w:val="none"/>
          <w:lang w:val="uk-UA"/>
        </w:rPr>
        <w:t>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sz w:val="28"/>
          <w:szCs w:val="28"/>
          <w:u w:val="none"/>
          <w:lang w:val="uk-UA"/>
        </w:rPr>
        <w:t xml:space="preserve"> України </w:t>
      </w:r>
      <w:r>
        <w:rPr>
          <w:color w:val="000000"/>
          <w:sz w:val="28"/>
          <w:szCs w:val="28"/>
          <w:u w:val="none"/>
          <w:lang w:val="uk-UA"/>
        </w:rPr>
        <w:t>«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 xml:space="preserve"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адміністрацій»,   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 xml:space="preserve">                            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>ДБН Б.2.2-12:2019 «</w:t>
      </w:r>
      <w:r>
        <w:rPr>
          <w:rFonts w:eastAsia="Times New Roman" w:cs="Times New Roman"/>
          <w:color w:val="auto"/>
          <w:spacing w:val="0"/>
          <w:sz w:val="28"/>
          <w:szCs w:val="28"/>
          <w:u w:val="none"/>
          <w:lang w:val="uk-UA" w:eastAsia="zh-CN" w:bidi="ar-SA"/>
        </w:rPr>
        <w:t>Планування та забудова території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>»,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аттею</w:t>
      </w:r>
      <w:r>
        <w:rPr>
          <w:sz w:val="28"/>
          <w:szCs w:val="28"/>
          <w:u w:val="none"/>
        </w:rPr>
        <w:t> 26,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sz w:val="28"/>
          <w:szCs w:val="28"/>
          <w:u w:val="none"/>
          <w:lang w:val="uk-UA"/>
        </w:rPr>
        <w:t>Відмовити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ину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Жабчуку Валентину Миколайовичу</w:t>
      </w:r>
      <w:r>
        <w:rPr>
          <w:sz w:val="28"/>
          <w:szCs w:val="28"/>
          <w:u w:val="none"/>
          <w:lang w:val="uk-UA"/>
        </w:rPr>
        <w:t xml:space="preserve"> у наданні дозволу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для будівництва та обслуговування жилого будинку, господарських будівель і споруд</w:t>
      </w:r>
      <w:r>
        <w:rPr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орієнтовною площею 0,10 га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 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               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с. Зміїнець Луцького району Волинської області</w:t>
      </w:r>
      <w:r>
        <w:rPr>
          <w:sz w:val="28"/>
          <w:szCs w:val="28"/>
          <w:u w:val="none"/>
          <w:lang w:val="uk-UA"/>
        </w:rPr>
        <w:t xml:space="preserve">, у зв'язку із невідповідністю місця розташування земельної ділянки генеральному плану с.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Зміїнець</w:t>
      </w:r>
      <w:r>
        <w:rPr>
          <w:sz w:val="28"/>
          <w:szCs w:val="28"/>
          <w:u w:val="none"/>
          <w:lang w:val="uk-UA"/>
        </w:rPr>
        <w:t>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843"/>
        <w:jc w:val="both"/>
        <w:rPr/>
      </w:pPr>
      <w:r>
        <w:rPr>
          <w:sz w:val="28"/>
          <w:szCs w:val="28"/>
        </w:rPr>
        <w:t>2. Контроль за виконанням даного рішення покласти на постійну комісію міської ради з питань земельних відносин та земельного кадастру (Козлюк О</w:t>
      </w:r>
      <w:r>
        <w:rPr>
          <w:sz w:val="28"/>
          <w:szCs w:val="28"/>
          <w:lang w:val="uk-UA"/>
        </w:rPr>
        <w:t>.Є.).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Application>LibreOffice/7.1.3.2$Windows_X86_64 LibreOffice_project/47f78053abe362b9384784d31a6e56f8511eb1c1</Application>
  <AppVersion>15.0000</AppVersion>
  <Pages>2</Pages>
  <Words>361</Words>
  <Characters>2450</Characters>
  <CharactersWithSpaces>3082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2011-04-08T17:33:00Z</dcterms:created>
  <dc:creator>burko</dc:creator>
  <dc:description/>
  <dc:language>uk-UA</dc:language>
  <cp:lastModifiedBy/>
  <cp:lastPrinted>2021-07-09T15:36:36Z</cp:lastPrinted>
  <dcterms:modified xsi:type="dcterms:W3CDTF">2021-07-09T15:57:26Z</dcterms:modified>
  <cp:revision>206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