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15pt;height:59.2pt" o:ole="">
            <v:imagedata r:id="rId3" o:title=""/>
          </v:shape>
          <o:OLEObject Type="Embed" ProgID="" ShapeID="ole_rId2" DrawAspect="Content" ObjectID="_138123573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keepNext w:val="tru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left="0" w:right="0" w:hanging="0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245" w:leader="none"/>
        </w:tabs>
        <w:ind w:left="0" w:right="4392" w:hanging="0"/>
        <w:jc w:val="both"/>
        <w:rPr/>
      </w:pPr>
      <w:r>
        <w:rPr/>
        <w:t>Про внесення змін до рішення міської ради від 22.12.2017 №</w:t>
      </w:r>
      <w:r>
        <w:rPr>
          <w:lang w:val="en-US"/>
        </w:rPr>
        <w:t> </w:t>
      </w:r>
      <w:r>
        <w:rPr/>
        <w:t>36/4 «</w:t>
      </w:r>
      <w:r>
        <w:rPr>
          <w:szCs w:val="28"/>
        </w:rPr>
        <w:t>Про бюджет участі Луцької міської територіальної громади»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>Відповідно до ст. 26 Закону України «Про місцеве самоврядування в Україні» з метою вдосконалення механізму проведення конкурсу проєктів Бюджету участі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міська рада </w:t>
      </w:r>
    </w:p>
    <w:p>
      <w:pPr>
        <w:pStyle w:val="Normal"/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8"/>
        <w:jc w:val="both"/>
        <w:rPr>
          <w:szCs w:val="28"/>
        </w:rPr>
      </w:pPr>
      <w:r>
        <w:rPr>
          <w:szCs w:val="28"/>
        </w:rPr>
        <w:t xml:space="preserve">ВИРІШИЛА: </w:t>
      </w:r>
    </w:p>
    <w:p>
      <w:pPr>
        <w:pStyle w:val="Normal"/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245" w:leader="none"/>
        </w:tabs>
        <w:ind w:left="0" w:right="-2" w:firstLine="709"/>
        <w:jc w:val="both"/>
        <w:rPr/>
      </w:pPr>
      <w:r>
        <w:rPr>
          <w:color w:val="000000"/>
          <w:szCs w:val="28"/>
        </w:rPr>
        <w:t>1. Внести зміни до рішення міської ради від 22.12.2017 №</w:t>
      </w:r>
      <w:r>
        <w:rPr>
          <w:color w:val="000000"/>
          <w:szCs w:val="28"/>
          <w:lang w:val="en-US"/>
        </w:rPr>
        <w:t> </w:t>
      </w:r>
      <w:r>
        <w:rPr>
          <w:color w:val="000000"/>
          <w:szCs w:val="28"/>
        </w:rPr>
        <w:t xml:space="preserve">36/4 </w:t>
      </w:r>
      <w:r>
        <w:rPr/>
        <w:t>«</w:t>
      </w:r>
      <w:r>
        <w:rPr>
          <w:szCs w:val="28"/>
        </w:rPr>
        <w:t>Про бюджет участі Луцької міської територіальної громади»</w:t>
      </w:r>
      <w:r>
        <w:rPr>
          <w:color w:val="000000"/>
          <w:szCs w:val="28"/>
        </w:rPr>
        <w:t>, а саме:</w:t>
      </w:r>
    </w:p>
    <w:p>
      <w:pPr>
        <w:pStyle w:val="Normal"/>
        <w:tabs>
          <w:tab w:val="clear" w:pos="708"/>
          <w:tab w:val="left" w:pos="1276" w:leader="none"/>
        </w:tabs>
        <w:ind w:left="0" w:right="0" w:firstLine="709"/>
        <w:jc w:val="both"/>
        <w:rPr/>
      </w:pPr>
      <w:r>
        <w:rPr>
          <w:color w:val="000000"/>
          <w:szCs w:val="28"/>
        </w:rPr>
        <w:t>1.1. До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повнити</w:t>
      </w:r>
      <w:r>
        <w:rPr>
          <w:color w:val="000000"/>
          <w:szCs w:val="28"/>
        </w:rPr>
        <w:t xml:space="preserve"> пункт 3.3. Додатку 1 «Положення про бюджет участі Луцької міської територіальної громади» (далі – Положення) наступним абзацом:</w:t>
      </w:r>
    </w:p>
    <w:p>
      <w:pPr>
        <w:pStyle w:val="Normal"/>
        <w:tabs>
          <w:tab w:val="clear" w:pos="708"/>
          <w:tab w:val="left" w:pos="993" w:leader="none"/>
          <w:tab w:val="left" w:pos="1418" w:leader="none"/>
        </w:tabs>
        <w:ind w:left="0" w:right="-2" w:firstLine="709"/>
        <w:jc w:val="both"/>
        <w:rPr/>
      </w:pPr>
      <w:r>
        <w:rPr>
          <w:color w:val="000000"/>
          <w:szCs w:val="28"/>
        </w:rPr>
        <w:t>«-</w:t>
        <w:tab/>
      </w:r>
      <w:r>
        <w:rPr>
          <w:color w:val="000000"/>
          <w:szCs w:val="28"/>
          <w:lang w:val="ru-RU"/>
        </w:rPr>
        <w:t xml:space="preserve">поширення </w:t>
      </w:r>
      <w:r>
        <w:rPr>
          <w:color w:val="000000"/>
          <w:szCs w:val="28"/>
        </w:rPr>
        <w:t>інформації про конкурс, його промоція».</w:t>
      </w:r>
    </w:p>
    <w:p>
      <w:pPr>
        <w:pStyle w:val="Normal"/>
        <w:tabs>
          <w:tab w:val="clear" w:pos="708"/>
          <w:tab w:val="left" w:pos="1245" w:leader="none"/>
          <w:tab w:val="left" w:pos="1418" w:leader="none"/>
        </w:tabs>
        <w:ind w:left="0" w:right="-2" w:firstLine="709"/>
        <w:jc w:val="both"/>
        <w:rPr/>
      </w:pPr>
      <w:r>
        <w:rPr>
          <w:color w:val="000000"/>
          <w:szCs w:val="28"/>
        </w:rPr>
        <w:t>1.2.</w:t>
        <w:tab/>
        <w:t>До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повни</w:t>
      </w:r>
      <w:r>
        <w:rPr>
          <w:color w:val="000000"/>
          <w:szCs w:val="28"/>
        </w:rPr>
        <w:t>ти розділ 3. Положення наступними пунктами:</w:t>
      </w:r>
    </w:p>
    <w:p>
      <w:pPr>
        <w:pStyle w:val="Normal"/>
        <w:tabs>
          <w:tab w:val="clear" w:pos="708"/>
          <w:tab w:val="left" w:pos="993" w:leader="none"/>
          <w:tab w:val="left" w:pos="1245" w:leader="none"/>
        </w:tabs>
        <w:ind w:left="0" w:right="-2" w:firstLine="709"/>
        <w:jc w:val="both"/>
        <w:rPr/>
      </w:pPr>
      <w:r>
        <w:rPr>
          <w:color w:val="000000"/>
          <w:szCs w:val="28"/>
        </w:rPr>
        <w:t>«</w:t>
      </w:r>
      <w:r>
        <w:rPr>
          <w:color w:val="000000"/>
        </w:rPr>
        <w:t>3.8. Робоча група на своєму засіданні повноважна п</w:t>
      </w:r>
      <w:r>
        <w:rPr>
          <w:color w:val="000000"/>
          <w:szCs w:val="28"/>
        </w:rPr>
        <w:t>родовжити чи змінити термін голосування за проєкти у випадку виникненн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я</w:t>
      </w:r>
      <w:r>
        <w:rPr>
          <w:color w:val="000000"/>
          <w:szCs w:val="28"/>
        </w:rPr>
        <w:t xml:space="preserve"> технічних проблем у роботі Електронної системи (збої, затримки, нестабільна робота, регламентні роботи тощо). Така зміна затверджуються розпорядженням міського голови.</w:t>
      </w:r>
    </w:p>
    <w:p>
      <w:pPr>
        <w:pStyle w:val="Normal"/>
        <w:tabs>
          <w:tab w:val="clear" w:pos="708"/>
          <w:tab w:val="left" w:pos="993" w:leader="none"/>
          <w:tab w:val="left" w:pos="1418" w:leader="none"/>
        </w:tabs>
        <w:ind w:left="0" w:right="-2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3.9. Засідання Робочої групи за потреби може проводитись у форматі відео конференції через мережу Інтернет. У такому випадку секретар робочої групи або представник департаменту економічної політики Луцької міської ради повідомляє її членів про проведення засідання, надсилаючи кожному особисто необхідну для підключення технічну інформацію». </w:t>
      </w:r>
    </w:p>
    <w:p>
      <w:pPr>
        <w:pStyle w:val="Normal"/>
        <w:tabs>
          <w:tab w:val="clear" w:pos="708"/>
          <w:tab w:val="left" w:pos="1305" w:leader="none"/>
        </w:tabs>
        <w:ind w:left="0" w:right="0" w:firstLine="709"/>
        <w:jc w:val="both"/>
        <w:rPr/>
      </w:pPr>
      <w:r>
        <w:rPr>
          <w:color w:val="000000"/>
          <w:szCs w:val="28"/>
          <w:lang w:val="ru-RU"/>
        </w:rPr>
        <w:t>1</w:t>
      </w:r>
      <w:r>
        <w:rPr>
          <w:color w:val="000000"/>
          <w:szCs w:val="28"/>
        </w:rPr>
        <w:t xml:space="preserve">.3. Доповнити розділ 5. Положення наступним пунктом: </w:t>
      </w:r>
    </w:p>
    <w:p>
      <w:pPr>
        <w:pStyle w:val="HTML"/>
        <w:shd w:val="clear" w:fill="FFFFFF"/>
        <w:tabs>
          <w:tab w:val="clear" w:pos="708"/>
          <w:tab w:val="left" w:pos="993" w:leader="none"/>
        </w:tabs>
        <w:ind w:left="0" w:right="-2" w:firstLine="709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«5.3. Автори проєктів-переможців, за наявності технічної можливості, поширюють інформацію щодо впровадження їх проєктів на всіх етапах реалізації у соціальних мережах (з додаванням фото чи відео матеріалів), при цьому, обов’язково посилаючись на офіційні сторінки Луцької міської ради, Департаменту економічної політики Луцької міської ради, відповідальних за реалізацію підрозділів тощо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».</w:t>
      </w:r>
    </w:p>
    <w:p>
      <w:pPr>
        <w:pStyle w:val="HTML"/>
        <w:shd w:val="clear" w:fill="FFFFFF"/>
        <w:tabs>
          <w:tab w:val="clear" w:pos="708"/>
          <w:tab w:val="left" w:pos="960" w:leader="none"/>
          <w:tab w:val="left" w:pos="1305" w:leader="none"/>
        </w:tabs>
        <w:ind w:left="0" w:right="-2" w:firstLine="709"/>
        <w:jc w:val="both"/>
        <w:textAlignment w:val="baseline"/>
        <w:rPr/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1.4. </w:t>
      </w:r>
      <w:r>
        <w:rPr>
          <w:rFonts w:cs="Times New Roman" w:ascii="Times New Roman" w:hAnsi="Times New Roman"/>
          <w:color w:val="000000"/>
          <w:sz w:val="28"/>
          <w:szCs w:val="28"/>
        </w:rPr>
        <w:t>Викласти пункт 7.5. розділу 7. Положення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eastAsia="Times New Roman" w:cs="Times New Roman" w:ascii="Times New Roman" w:hAnsi="Times New Roman"/>
          <w:bCs w:val="false"/>
          <w:color w:val="000000"/>
          <w:sz w:val="28"/>
          <w:szCs w:val="28"/>
          <w:lang w:val="ru-RU" w:eastAsia="zh-CN" w:bidi="ar-SA"/>
        </w:rPr>
        <w:t xml:space="preserve">в </w:t>
      </w:r>
      <w:r>
        <w:rPr>
          <w:rFonts w:eastAsia="Times New Roman" w:cs="Times New Roman" w:ascii="Times New Roman" w:hAnsi="Times New Roman"/>
          <w:bCs w:val="false"/>
          <w:color w:val="000000"/>
          <w:sz w:val="28"/>
          <w:szCs w:val="28"/>
          <w:lang w:val="en-US" w:eastAsia="zh-CN" w:bidi="ar-SA"/>
        </w:rPr>
        <w:t>т</w:t>
      </w:r>
      <w:r>
        <w:rPr>
          <w:rFonts w:eastAsia="Times New Roman" w:cs="Times New Roman" w:ascii="Times New Roman" w:hAnsi="Times New Roman"/>
          <w:bCs w:val="false"/>
          <w:color w:val="000000"/>
          <w:sz w:val="28"/>
          <w:szCs w:val="28"/>
          <w:lang w:val="ru-RU" w:eastAsia="zh-CN" w:bidi="ar-SA"/>
        </w:rPr>
        <w:t>ак</w:t>
      </w:r>
      <w:r>
        <w:rPr>
          <w:rFonts w:eastAsia="Times New Roman" w:cs="Times New Roman" w:ascii="Times New Roman" w:hAnsi="Times New Roman"/>
          <w:bCs w:val="false"/>
          <w:color w:val="000000"/>
          <w:sz w:val="28"/>
          <w:szCs w:val="28"/>
          <w:lang w:val="ru-RU" w:eastAsia="zh-CN" w:bidi="ar-SA"/>
        </w:rPr>
        <w:t>і</w:t>
      </w:r>
      <w:r>
        <w:rPr>
          <w:rFonts w:eastAsia="Times New Roman" w:cs="Times New Roman" w:ascii="Times New Roman" w:hAnsi="Times New Roman"/>
          <w:bCs w:val="false"/>
          <w:color w:val="000000"/>
          <w:sz w:val="28"/>
          <w:szCs w:val="28"/>
          <w:lang w:val="uk-UA" w:eastAsia="zh-CN" w:bidi="ar-SA"/>
        </w:rPr>
        <w:t>й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редакції: </w:t>
      </w:r>
    </w:p>
    <w:p>
      <w:pPr>
        <w:pStyle w:val="Style24"/>
        <w:widowControl w:val="false"/>
        <w:tabs>
          <w:tab w:val="clear" w:pos="708"/>
          <w:tab w:val="left" w:pos="1276" w:leader="none"/>
        </w:tabs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«7.5.</w:t>
        <w:tab/>
        <w:t>При підготовці проєкту автор забезпечує його відповідність таким вимогам: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7.5.1.</w:t>
        <w:tab/>
        <w:t>Проєкт відповідає тематиці проєктів, визначеній у додатку 1 до цього Положення;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7.5.2.</w:t>
        <w:tab/>
        <w:t>Заповнено усі обов'язкові поля форми, наведеної у додатку 2 до цього Положення;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7.5.3.</w:t>
        <w:tab/>
        <w:t>Проєкт відповідає нормам діючого законодавства;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7.5.4.</w:t>
        <w:tab/>
        <w:t>Питання реалізації проєкту знаходиться в межах компетенції Луцької міської ради;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cs="Times New Roman" w:ascii="Times New Roman" w:hAnsi="Times New Roman"/>
          <w:spacing w:val="-2"/>
          <w:sz w:val="28"/>
          <w:szCs w:val="28"/>
        </w:rPr>
        <w:t>7.5.5.</w:t>
        <w:tab/>
        <w:t xml:space="preserve">Проєкт не суперечить затвердженій містобудівній документації; 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pacing w:val="-2"/>
          <w:sz w:val="28"/>
          <w:szCs w:val="28"/>
        </w:rPr>
        <w:t>7.5.6.</w:t>
        <w:tab/>
      </w:r>
      <w:r>
        <w:rPr>
          <w:rFonts w:cs="Times New Roman" w:ascii="Times New Roman" w:hAnsi="Times New Roman"/>
          <w:sz w:val="28"/>
          <w:szCs w:val="28"/>
        </w:rPr>
        <w:t>Реалізація проєкту не порушує прав інших осіб;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7.5.7.</w:t>
        <w:tab/>
        <w:t>Реалізація проєкту не порушує прав інтелектуальної власності;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7.5.8.</w:t>
        <w:tab/>
        <w:t>Тривалість реалізації проєкту – до закінчення бюджетного року;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pacing w:val="-2"/>
          <w:sz w:val="28"/>
          <w:szCs w:val="28"/>
        </w:rPr>
        <w:t>7.5.9.</w:t>
        <w:tab/>
      </w:r>
      <w:r>
        <w:rPr>
          <w:rFonts w:cs="Times New Roman" w:ascii="Times New Roman" w:hAnsi="Times New Roman"/>
          <w:sz w:val="28"/>
          <w:szCs w:val="28"/>
        </w:rPr>
        <w:t>Вартість проєкту не перевищує максимальну вартість, яка визначена у додатку 1 до цього Положення для одного проєкту;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pacing w:val="-2"/>
          <w:sz w:val="28"/>
          <w:szCs w:val="28"/>
        </w:rPr>
        <w:t>7.5.10.</w:t>
        <w:tab/>
      </w:r>
      <w:r>
        <w:rPr>
          <w:rFonts w:cs="Times New Roman" w:ascii="Times New Roman" w:hAnsi="Times New Roman"/>
          <w:sz w:val="28"/>
          <w:szCs w:val="28"/>
        </w:rPr>
        <w:t>Розрахований автором бюджет проєкту включає всі витрати, пов’язані</w:t>
      </w:r>
      <w:r>
        <w:rPr>
          <w:rFonts w:cs="Times New Roman" w:ascii="Times New Roman" w:hAnsi="Times New Roman"/>
          <w:sz w:val="28"/>
          <w:szCs w:val="28"/>
          <w:lang w:val="en-US"/>
        </w:rPr>
        <w:t>  </w:t>
      </w:r>
      <w:r>
        <w:rPr>
          <w:rFonts w:cs="Times New Roman" w:ascii="Times New Roman" w:hAnsi="Times New Roman"/>
          <w:sz w:val="28"/>
          <w:szCs w:val="28"/>
        </w:rPr>
        <w:t>з: розробкою проєктної документації; закупівлею сировини, матеріалів, комплектуючих; оплатою підрядникам за виконання робіт, надання послуг (в т.ч. логістичних: доставка, зберігання); інформуванням жителів про реалізацію проєкту (у разі необхідності);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pacing w:val="-2"/>
          <w:sz w:val="28"/>
          <w:szCs w:val="28"/>
        </w:rPr>
        <w:t>7.5.11.</w:t>
        <w:tab/>
      </w:r>
      <w:r>
        <w:rPr>
          <w:rFonts w:eastAsia="Calibri" w:cs="Times New Roman" w:ascii="Times New Roman" w:hAnsi="Times New Roman"/>
          <w:bCs w:val="false"/>
          <w:color w:val="000000"/>
          <w:spacing w:val="-2"/>
          <w:sz w:val="28"/>
          <w:szCs w:val="28"/>
          <w:lang w:val="uk-UA" w:eastAsia="zh-CN" w:bidi="ar-SA"/>
        </w:rPr>
        <w:t>П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роєкт, що передбачає нове будівництво, капітальний/поточний ремонт чи/та реконструкцію може бути реалізованим лише на землях комунальної власності Луцької міської територіальної громади </w:t>
      </w:r>
      <w:r>
        <w:rPr>
          <w:rStyle w:val="FontStyle21"/>
          <w:spacing w:val="-2"/>
          <w:sz w:val="28"/>
          <w:szCs w:val="28"/>
          <w:lang w:eastAsia="uk-UA"/>
        </w:rPr>
        <w:t>за умови вільного доступу до території;</w:t>
      </w:r>
    </w:p>
    <w:p>
      <w:pPr>
        <w:pStyle w:val="Style71"/>
        <w:widowControl/>
        <w:tabs>
          <w:tab w:val="clear" w:pos="708"/>
          <w:tab w:val="left" w:pos="1470" w:leader="none"/>
          <w:tab w:val="left" w:pos="1590" w:leader="none"/>
        </w:tabs>
        <w:spacing w:lineRule="auto" w:line="240"/>
        <w:ind w:left="0" w:right="0" w:firstLine="737"/>
        <w:jc w:val="both"/>
        <w:rPr/>
      </w:pPr>
      <w:r>
        <w:rPr>
          <w:color w:val="000000"/>
          <w:spacing w:val="-2"/>
          <w:sz w:val="28"/>
          <w:szCs w:val="28"/>
        </w:rPr>
        <w:t>7.5.</w:t>
      </w:r>
      <w:r>
        <w:rPr>
          <w:color w:val="000000"/>
          <w:spacing w:val="-2"/>
          <w:sz w:val="28"/>
          <w:szCs w:val="28"/>
          <w:lang w:val="uk-UA"/>
        </w:rPr>
        <w:t>12.</w:t>
        <w:tab/>
      </w:r>
      <w:r>
        <w:rPr>
          <w:color w:val="000000"/>
          <w:sz w:val="28"/>
          <w:szCs w:val="28"/>
          <w:lang w:val="uk-UA"/>
        </w:rPr>
        <w:t>П</w:t>
      </w:r>
      <w:r>
        <w:rPr>
          <w:color w:val="000000"/>
          <w:sz w:val="28"/>
          <w:szCs w:val="28"/>
        </w:rPr>
        <w:t>роєкти, які стосуються приміщень бюджетних установ та закладів не можуть передбачати проведення</w:t>
      </w:r>
      <w:r>
        <w:rPr>
          <w:color w:val="000000"/>
          <w:sz w:val="28"/>
          <w:szCs w:val="28"/>
          <w:lang w:val="uk-UA"/>
        </w:rPr>
        <w:t xml:space="preserve"> у них </w:t>
      </w:r>
      <w:r>
        <w:rPr>
          <w:color w:val="000000"/>
          <w:sz w:val="28"/>
          <w:szCs w:val="28"/>
        </w:rPr>
        <w:t>поточних, капітальних ремонт</w:t>
      </w:r>
      <w:r>
        <w:rPr>
          <w:color w:val="000000"/>
          <w:sz w:val="28"/>
          <w:szCs w:val="28"/>
          <w:lang w:val="uk-UA"/>
        </w:rPr>
        <w:t>ів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та/або реконструкції;</w:t>
      </w:r>
    </w:p>
    <w:p>
      <w:pPr>
        <w:pStyle w:val="Normal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/>
      </w:pPr>
      <w:r>
        <w:rPr>
          <w:color w:val="000000"/>
          <w:spacing w:val="-2"/>
          <w:szCs w:val="28"/>
        </w:rPr>
        <w:t>7.5.13.</w:t>
        <w:tab/>
      </w:r>
      <w:r>
        <w:rPr>
          <w:color w:val="000000"/>
          <w:szCs w:val="28"/>
        </w:rPr>
        <w:t>При необхідності використання об’єктів нерухомого майна (</w:t>
      </w:r>
      <w:r>
        <w:rPr>
          <w:color w:val="000000"/>
          <w:spacing w:val="-2"/>
          <w:szCs w:val="28"/>
        </w:rPr>
        <w:t>будівель, приміщень загального користування, об’єктів соціально-культурної сфери</w:t>
      </w:r>
      <w:r>
        <w:rPr>
          <w:color w:val="000000"/>
          <w:szCs w:val="28"/>
        </w:rPr>
        <w:t>) чи/та рухомого майна в рамках реалізації проєкту, першочерговий пріоритет надається об’єктам комунальної власності Луцької міської територіальної громади. У виняткових випадках, за неможливості використання таких об’єктів, чи невідповідності параметрам, передбачених проєктом, можлива оренда об’єктів рухомого чи нерухомого майна, що не є в комунальній власності громади;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rPr/>
      </w:pPr>
      <w:r>
        <w:rPr>
          <w:rStyle w:val="FontStyle21"/>
          <w:spacing w:val="-2"/>
          <w:sz w:val="28"/>
          <w:szCs w:val="28"/>
          <w:lang w:eastAsia="uk-UA"/>
        </w:rPr>
        <w:t>7.5.14.</w:t>
        <w:tab/>
      </w:r>
      <w:r>
        <w:rPr>
          <w:rStyle w:val="FontStyle21"/>
          <w:sz w:val="28"/>
          <w:szCs w:val="28"/>
          <w:lang w:eastAsia="uk-UA"/>
        </w:rPr>
        <w:t>Проєкт не може передбачати ремонту та реконструкції приватного майна;</w:t>
      </w:r>
    </w:p>
    <w:p>
      <w:pPr>
        <w:pStyle w:val="Style24"/>
        <w:widowControl w:val="false"/>
        <w:tabs>
          <w:tab w:val="clear" w:pos="708"/>
          <w:tab w:val="left" w:pos="1470" w:leader="none"/>
          <w:tab w:val="left" w:pos="1590" w:leader="none"/>
        </w:tabs>
        <w:ind w:left="0" w:right="0" w:firstLine="737"/>
        <w:jc w:val="both"/>
        <w:textAlignment w:val="baseline"/>
        <w:rPr/>
      </w:pPr>
      <w:r>
        <w:rPr>
          <w:rFonts w:cs="Times New Roman" w:ascii="Times New Roman" w:hAnsi="Times New Roman"/>
          <w:spacing w:val="-2"/>
          <w:sz w:val="28"/>
          <w:szCs w:val="28"/>
        </w:rPr>
        <w:t>7.5.15. </w:t>
      </w:r>
      <w:r>
        <w:rPr>
          <w:rFonts w:cs="Times New Roman" w:ascii="Times New Roman" w:hAnsi="Times New Roman"/>
          <w:sz w:val="28"/>
          <w:szCs w:val="28"/>
        </w:rPr>
        <w:t>Проєкти, що реалізовуватимуться у 2022-2023 роках не можуть передбачати організацію та проведення публічних заходів (навчання, тренінги, курси, семінари, концерти, фестивалі тощо) у закритих приміщеннях. На відкритому просторі організація таких заходів можлива з дотриманням діючих на момент проведення карантинних норм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».</w:t>
      </w:r>
    </w:p>
    <w:p>
      <w:pPr>
        <w:pStyle w:val="Normal"/>
        <w:tabs>
          <w:tab w:val="clear" w:pos="708"/>
          <w:tab w:val="left" w:pos="1134" w:leader="none"/>
        </w:tabs>
        <w:ind w:left="0" w:right="0"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134" w:leader="none"/>
        </w:tabs>
        <w:ind w:left="0" w:right="0"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410" w:leader="none"/>
        </w:tabs>
        <w:ind w:left="0" w:right="0" w:firstLine="709"/>
        <w:jc w:val="both"/>
        <w:rPr/>
      </w:pPr>
      <w:r>
        <w:rPr>
          <w:color w:val="000000"/>
          <w:szCs w:val="28"/>
        </w:rPr>
        <w:t>1.5. У пункті 9.4. розділу 9. Положення слова «протягом 20 календарних днів» замінити на «протягом 1</w:t>
      </w:r>
      <w:r>
        <w:rPr>
          <w:rFonts w:eastAsia="Calibri"/>
          <w:bCs w:val="false"/>
          <w:color w:val="000000"/>
          <w:szCs w:val="28"/>
        </w:rPr>
        <w:t>5</w:t>
      </w:r>
      <w:r>
        <w:rPr>
          <w:color w:val="000000"/>
          <w:szCs w:val="28"/>
        </w:rPr>
        <w:t xml:space="preserve"> календарних днів».</w:t>
      </w:r>
    </w:p>
    <w:p>
      <w:pPr>
        <w:pStyle w:val="Normal"/>
        <w:tabs>
          <w:tab w:val="clear" w:pos="708"/>
          <w:tab w:val="left" w:pos="1410" w:leader="none"/>
        </w:tabs>
        <w:ind w:left="0" w:right="0" w:firstLine="709"/>
        <w:jc w:val="both"/>
        <w:rPr>
          <w:color w:val="000000"/>
        </w:rPr>
      </w:pPr>
      <w:r>
        <w:rPr>
          <w:color w:val="000000"/>
        </w:rPr>
        <w:t>1.6. Абзац 6 пункту 9.11. розділу 9. Положення викласти в новій редакції:</w:t>
      </w:r>
    </w:p>
    <w:p>
      <w:pPr>
        <w:pStyle w:val="Normalny1"/>
        <w:widowControl w:val="false"/>
        <w:tabs>
          <w:tab w:val="clear" w:pos="708"/>
          <w:tab w:val="left" w:pos="993" w:leader="none"/>
        </w:tabs>
        <w:bidi w:val="0"/>
        <w:spacing w:lineRule="auto" w:line="240"/>
        <w:ind w:left="0" w:right="-2"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«- реалізація проєкту планується на землях або об’єктах приватної форми власності</w:t>
      </w: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».</w:t>
      </w:r>
    </w:p>
    <w:p>
      <w:pPr>
        <w:pStyle w:val="Normal"/>
        <w:tabs>
          <w:tab w:val="clear" w:pos="708"/>
          <w:tab w:val="left" w:pos="1020" w:leader="none"/>
        </w:tabs>
        <w:ind w:left="0" w:right="0" w:firstLine="709"/>
        <w:jc w:val="both"/>
        <w:rPr/>
      </w:pPr>
      <w:r>
        <w:rPr>
          <w:color w:val="000000"/>
        </w:rPr>
        <w:t>2.</w:t>
        <w:tab/>
        <w:t xml:space="preserve">Викласти </w:t>
      </w:r>
      <w:r>
        <w:rPr>
          <w:bCs w:val="false"/>
          <w:color w:val="000000"/>
        </w:rPr>
        <w:t xml:space="preserve">форму бланку-заявки проєкту (додаток 2 до Положення),  форму звіту про аналіз відповідності проєкту (додаток 3 до Положення), висновок щодо прийняття проєкту (додаток 4 до Положення), </w:t>
      </w:r>
      <w:r>
        <w:rPr>
          <w:bCs w:val="false"/>
          <w:color w:val="000000"/>
          <w:szCs w:val="28"/>
        </w:rPr>
        <w:t>форму звіту про стан реалізації проєктів-переможців (додаток 5 до Положення) в новій редакції (</w:t>
      </w:r>
      <w:r>
        <w:rPr>
          <w:color w:val="000000"/>
        </w:rPr>
        <w:t>дода</w:t>
      </w:r>
      <w:r>
        <w:rPr>
          <w:rFonts w:eastAsia="Times New Roman" w:cs="Times New Roman"/>
          <w:bCs/>
          <w:color w:val="000000"/>
          <w:sz w:val="28"/>
          <w:szCs w:val="25"/>
          <w:lang w:val="uk-UA" w:eastAsia="zh-CN" w:bidi="ar-SA"/>
        </w:rPr>
        <w:t>но</w:t>
      </w:r>
      <w:r>
        <w:rPr>
          <w:color w:val="000000"/>
        </w:rPr>
        <w:t>).</w:t>
      </w:r>
    </w:p>
    <w:p>
      <w:pPr>
        <w:pStyle w:val="Normal"/>
        <w:tabs>
          <w:tab w:val="clear" w:pos="708"/>
          <w:tab w:val="left" w:pos="108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left="0" w:right="0" w:firstLine="709"/>
        <w:jc w:val="both"/>
        <w:rPr/>
      </w:pPr>
      <w:r>
        <w:rPr>
          <w:color w:val="000000"/>
          <w:szCs w:val="28"/>
        </w:rPr>
        <w:t>3.</w:t>
        <w:tab/>
      </w:r>
      <w:r>
        <w:rPr>
          <w:bCs w:val="false"/>
          <w:color w:val="000000"/>
          <w:szCs w:val="28"/>
          <w:lang w:eastAsia="uk-UA"/>
        </w:rPr>
        <w:t>Контроль за виконанням рішення покласти на постійну комісію міської ради з питань планування соціально-економічного розвитку, бюджету та фінансів (Разумовський А.Р.) та заступника міського голови відповідно до розподілу обов’язків.</w:t>
      </w:r>
    </w:p>
    <w:p>
      <w:pPr>
        <w:pStyle w:val="Normal"/>
        <w:ind w:left="0" w:right="0"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8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tabs>
          <w:tab w:val="clear" w:pos="708"/>
          <w:tab w:val="left" w:pos="7140" w:leader="none"/>
        </w:tabs>
        <w:jc w:val="both"/>
        <w:rPr/>
      </w:pPr>
      <w:r>
        <w:rPr/>
        <w:t>Міський голова</w:t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4"/>
          <w:szCs w:val="24"/>
          <w:lang w:eastAsia="uk-UA"/>
        </w:rPr>
        <w:t>Борис Смаль 777 955</w:t>
      </w:r>
    </w:p>
    <w:sectPr>
      <w:type w:val="nextPage"/>
      <w:pgSz w:w="11906" w:h="16838"/>
      <w:pgMar w:left="1985" w:right="567" w:header="0" w:top="71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Georgia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0"/>
      <w:kern w:val="0"/>
      <w:sz w:val="28"/>
      <w:szCs w:val="25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  <w:szCs w:val="24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rFonts w:ascii="Liberation Serif;Times New Roman" w:hAnsi="Liberation Serif;Times New Roman" w:eastAsia="Noto Sans CJK SC Regular;Times New Roman" w:cs="FreeSans;Times New Roman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FontStyle21">
    <w:name w:val="Font Style21"/>
    <w:qFormat/>
    <w:rPr>
      <w:rFonts w:ascii="Times New Roman" w:hAnsi="Times New Roman" w:cs="Times New Roman"/>
      <w:sz w:val="16"/>
      <w:szCs w:val="16"/>
    </w:rPr>
  </w:style>
  <w:style w:type="paragraph" w:styleId="Style13">
    <w:name w:val="Заголовок"/>
    <w:basedOn w:val="Normal"/>
    <w:next w:val="Style14"/>
    <w:qFormat/>
    <w:pPr>
      <w:jc w:val="center"/>
    </w:pPr>
    <w:rPr>
      <w:rFonts w:ascii="Georgia" w:hAnsi="Georgia" w:cs="Georgia"/>
      <w:b/>
      <w:bCs w:val="false"/>
      <w:sz w:val="26"/>
      <w:szCs w:val="20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>
      <w:rFonts w:eastAsia="Andale Sans UI;Arial Unicode MS"/>
      <w:bCs w:val="false"/>
      <w:color w:val="000000"/>
      <w:kern w:val="2"/>
      <w:sz w:val="24"/>
      <w:szCs w:val="24"/>
      <w:lang w:val="zxx"/>
    </w:rPr>
  </w:style>
  <w:style w:type="paragraph" w:styleId="Style20">
    <w:name w:val="Обычный (веб)"/>
    <w:basedOn w:val="Normal"/>
    <w:qFormat/>
    <w:pPr>
      <w:widowControl w:val="false"/>
      <w:suppressAutoHyphens w:val="false"/>
      <w:spacing w:before="280" w:after="119"/>
    </w:pPr>
    <w:rPr>
      <w:rFonts w:eastAsia="Andale Sans UI;Arial Unicode MS"/>
      <w:bCs w:val="false"/>
      <w:color w:val="000000"/>
      <w:kern w:val="2"/>
      <w:sz w:val="24"/>
      <w:szCs w:val="24"/>
      <w:lang w:val="ru-RU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Вміст таблиці"/>
    <w:basedOn w:val="Normal"/>
    <w:qFormat/>
    <w:pPr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paragraph" w:styleId="Style24">
    <w:name w:val="Абзац списка"/>
    <w:basedOn w:val="Normal"/>
    <w:qFormat/>
    <w:pPr>
      <w:ind w:left="720" w:right="0" w:hanging="0"/>
    </w:pPr>
    <w:rPr>
      <w:rFonts w:ascii="Calibri" w:hAnsi="Calibri" w:eastAsia="Calibri" w:cs="Calibri"/>
      <w:bCs w:val="false"/>
      <w:color w:val="000000"/>
      <w:sz w:val="24"/>
      <w:szCs w:val="24"/>
    </w:rPr>
  </w:style>
  <w:style w:type="paragraph" w:styleId="HTML">
    <w:name w:val="Стандартный HTML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Style71">
    <w:name w:val="Style7"/>
    <w:basedOn w:val="Normal"/>
    <w:qFormat/>
    <w:pPr>
      <w:widowControl w:val="false"/>
      <w:spacing w:lineRule="exact" w:line="264"/>
      <w:ind w:left="0" w:right="0" w:firstLine="744"/>
    </w:pPr>
    <w:rPr>
      <w:bCs w:val="false"/>
      <w:sz w:val="24"/>
      <w:lang w:val="ru-RU" w:eastAsia="zh-CN"/>
    </w:rPr>
  </w:style>
  <w:style w:type="paragraph" w:styleId="Normalny1">
    <w:name w:val="Normalny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</TotalTime>
  <Application>LibreOffice/6.3.4.2$Windows_X86_64 LibreOffice_project/60da17e045e08f1793c57c00ba83cdfce946d0aa</Application>
  <Pages>3</Pages>
  <Words>662</Words>
  <Characters>4524</Characters>
  <CharactersWithSpaces>5239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Сергій Омельчук</dc:creator>
  <dc:description/>
  <dc:language>uk-UA</dc:language>
  <cp:lastModifiedBy/>
  <cp:lastPrinted>1995-11-21T17:41:00Z</cp:lastPrinted>
  <dcterms:modified xsi:type="dcterms:W3CDTF">2021-08-09T10:03:00Z</dcterms:modified>
  <cp:revision>12</cp:revision>
  <dc:subject/>
  <dc:title/>
</cp:coreProperties>
</file>