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4962" w:hanging="0"/>
        <w:rPr/>
      </w:pPr>
      <w:r>
        <w:rPr>
          <w:color w:val="000000"/>
          <w:sz w:val="28"/>
          <w:szCs w:val="28"/>
        </w:rPr>
        <w:t>Додаток</w:t>
      </w:r>
    </w:p>
    <w:p>
      <w:pPr>
        <w:pStyle w:val="NormalWeb"/>
        <w:spacing w:lineRule="auto" w:line="240" w:before="0" w:after="0"/>
        <w:ind w:left="4962" w:hanging="0"/>
        <w:rPr/>
      </w:pPr>
      <w:r>
        <w:rPr>
          <w:color w:val="000000"/>
          <w:sz w:val="28"/>
          <w:szCs w:val="28"/>
        </w:rPr>
        <w:t xml:space="preserve">до рішення виконавчого комітету </w:t>
      </w:r>
    </w:p>
    <w:p>
      <w:pPr>
        <w:pStyle w:val="NormalWeb"/>
        <w:spacing w:lineRule="auto" w:line="240" w:before="0" w:after="0"/>
        <w:ind w:left="4962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міської ради</w:t>
      </w:r>
    </w:p>
    <w:p>
      <w:pPr>
        <w:pStyle w:val="NormalWeb"/>
        <w:spacing w:lineRule="auto" w:line="240" w:before="0" w:after="0"/>
        <w:ind w:left="4962" w:hanging="0"/>
        <w:rPr/>
      </w:pPr>
      <w:r>
        <w:rPr>
          <w:color w:val="000000"/>
          <w:sz w:val="28"/>
          <w:szCs w:val="28"/>
        </w:rPr>
        <w:t>______________  № ___________</w:t>
      </w:r>
    </w:p>
    <w:p>
      <w:pPr>
        <w:pStyle w:val="NormalWeb"/>
        <w:spacing w:lineRule="auto" w:line="240" w:before="280" w:after="0"/>
        <w:jc w:val="center"/>
        <w:rPr/>
      </w:pPr>
      <w:r>
        <w:rPr/>
      </w:r>
    </w:p>
    <w:p>
      <w:pPr>
        <w:pStyle w:val="NormalWeb"/>
        <w:spacing w:lineRule="auto" w:line="240" w:before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ПОРЯДОК</w:t>
        <w:br/>
        <w:t>опрацювання звернень громадян,</w:t>
        <w:br/>
        <w:t xml:space="preserve">що надходять у відділ комунікацій “15-80” </w:t>
      </w:r>
    </w:p>
    <w:p>
      <w:pPr>
        <w:pStyle w:val="NormalWeb"/>
        <w:spacing w:lineRule="auto" w:line="240" w:before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департаменту “Центр надання адміністративних послуг у місті Луцьку”</w:t>
      </w:r>
    </w:p>
    <w:p>
      <w:pPr>
        <w:pStyle w:val="NormalWeb"/>
        <w:spacing w:lineRule="auto" w:line="240" w:before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 Цей Порядок опрацювання звернень громадян, що надходять у відділ комунікацій “15-80” департаменту “Центр надання адміністративних послуг у місті Луцьку” Луцької міської ради (далі – Порядок) визначає механізм взаємодії відділу комунікацій “15-80” департаменту “Центр надання адміністративних послуг у місті Луцьку” Луцької міської ради </w:t>
      </w:r>
      <w:r>
        <w:rPr>
          <w:sz w:val="28"/>
          <w:szCs w:val="28"/>
        </w:rPr>
        <w:t>(далі –        “15-80”) та виконавчих органів Луцької міської ради, комунальних підприємств, організацій (установ, закладів) незалежно від форм власності, що діють на території Луцької міської територіальної громади (далі – Виконавці) під час опрацювання звернень, що викладаються громадянами в усній формі або за допомогою сучасних електронних засобів комунікації.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 xml:space="preserve">2. Громадяни можуть звертатися до “15-80” за посередництвом телефонних повідомлень, через публічну сторінку </w:t>
      </w:r>
      <w:r>
        <w:rPr>
          <w:bCs/>
          <w:sz w:val="28"/>
          <w:szCs w:val="28"/>
        </w:rPr>
        <w:t>“</w:t>
      </w:r>
      <w:r>
        <w:rPr>
          <w:sz w:val="28"/>
          <w:szCs w:val="28"/>
        </w:rPr>
        <w:t xml:space="preserve">Відділ комунікацій 15-80” у соціальній мережі “Фейсбук”, мобільний додаток “15-80 Луцьк”, через застосунок “Вайбер”, інтернет-портал </w:t>
      </w:r>
      <w:hyperlink r:id="rId2">
        <w:r>
          <w:rPr>
            <w:rStyle w:val="Style14"/>
            <w:color w:val="auto"/>
            <w:sz w:val="28"/>
            <w:szCs w:val="28"/>
            <w:u w:val="none"/>
            <w:lang w:val="en-US"/>
          </w:rPr>
          <w:t>http</w:t>
        </w:r>
        <w:r>
          <w:rPr>
            <w:rStyle w:val="Style14"/>
            <w:color w:val="auto"/>
            <w:sz w:val="28"/>
            <w:szCs w:val="28"/>
            <w:u w:val="none"/>
          </w:rPr>
          <w:t>://1580.l</w:t>
        </w:r>
        <w:r>
          <w:rPr>
            <w:rStyle w:val="Style14"/>
            <w:color w:val="auto"/>
            <w:sz w:val="28"/>
            <w:szCs w:val="28"/>
            <w:u w:val="none"/>
            <w:lang w:val="en-US"/>
          </w:rPr>
          <w:t>utskrada</w:t>
        </w:r>
        <w:r>
          <w:rPr>
            <w:rStyle w:val="Style14"/>
            <w:color w:val="auto"/>
            <w:sz w:val="28"/>
            <w:szCs w:val="28"/>
            <w:u w:val="none"/>
          </w:rPr>
          <w:t>.</w:t>
        </w:r>
        <w:r>
          <w:rPr>
            <w:rStyle w:val="Style14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Style14"/>
            <w:color w:val="auto"/>
            <w:sz w:val="28"/>
            <w:szCs w:val="28"/>
            <w:u w:val="none"/>
          </w:rPr>
          <w:t>.ua</w:t>
        </w:r>
      </w:hyperlink>
      <w:r>
        <w:rPr>
          <w:sz w:val="28"/>
          <w:szCs w:val="28"/>
        </w:rPr>
        <w:t xml:space="preserve"> (далі – засоби телекомунікаційного зв’язку). 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Працівники “15-80” спрямовують свою діяльність на забезпечення оперативного розгляду звернень, </w:t>
      </w:r>
      <w:r>
        <w:rPr>
          <w:sz w:val="28"/>
          <w:szCs w:val="28"/>
          <w:lang w:val="ru-RU"/>
        </w:rPr>
        <w:t>щ</w:t>
      </w:r>
      <w:r>
        <w:rPr>
          <w:sz w:val="28"/>
          <w:szCs w:val="28"/>
        </w:rPr>
        <w:t>о надійшли засобами телекомунікаційного зв’язку, вжиття заходів для вирішення порушених у них питань і задоволення законних прав та інтересів громадян.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>4. Після отримання звернення працівник “15-80” приймає рішення щодо його реєстрації, для чого створює електронну реєстраційну картку за допомогою програмного забезпечення “Visual Service”. У картці зазначаються: прізвище, ім’я, по батькові, контактний телефон, адреса проживання заявника та викладається суть порушеного ним питання. Кожному зверненню присвоюється реєстраційний номер.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Реєстрації не підлягають повторні звернення одного і того ж заявника з одного і того ж питання, якщо перше вирішено по суті або терміни його розгляду ще не закінчились.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У випадку відмови громадянина називати своє прізвище, ім’я, по батькові та адресу проживання звернення реєструється як анонімне. Працівник “15-80” попереджає заявника про неможливість розгляду його звернення по суті.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Звернення заявників класифікуються як: аварійні термінові, аварійні чи неаварійні. Залежно від класифікації, кожному зверненню встановлюється термін виконання. Термін виконання неаварійних звернень становить до 7 календарних днів. Терміни виконання аварійних термінових, аварійних звернень наведено у додатку до цього Порядку. Терміни розгляду аварійних термінових та аварійних звернень можуть бути змінені лише після усунення аварійних ситуацій.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Працівник “15-80” скеровує реєстраційну картку звернення Виконавцю, відповідно до його компетенції. У разі, якщо питання, порушені у зверненні, не належать до компетенції Виконавця, він невідкладно перенаправляє реєстраційну картку іншому Виконавцю, уповноваженому вирішити питання по суті звернення.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У разі, якщо вирішення питання, порушеного у зверненні, не належить до компетенції жодного з Виконавців, працівник “15-80” надає відповідне роз’яснення заявнику.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 xml:space="preserve">10. У випадку самостійного заповнення громадянином реєстраційної картки за посередництвом порталу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://1580.l</w:t>
      </w:r>
      <w:r>
        <w:rPr>
          <w:sz w:val="28"/>
          <w:szCs w:val="28"/>
          <w:lang w:val="en-US"/>
        </w:rPr>
        <w:t>utskrada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>
        <w:rPr>
          <w:sz w:val="28"/>
          <w:szCs w:val="28"/>
        </w:rPr>
        <w:t xml:space="preserve">.ua працівник    “15-80” перевіряє точність визначення Виконавця та скеровує реєстраційну картку, як це передбачено у п. 8 цього Порядку. 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>11. Виконавці визначають з числа співробітників особу, відповідальну за оперативний розгляд звернень заявників. Відповідальна особа Виконавця зобов’язана щодня здійснювати контроль за надходженням звернень громадян за допомогою програмного забезпечення “Visual Service</w:t>
      </w:r>
      <w:r>
        <w:rPr>
          <w:sz w:val="28"/>
          <w:szCs w:val="28"/>
          <w:lang w:val="ru-RU"/>
        </w:rPr>
        <w:t>”</w:t>
      </w:r>
      <w:r>
        <w:rPr>
          <w:sz w:val="28"/>
          <w:szCs w:val="28"/>
        </w:rPr>
        <w:t>. Для авторизації у системі “Visual Service”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Виконавцю необхідно подати запит на створення профілю в порталі </w:t>
      </w:r>
      <w:hyperlink r:id="rId3">
        <w:r>
          <w:rPr>
            <w:rStyle w:val="Style14"/>
            <w:color w:val="auto"/>
            <w:sz w:val="28"/>
            <w:szCs w:val="28"/>
            <w:u w:val="none"/>
            <w:lang w:val="en-US"/>
          </w:rPr>
          <w:t>http</w:t>
        </w:r>
        <w:r>
          <w:rPr>
            <w:rStyle w:val="Style14"/>
            <w:color w:val="auto"/>
            <w:sz w:val="28"/>
            <w:szCs w:val="28"/>
            <w:u w:val="none"/>
            <w:lang w:val="ru-RU"/>
          </w:rPr>
          <w:t>://</w:t>
        </w:r>
        <w:r>
          <w:rPr>
            <w:rStyle w:val="Style14"/>
            <w:color w:val="auto"/>
            <w:sz w:val="28"/>
            <w:szCs w:val="28"/>
            <w:u w:val="none"/>
          </w:rPr>
          <w:t>1580.l</w:t>
        </w:r>
        <w:r>
          <w:rPr>
            <w:rStyle w:val="Style14"/>
            <w:color w:val="auto"/>
            <w:sz w:val="28"/>
            <w:szCs w:val="28"/>
            <w:u w:val="none"/>
            <w:lang w:val="en-US"/>
          </w:rPr>
          <w:t>utskrada</w:t>
        </w:r>
        <w:r>
          <w:rPr>
            <w:rStyle w:val="Style14"/>
            <w:color w:val="auto"/>
            <w:sz w:val="28"/>
            <w:szCs w:val="28"/>
            <w:u w:val="none"/>
          </w:rPr>
          <w:t>.</w:t>
        </w:r>
        <w:r>
          <w:rPr>
            <w:rStyle w:val="Style14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Style14"/>
            <w:color w:val="auto"/>
            <w:sz w:val="28"/>
            <w:szCs w:val="28"/>
            <w:u w:val="none"/>
          </w:rPr>
          <w:t>.ua</w:t>
        </w:r>
      </w:hyperlink>
      <w:r>
        <w:rPr>
          <w:sz w:val="28"/>
          <w:szCs w:val="28"/>
        </w:rPr>
        <w:t xml:space="preserve">. У профілі зазначають: прізвище, ім’я, по батькові, номер телефону, адресу електронної скриньки, посаду відповідальної особи Виконавця. У разі змін в інформації про відповідальних осіб керівник Виконавця зобов’язаний невідкладно повідомити про це “15-80” електронним повідомленням на адресу </w:t>
      </w:r>
      <w:hyperlink r:id="rId4">
        <w:r>
          <w:rPr>
            <w:rStyle w:val="Style14"/>
            <w:color w:val="auto"/>
            <w:sz w:val="28"/>
            <w:szCs w:val="28"/>
          </w:rPr>
          <w:t>1580</w:t>
        </w:r>
        <w:r>
          <w:rPr>
            <w:rStyle w:val="Style14"/>
            <w:color w:val="auto"/>
            <w:sz w:val="28"/>
            <w:szCs w:val="28"/>
            <w:lang w:val="ru-RU"/>
          </w:rPr>
          <w:t>@</w:t>
        </w:r>
        <w:r>
          <w:rPr>
            <w:rStyle w:val="Style14"/>
            <w:color w:val="auto"/>
            <w:sz w:val="28"/>
            <w:szCs w:val="28"/>
            <w:lang w:val="en-US"/>
          </w:rPr>
          <w:t>lutskrada</w:t>
        </w:r>
        <w:r>
          <w:rPr>
            <w:rStyle w:val="Style14"/>
            <w:color w:val="auto"/>
            <w:sz w:val="28"/>
            <w:szCs w:val="28"/>
            <w:lang w:val="ru-RU"/>
          </w:rPr>
          <w:t>.</w:t>
        </w:r>
        <w:r>
          <w:rPr>
            <w:rStyle w:val="Style14"/>
            <w:color w:val="auto"/>
            <w:sz w:val="28"/>
            <w:szCs w:val="28"/>
            <w:lang w:val="en-US"/>
          </w:rPr>
          <w:t>gov</w:t>
        </w:r>
        <w:r>
          <w:rPr>
            <w:rStyle w:val="Style14"/>
            <w:color w:val="auto"/>
            <w:sz w:val="28"/>
            <w:szCs w:val="28"/>
            <w:lang w:val="ru-RU"/>
          </w:rPr>
          <w:t>.</w:t>
        </w:r>
        <w:r>
          <w:rPr>
            <w:rStyle w:val="Style14"/>
            <w:color w:val="auto"/>
            <w:sz w:val="28"/>
            <w:szCs w:val="28"/>
            <w:lang w:val="en-US"/>
          </w:rPr>
          <w:t>ua</w:t>
        </w:r>
      </w:hyperlink>
      <w:r>
        <w:rPr>
          <w:sz w:val="28"/>
          <w:szCs w:val="28"/>
          <w:lang w:val="ru-RU"/>
        </w:rPr>
        <w:t>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>12. За результатами розгляду звернень Виконавці створюють в електронній базі даних “Visual Service</w:t>
      </w:r>
      <w:r>
        <w:rPr>
          <w:sz w:val="28"/>
          <w:szCs w:val="28"/>
          <w:lang w:val="ru-RU"/>
        </w:rPr>
        <w:t xml:space="preserve">” </w:t>
      </w:r>
      <w:r>
        <w:rPr>
          <w:sz w:val="28"/>
          <w:szCs w:val="28"/>
        </w:rPr>
        <w:t>відповідний коментар. У коментарі формується відповідь заявнику – опис виконаної роботи/прийнятих рішень/запланованих для вирішення по суті питання заходів. У коментарі Виконавець зобов’язаний деталізувати (зазначити чітко) характер та обсяг проведених робіт, дату та час їх проведення або усунення аварійної ситуації. Якщо звернення заявника містить файли з фотофіксацією, Виконавець зобов’язаний долучити до коментаря відповідну фотофіксацію виконаних робіт.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 За достовірність та якість наданої відповіді, долучених документів щодо результатів розгляду звернення та виконання робіт Виконавці несуть персональну відповідальність.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>14. Якщо для вирішення порушеного у зверненні питання необхідно більше часу, ніж встановлено у п. 7 цього Порядку, Виконавець подає обґрунтовані пояснення та пропозиції щодо зміни терміну виконання робіт, змінюючи статус звернення на “Заплановані”. Працівник “15-80” встановлює нову дату контролю виконання робіт, а заявник отримує відповідне текстове повідомлення про зміну статусу звернення. За визначений час порушені у зверненні питання повинні бути вирішені по суті.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 У разі неможливості вирішити питання по суті, Виконавець за підписом керівника надсилає громадянину лист з роз’ясненнями. Таке звернення знімається з контролю після прикріплення до реєстраційної картки звернення електронної копії письмової відповіді. </w:t>
      </w:r>
    </w:p>
    <w:p>
      <w:pPr>
        <w:pStyle w:val="NormalWeb"/>
        <w:spacing w:lineRule="auto" w:line="240" w:before="0"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16. У разі проведення планових ремонтних робіт, Виконавці зобов’язані інформувати про них заздалегідь, через оголошення на порталі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  <w:lang w:val="ru-RU"/>
        </w:rPr>
        <w:t>://</w:t>
      </w:r>
      <w:r>
        <w:rPr>
          <w:sz w:val="28"/>
          <w:szCs w:val="28"/>
        </w:rPr>
        <w:t>1580.l</w:t>
      </w:r>
      <w:r>
        <w:rPr>
          <w:sz w:val="28"/>
          <w:szCs w:val="28"/>
          <w:lang w:val="en-US"/>
        </w:rPr>
        <w:t>utskrada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>
        <w:rPr>
          <w:sz w:val="28"/>
          <w:szCs w:val="28"/>
        </w:rPr>
        <w:t>.ua.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  <w:lang w:val="ru-RU"/>
        </w:rPr>
        <w:t>17</w:t>
      </w:r>
      <w:r>
        <w:rPr>
          <w:sz w:val="28"/>
          <w:szCs w:val="28"/>
        </w:rPr>
        <w:t xml:space="preserve">. Заявники отримують електронні текстові сповіщення про розгляд звернення, з результатами якого вони самостійно ознайомлюються на порталі </w:t>
      </w:r>
      <w:hyperlink r:id="rId5">
        <w:r>
          <w:rPr>
            <w:rStyle w:val="Style14"/>
            <w:color w:val="auto"/>
            <w:sz w:val="28"/>
            <w:szCs w:val="28"/>
            <w:u w:val="none"/>
            <w:lang w:val="en-US"/>
          </w:rPr>
          <w:t>http</w:t>
        </w:r>
        <w:r>
          <w:rPr>
            <w:rStyle w:val="Style14"/>
            <w:color w:val="auto"/>
            <w:sz w:val="28"/>
            <w:szCs w:val="28"/>
            <w:u w:val="none"/>
            <w:lang w:val="ru-RU"/>
          </w:rPr>
          <w:t>://</w:t>
        </w:r>
        <w:r>
          <w:rPr>
            <w:rStyle w:val="Style14"/>
            <w:color w:val="auto"/>
            <w:sz w:val="28"/>
            <w:szCs w:val="28"/>
            <w:u w:val="none"/>
          </w:rPr>
          <w:t>1580.l</w:t>
        </w:r>
        <w:r>
          <w:rPr>
            <w:rStyle w:val="Style14"/>
            <w:color w:val="auto"/>
            <w:sz w:val="28"/>
            <w:szCs w:val="28"/>
            <w:u w:val="none"/>
            <w:lang w:val="en-US"/>
          </w:rPr>
          <w:t>utskrada</w:t>
        </w:r>
        <w:r>
          <w:rPr>
            <w:rStyle w:val="Style14"/>
            <w:color w:val="auto"/>
            <w:sz w:val="28"/>
            <w:szCs w:val="28"/>
            <w:u w:val="none"/>
          </w:rPr>
          <w:t>.</w:t>
        </w:r>
        <w:r>
          <w:rPr>
            <w:rStyle w:val="Style14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Style14"/>
            <w:color w:val="auto"/>
            <w:sz w:val="28"/>
            <w:szCs w:val="28"/>
            <w:u w:val="none"/>
          </w:rPr>
          <w:t>.ua</w:t>
        </w:r>
      </w:hyperlink>
      <w:r>
        <w:rPr>
          <w:sz w:val="28"/>
          <w:szCs w:val="28"/>
        </w:rPr>
        <w:t xml:space="preserve">. 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>18. Якщо громадянин повідомляє про неналежний розгляд порушеного питання, до електронної бази даних “Visual Service</w:t>
      </w:r>
      <w:r>
        <w:rPr>
          <w:sz w:val="28"/>
          <w:szCs w:val="28"/>
          <w:lang w:val="ru-RU"/>
        </w:rPr>
        <w:t xml:space="preserve">” </w:t>
      </w:r>
      <w:r>
        <w:rPr>
          <w:sz w:val="28"/>
          <w:szCs w:val="28"/>
        </w:rPr>
        <w:t>вноситься відповідний коментар, а звернення повертається на доопрацювання.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sz w:val="28"/>
          <w:szCs w:val="28"/>
        </w:rPr>
        <w:t>19. Працівник “15-80” здійснює моніторинг звернень громадян та контролює вчасність їх розгляду. Щодня формуються звіти: 20 найпоширеніших звернень, статистика усіх звернень, статистика протермінованих звернень. Звіти скеровуються Виконавцям та керівництву Луцької міської ради.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color w:val="000000"/>
          <w:sz w:val="28"/>
          <w:szCs w:val="28"/>
        </w:rPr>
        <w:t>20. За необхідності, після отримання інформації від Виконавця про завершення робіт, пов’язаних із розглядом звернення, працівник “15-80” контролює достовірність інформації через зворотний зв’язок із заявником. При цьому забороняється турбувати громадян після 22.00.</w:t>
      </w:r>
    </w:p>
    <w:p>
      <w:pPr>
        <w:pStyle w:val="NormalWeb"/>
        <w:spacing w:lineRule="auto" w:line="240" w:before="0" w:after="0"/>
        <w:ind w:firstLine="709"/>
        <w:jc w:val="both"/>
        <w:rPr/>
      </w:pPr>
      <w:r>
        <w:rPr>
          <w:color w:val="000000"/>
          <w:sz w:val="28"/>
          <w:szCs w:val="28"/>
        </w:rPr>
        <w:t>21. У разі, якщо заявник не відповідає на телефонний дзвінок за номером телефону, що зазначений у зверненні, інформація про результат розгляду звернення надсилається через смс-повідомлення.</w:t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Заступник міського голови,</w:t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                                                     Юрій ВЕРБИЧ</w:t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>
          <w:color w:val="000000"/>
        </w:rPr>
      </w:pPr>
      <w:r>
        <w:rPr>
          <w:color w:val="000000"/>
        </w:rPr>
        <w:t xml:space="preserve">Карп’як </w:t>
      </w:r>
      <w:r>
        <w:rPr>
          <w:color w:val="000000"/>
          <w:lang w:val="en-US"/>
        </w:rPr>
        <w:t>777</w:t>
      </w:r>
      <w:r>
        <w:rPr>
          <w:color w:val="000000"/>
        </w:rPr>
        <w:t> </w:t>
      </w:r>
      <w:r>
        <w:rPr>
          <w:color w:val="000000"/>
          <w:lang w:val="en-US"/>
        </w:rPr>
        <w:t>870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"/>
        <w:suppressAutoHyphens w:val="false"/>
        <w:rPr/>
      </w:pPr>
      <w:r>
        <w:rPr/>
      </w:r>
      <w:r>
        <w:br w:type="page"/>
      </w:r>
    </w:p>
    <w:p>
      <w:pPr>
        <w:pStyle w:val="Normal"/>
        <w:ind w:left="4962" w:hanging="0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</w:p>
    <w:p>
      <w:pPr>
        <w:pStyle w:val="Normal"/>
        <w:ind w:left="4962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Порядку опрацювання звернень громадян, що надходять у відділ комунікацій “15-80”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Термін виконання </w:t>
      </w:r>
    </w:p>
    <w:p>
      <w:pPr>
        <w:pStyle w:val="Normal"/>
        <w:jc w:val="center"/>
        <w:rPr/>
      </w:pPr>
      <w:r>
        <w:rPr>
          <w:color w:val="000000"/>
          <w:sz w:val="28"/>
          <w:szCs w:val="28"/>
        </w:rPr>
        <w:t>аварійних термінових та аварійних звернень,</w:t>
      </w:r>
    </w:p>
    <w:p>
      <w:pPr>
        <w:pStyle w:val="Normal"/>
        <w:jc w:val="center"/>
        <w:rPr/>
      </w:pPr>
      <w:r>
        <w:rPr>
          <w:sz w:val="28"/>
          <w:szCs w:val="28"/>
        </w:rPr>
        <w:t>що надходять у відділ комунікацій “15-80” департаменту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«Центр надання адміністративних послуг у місті Луцьку»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60" w:type="dxa"/>
        <w:jc w:val="left"/>
        <w:tblInd w:w="-11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8"/>
        <w:gridCol w:w="2928"/>
        <w:gridCol w:w="4271"/>
        <w:gridCol w:w="1812"/>
      </w:tblGrid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jc w:val="center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№</w:t>
            </w:r>
          </w:p>
          <w:p>
            <w:pPr>
              <w:pStyle w:val="NormalWeb"/>
              <w:spacing w:before="0" w:after="142"/>
              <w:jc w:val="center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з/п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jc w:val="center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Тип звернення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jc w:val="center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Реагування – передача на виконання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jc w:val="center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Термін реагування</w:t>
            </w:r>
          </w:p>
        </w:tc>
      </w:tr>
      <w:tr>
        <w:trPr/>
        <w:tc>
          <w:tcPr>
            <w:tcW w:w="9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jc w:val="center"/>
              <w:rPr>
                <w:rFonts w:ascii="serif;Times New Roman" w:hAnsi="serif;Times New Roman" w:cs="serif;Times New Roman"/>
                <w:bCs/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bCs/>
                <w:sz w:val="28"/>
                <w:szCs w:val="28"/>
                <w:lang w:bidi="hi-IN"/>
              </w:rPr>
            </w:r>
          </w:p>
          <w:p>
            <w:pPr>
              <w:pStyle w:val="NormalWeb"/>
              <w:spacing w:lineRule="auto" w:line="240" w:before="0" w:after="0"/>
              <w:jc w:val="center"/>
              <w:rPr>
                <w:rFonts w:ascii="serif;Times New Roman" w:hAnsi="serif;Times New Roman" w:cs="serif;Times New Roman"/>
                <w:bCs/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bCs/>
                <w:sz w:val="28"/>
                <w:szCs w:val="28"/>
                <w:lang w:bidi="hi-IN"/>
              </w:rPr>
              <w:t>1.Аварійні термінові звернення</w:t>
            </w:r>
          </w:p>
          <w:p>
            <w:pPr>
              <w:pStyle w:val="NormalWeb"/>
              <w:spacing w:lineRule="auto" w:line="240" w:before="0" w:after="0"/>
              <w:jc w:val="center"/>
              <w:rPr>
                <w:rFonts w:ascii="serif;Times New Roman" w:hAnsi="serif;Times New Roman" w:cs="serif;Times New Roman"/>
                <w:lang w:bidi="hi-IN"/>
              </w:rPr>
            </w:pPr>
            <w:r>
              <w:rPr>
                <w:rFonts w:cs="serif;Times New Roman" w:ascii="serif;Times New Roman" w:hAnsi="serif;Times New Roman"/>
                <w:lang w:bidi="hi-IN"/>
              </w:rPr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1.1.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Застрягання кабіни ліфта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ТзОВ «СРБУ «Волиньліфт»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До </w:t>
            </w:r>
            <w:r>
              <w:rPr>
                <w:sz w:val="28"/>
                <w:szCs w:val="28"/>
                <w:lang w:bidi="hi-IN"/>
              </w:rPr>
              <w:t>1</w:t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1.2.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Витік води у квартирі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Балансоутримувач (управляюча компанія, експлуатуюча організація, яка обслуговує житловий фонд)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До 6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1.3.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Прочищення каналізаційної мережі в підвалі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Балансоутримувач</w:t>
            </w:r>
            <w:r>
              <w:rPr>
                <w:sz w:val="28"/>
                <w:szCs w:val="28"/>
                <w:lang w:bidi="hi-IN"/>
              </w:rPr>
              <w:br/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(управляюча компанія,</w:t>
            </w:r>
            <w:r>
              <w:rPr>
                <w:sz w:val="28"/>
                <w:szCs w:val="28"/>
                <w:lang w:bidi="hi-IN"/>
              </w:rPr>
              <w:br/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експлуатуюча організація, яка обслуговує житловий фонд)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До 6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1.4.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Відсутність люка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Після з’ясування типу люка: ВАТ  </w:t>
            </w:r>
            <w:r>
              <w:rPr>
                <w:sz w:val="28"/>
                <w:szCs w:val="28"/>
                <w:lang w:bidi="hi-IN"/>
              </w:rPr>
              <w:t>«</w:t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Укртелеком</w:t>
            </w:r>
            <w:r>
              <w:rPr>
                <w:sz w:val="28"/>
                <w:szCs w:val="28"/>
                <w:lang w:bidi="hi-IN"/>
              </w:rPr>
              <w:t>», КП «Луцькводоканал», ЛСКАП «Луцькспецкомунтранс»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До </w:t>
            </w:r>
            <w:r>
              <w:rPr>
                <w:sz w:val="28"/>
                <w:szCs w:val="28"/>
                <w:lang w:bidi="hi-IN"/>
              </w:rPr>
              <w:t>2</w:t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1.5.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Витік каналізації у будинку, квартирі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Балансоутримувач (управляюча компанія, експлуатуюча організація, яка обслуговує житловий фонд)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До 6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1.6.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Обрив повітряної лінії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Після з’ясування  балансоутримувача КП «Луцьке електротехнічне підприємство – Луцьксвітло»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До </w:t>
            </w:r>
            <w:r>
              <w:rPr>
                <w:sz w:val="28"/>
                <w:szCs w:val="28"/>
                <w:lang w:bidi="hi-IN"/>
              </w:rPr>
              <w:t>3</w:t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1.7.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/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>Непрацюючий світлофор</w:t>
            </w:r>
          </w:p>
          <w:p>
            <w:pPr>
              <w:pStyle w:val="NormalWeb"/>
              <w:spacing w:lineRule="auto" w:line="240" w:before="0" w:after="0"/>
              <w:rPr>
                <w:rFonts w:ascii="serif;Times New Roman" w:hAnsi="serif;Times New Roman" w:cs="serif;Times New Roman"/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</w:r>
          </w:p>
          <w:p>
            <w:pPr>
              <w:pStyle w:val="NormalWeb"/>
              <w:spacing w:lineRule="auto" w:line="240" w:before="0" w:after="0"/>
              <w:rPr>
                <w:rFonts w:ascii="serif;Times New Roman" w:hAnsi="serif;Times New Roman" w:cs="serif;Times New Roman"/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КП «Луцьке електротехнічне підприємство – Луцьксвітло»</w:t>
            </w:r>
          </w:p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</w:r>
          </w:p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До </w:t>
            </w:r>
            <w:r>
              <w:rPr>
                <w:sz w:val="28"/>
                <w:szCs w:val="28"/>
                <w:lang w:bidi="hi-IN"/>
              </w:rPr>
              <w:t>3</w:t>
            </w:r>
            <w:r>
              <w:rPr>
                <w:rFonts w:cs="serif;Times New Roman" w:ascii="serif;Times New Roman" w:hAnsi="serif;Times New Roman"/>
                <w:sz w:val="28"/>
                <w:szCs w:val="28"/>
                <w:lang w:bidi="hi-IN"/>
              </w:rPr>
              <w:t xml:space="preserve"> годин</w:t>
            </w:r>
          </w:p>
        </w:tc>
      </w:tr>
      <w:tr>
        <w:trPr/>
        <w:tc>
          <w:tcPr>
            <w:tcW w:w="9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jc w:val="center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</w:r>
          </w:p>
          <w:p>
            <w:pPr>
              <w:pStyle w:val="NormalWeb"/>
              <w:spacing w:lineRule="auto" w:line="240" w:before="0" w:after="0"/>
              <w:jc w:val="center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 Аварійні звернення</w:t>
            </w:r>
          </w:p>
          <w:p>
            <w:pPr>
              <w:pStyle w:val="NormalWeb"/>
              <w:spacing w:lineRule="auto" w:line="240" w:before="0" w:after="0"/>
              <w:jc w:val="center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2.1.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Розповітрювання системи опалення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Балансоутримувач (управляюча компанія, експлуатуюча організація, яка обслуговує житловий фонд)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До 3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2.2.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Відновлення теплопостачання на стояк (під’їзд)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Балансоутримувач (управляюча компанія, експлуатуюча організація, яка обслуговує житловий фонд)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До 24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2.3.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Ліквідація засмічень на каналізаційній мережі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КП «Луцькводоканал»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До 24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2.4.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Відсутність люка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Після з’ясування типу люка: ВАТ «Укртелеком», КП «Луцькводоканал», ЛСКАП </w:t>
            </w:r>
            <w:bookmarkStart w:id="0" w:name="_GoBack"/>
            <w:bookmarkEnd w:id="0"/>
            <w:r>
              <w:rPr>
                <w:sz w:val="28"/>
                <w:szCs w:val="28"/>
                <w:lang w:bidi="hi-IN"/>
              </w:rPr>
              <w:t>«Луцькспецкомунтранс»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До 2 годин</w:t>
            </w:r>
          </w:p>
        </w:tc>
      </w:tr>
      <w:tr>
        <w:trPr/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2.5.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 xml:space="preserve">Встановлення (відновлення пошкоджених) дорожніх знаків 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Департамент житлово-комунального господарства Луцької міської ради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3-5 днів</w:t>
            </w:r>
          </w:p>
        </w:tc>
      </w:tr>
      <w:tr>
        <w:trPr>
          <w:trHeight w:val="1489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before="0" w:after="142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2.6.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Нанесення-поновлення розмітки на пішохідному переході</w:t>
            </w:r>
          </w:p>
        </w:tc>
        <w:tc>
          <w:tcPr>
            <w:tcW w:w="4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Департамент житлово-комунального господарства Луцької міської ради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="0" w:after="0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bidi="hi-IN"/>
              </w:rPr>
              <w:t>3-5 днів</w:t>
            </w:r>
          </w:p>
        </w:tc>
      </w:tr>
    </w:tbl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0" w:after="0"/>
        <w:rPr/>
      </w:pPr>
      <w:r>
        <w:rPr/>
        <w:t>Карп’як 777 870</w:t>
      </w:r>
    </w:p>
    <w:p>
      <w:pPr>
        <w:pStyle w:val="NormalWeb"/>
        <w:spacing w:lineRule="auto" w:line="240" w:before="0" w:after="0"/>
        <w:rPr/>
      </w:pPr>
      <w:r>
        <w:rPr/>
      </w:r>
    </w:p>
    <w:sectPr>
      <w:headerReference w:type="default" r:id="rId6"/>
      <w:type w:val="nextPage"/>
      <w:pgSz w:w="11906" w:h="16838"/>
      <w:pgMar w:left="1985" w:right="567" w:header="709" w:top="766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erif">
    <w:altName w:val="Times New Roman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62017206"/>
    </w:sdtPr>
    <w:sdtContent>
      <w:p>
        <w:pPr>
          <w:pStyle w:val="Style24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6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Pr/>
  </w:style>
  <w:style w:type="character" w:styleId="Style14" w:customStyle="1">
    <w:name w:val="Гіперпосилання"/>
    <w:basedOn w:val="1"/>
    <w:rPr>
      <w:color w:val="0000FF"/>
      <w:u w:val="single"/>
    </w:rPr>
  </w:style>
  <w:style w:type="character" w:styleId="Style15" w:customStyle="1">
    <w:name w:val="Маркери списку"/>
    <w:qFormat/>
    <w:rPr>
      <w:rFonts w:ascii="OpenSymbol" w:hAnsi="OpenSymbol" w:eastAsia="OpenSymbol" w:cs="OpenSymbol"/>
    </w:rPr>
  </w:style>
  <w:style w:type="character" w:styleId="Style16" w:customStyle="1">
    <w:name w:val="Номер сторінки"/>
    <w:basedOn w:val="DefaultParagraphFont"/>
    <w:rPr/>
  </w:style>
  <w:style w:type="character" w:styleId="Style17" w:customStyle="1">
    <w:name w:val="Нижний колонтитул Знак"/>
    <w:basedOn w:val="DefaultParagraphFont"/>
    <w:link w:val="af"/>
    <w:uiPriority w:val="99"/>
    <w:qFormat/>
    <w:rsid w:val="009f25c0"/>
    <w:rPr>
      <w:rFonts w:ascii="Times New Roman" w:hAnsi="Times New Roman" w:eastAsia="Times New Roman" w:cs="Times New Roman"/>
      <w:sz w:val="24"/>
      <w:lang w:bidi="ar-SA"/>
    </w:rPr>
  </w:style>
  <w:style w:type="character" w:styleId="Style18" w:customStyle="1">
    <w:name w:val="Верхний колонтитул Знак"/>
    <w:basedOn w:val="DefaultParagraphFont"/>
    <w:link w:val="ac"/>
    <w:uiPriority w:val="99"/>
    <w:qFormat/>
    <w:rsid w:val="009f25c0"/>
    <w:rPr>
      <w:rFonts w:ascii="Times New Roman" w:hAnsi="Times New Roman" w:eastAsia="Times New Roman" w:cs="Times New Roman"/>
      <w:sz w:val="24"/>
      <w:lang w:bidi="ar-SA"/>
    </w:rPr>
  </w:style>
  <w:style w:type="character" w:styleId="ListLabel1">
    <w:name w:val="ListLabel 1"/>
    <w:qFormat/>
    <w:rPr>
      <w:color w:val="auto"/>
      <w:sz w:val="28"/>
      <w:szCs w:val="28"/>
      <w:u w:val="none"/>
      <w:lang w:val="en-US"/>
    </w:rPr>
  </w:style>
  <w:style w:type="character" w:styleId="ListLabel2">
    <w:name w:val="ListLabel 2"/>
    <w:qFormat/>
    <w:rPr>
      <w:color w:val="auto"/>
      <w:sz w:val="28"/>
      <w:szCs w:val="28"/>
      <w:u w:val="none"/>
    </w:rPr>
  </w:style>
  <w:style w:type="character" w:styleId="ListLabel3">
    <w:name w:val="ListLabel 3"/>
    <w:qFormat/>
    <w:rPr>
      <w:color w:val="auto"/>
      <w:sz w:val="28"/>
      <w:szCs w:val="28"/>
      <w:u w:val="none"/>
      <w:lang w:val="ru-RU"/>
    </w:rPr>
  </w:style>
  <w:style w:type="character" w:styleId="ListLabel4">
    <w:name w:val="ListLabel 4"/>
    <w:qFormat/>
    <w:rPr>
      <w:color w:val="auto"/>
      <w:sz w:val="28"/>
      <w:szCs w:val="28"/>
    </w:rPr>
  </w:style>
  <w:style w:type="character" w:styleId="ListLabel5">
    <w:name w:val="ListLabel 5"/>
    <w:qFormat/>
    <w:rPr>
      <w:color w:val="auto"/>
      <w:sz w:val="28"/>
      <w:szCs w:val="28"/>
      <w:lang w:val="ru-RU"/>
    </w:rPr>
  </w:style>
  <w:style w:type="character" w:styleId="ListLabel6">
    <w:name w:val="ListLabel 6"/>
    <w:qFormat/>
    <w:rPr>
      <w:color w:val="auto"/>
      <w:sz w:val="28"/>
      <w:szCs w:val="28"/>
      <w:lang w:val="en-US"/>
    </w:rPr>
  </w:style>
  <w:style w:type="character" w:styleId="ListLabel7">
    <w:name w:val="ListLabel 7"/>
    <w:qFormat/>
    <w:rPr>
      <w:color w:val="auto"/>
      <w:sz w:val="28"/>
      <w:szCs w:val="28"/>
      <w:u w:val="none"/>
      <w:lang w:val="en-US"/>
    </w:rPr>
  </w:style>
  <w:style w:type="character" w:styleId="ListLabel8">
    <w:name w:val="ListLabel 8"/>
    <w:qFormat/>
    <w:rPr>
      <w:color w:val="auto"/>
      <w:sz w:val="28"/>
      <w:szCs w:val="28"/>
      <w:u w:val="none"/>
    </w:rPr>
  </w:style>
  <w:style w:type="character" w:styleId="ListLabel9">
    <w:name w:val="ListLabel 9"/>
    <w:qFormat/>
    <w:rPr>
      <w:color w:val="auto"/>
      <w:sz w:val="28"/>
      <w:szCs w:val="28"/>
      <w:u w:val="none"/>
      <w:lang w:val="ru-RU"/>
    </w:rPr>
  </w:style>
  <w:style w:type="character" w:styleId="ListLabel10">
    <w:name w:val="ListLabel 10"/>
    <w:qFormat/>
    <w:rPr>
      <w:color w:val="auto"/>
      <w:sz w:val="28"/>
      <w:szCs w:val="28"/>
    </w:rPr>
  </w:style>
  <w:style w:type="character" w:styleId="ListLabel11">
    <w:name w:val="ListLabel 11"/>
    <w:qFormat/>
    <w:rPr>
      <w:color w:val="auto"/>
      <w:sz w:val="28"/>
      <w:szCs w:val="28"/>
      <w:lang w:val="ru-RU"/>
    </w:rPr>
  </w:style>
  <w:style w:type="character" w:styleId="ListLabel12">
    <w:name w:val="ListLabel 12"/>
    <w:qFormat/>
    <w:rPr>
      <w:color w:val="auto"/>
      <w:sz w:val="28"/>
      <w:szCs w:val="28"/>
      <w:lang w:val="en-US"/>
    </w:rPr>
  </w:style>
  <w:style w:type="character" w:styleId="ListLabel13">
    <w:name w:val="ListLabel 13"/>
    <w:qFormat/>
    <w:rPr>
      <w:color w:val="auto"/>
      <w:sz w:val="28"/>
      <w:szCs w:val="28"/>
      <w:u w:val="none"/>
      <w:lang w:val="en-US"/>
    </w:rPr>
  </w:style>
  <w:style w:type="character" w:styleId="ListLabel14">
    <w:name w:val="ListLabel 14"/>
    <w:qFormat/>
    <w:rPr>
      <w:color w:val="auto"/>
      <w:sz w:val="28"/>
      <w:szCs w:val="28"/>
      <w:u w:val="none"/>
    </w:rPr>
  </w:style>
  <w:style w:type="character" w:styleId="ListLabel15">
    <w:name w:val="ListLabel 15"/>
    <w:qFormat/>
    <w:rPr>
      <w:color w:val="auto"/>
      <w:sz w:val="28"/>
      <w:szCs w:val="28"/>
      <w:u w:val="none"/>
      <w:lang w:val="ru-RU"/>
    </w:rPr>
  </w:style>
  <w:style w:type="character" w:styleId="ListLabel16">
    <w:name w:val="ListLabel 16"/>
    <w:qFormat/>
    <w:rPr>
      <w:color w:val="auto"/>
      <w:sz w:val="28"/>
      <w:szCs w:val="28"/>
    </w:rPr>
  </w:style>
  <w:style w:type="character" w:styleId="ListLabel17">
    <w:name w:val="ListLabel 17"/>
    <w:qFormat/>
    <w:rPr>
      <w:color w:val="auto"/>
      <w:sz w:val="28"/>
      <w:szCs w:val="28"/>
      <w:lang w:val="ru-RU"/>
    </w:rPr>
  </w:style>
  <w:style w:type="character" w:styleId="ListLabel18">
    <w:name w:val="ListLabel 18"/>
    <w:qFormat/>
    <w:rPr>
      <w:color w:val="auto"/>
      <w:sz w:val="28"/>
      <w:szCs w:val="28"/>
      <w:lang w:val="en-US"/>
    </w:rPr>
  </w:style>
  <w:style w:type="character" w:styleId="ListLabel19">
    <w:name w:val="ListLabel 19"/>
    <w:qFormat/>
    <w:rPr>
      <w:color w:val="auto"/>
      <w:sz w:val="28"/>
      <w:szCs w:val="28"/>
      <w:u w:val="none"/>
      <w:lang w:val="en-US"/>
    </w:rPr>
  </w:style>
  <w:style w:type="character" w:styleId="ListLabel20">
    <w:name w:val="ListLabel 20"/>
    <w:qFormat/>
    <w:rPr>
      <w:color w:val="auto"/>
      <w:sz w:val="28"/>
      <w:szCs w:val="28"/>
      <w:u w:val="none"/>
    </w:rPr>
  </w:style>
  <w:style w:type="character" w:styleId="ListLabel21">
    <w:name w:val="ListLabel 21"/>
    <w:qFormat/>
    <w:rPr>
      <w:color w:val="auto"/>
      <w:sz w:val="28"/>
      <w:szCs w:val="28"/>
      <w:u w:val="none"/>
      <w:lang w:val="ru-RU"/>
    </w:rPr>
  </w:style>
  <w:style w:type="character" w:styleId="ListLabel22">
    <w:name w:val="ListLabel 22"/>
    <w:qFormat/>
    <w:rPr>
      <w:color w:val="auto"/>
      <w:sz w:val="28"/>
      <w:szCs w:val="28"/>
    </w:rPr>
  </w:style>
  <w:style w:type="character" w:styleId="ListLabel23">
    <w:name w:val="ListLabel 23"/>
    <w:qFormat/>
    <w:rPr>
      <w:color w:val="auto"/>
      <w:sz w:val="28"/>
      <w:szCs w:val="28"/>
      <w:lang w:val="ru-RU"/>
    </w:rPr>
  </w:style>
  <w:style w:type="character" w:styleId="ListLabel24">
    <w:name w:val="ListLabel 24"/>
    <w:qFormat/>
    <w:rPr>
      <w:color w:val="auto"/>
      <w:sz w:val="28"/>
      <w:szCs w:val="28"/>
      <w:lang w:val="en-US"/>
    </w:rPr>
  </w:style>
  <w:style w:type="paragraph" w:styleId="Style19" w:customStyle="1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qFormat/>
    <w:pPr>
      <w:spacing w:lineRule="auto" w:line="276" w:before="280" w:after="142"/>
    </w:pPr>
    <w:rPr/>
  </w:style>
  <w:style w:type="paragraph" w:styleId="Style24">
    <w:name w:val="Header"/>
    <w:basedOn w:val="Normal"/>
    <w:link w:val="ad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Footer"/>
    <w:basedOn w:val="Normal"/>
    <w:link w:val="af0"/>
    <w:uiPriority w:val="99"/>
    <w:unhideWhenUsed/>
    <w:rsid w:val="009f25c0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1580.lutskrada.gov.ua/" TargetMode="External"/><Relationship Id="rId3" Type="http://schemas.openxmlformats.org/officeDocument/2006/relationships/hyperlink" Target="http://1580.lutskrada.gov.ua/" TargetMode="External"/><Relationship Id="rId4" Type="http://schemas.openxmlformats.org/officeDocument/2006/relationships/hyperlink" Target="mailto:1580@lutskrada.gov.ua" TargetMode="External"/><Relationship Id="rId5" Type="http://schemas.openxmlformats.org/officeDocument/2006/relationships/hyperlink" Target="http://1580.lutskrada.gov.ua/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LibreOffice/6.2.2.2$Windows_X86_64 LibreOffice_project/2b840030fec2aae0fd2658d8d4f9548af4e3518d</Application>
  <Pages>6</Pages>
  <Words>1097</Words>
  <Characters>7910</Characters>
  <CharactersWithSpaces>8993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CNAP</dc:creator>
  <dc:description/>
  <dc:language>uk-UA</dc:language>
  <cp:lastModifiedBy/>
  <cp:lastPrinted>2021-08-13T09:20:09Z</cp:lastPrinted>
  <dcterms:modified xsi:type="dcterms:W3CDTF">2021-08-13T10:25:42Z</dcterms:modified>
  <cp:revision>15</cp:revision>
  <dc:subject/>
  <dc:title>Про затвердження Порядку опрацювання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