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3324" w:rsidRDefault="0083769C">
      <w:pPr>
        <w:jc w:val="center"/>
        <w:rPr>
          <w:color w:val="000000"/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0350656" r:id="rId9"/>
        </w:object>
      </w:r>
    </w:p>
    <w:p w:rsidR="00D03324" w:rsidRDefault="00D03324">
      <w:pPr>
        <w:jc w:val="center"/>
        <w:rPr>
          <w:color w:val="000000"/>
          <w:sz w:val="16"/>
          <w:szCs w:val="16"/>
        </w:rPr>
      </w:pPr>
    </w:p>
    <w:p w:rsidR="00D03324" w:rsidRDefault="0083769C">
      <w:pPr>
        <w:pStyle w:val="1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ЛУЦЬКА  МІСЬКА  РАДА</w:t>
      </w:r>
    </w:p>
    <w:p w:rsidR="00D03324" w:rsidRDefault="00D03324">
      <w:pPr>
        <w:rPr>
          <w:color w:val="000000"/>
          <w:sz w:val="10"/>
          <w:szCs w:val="10"/>
        </w:rPr>
      </w:pPr>
    </w:p>
    <w:p w:rsidR="00D03324" w:rsidRDefault="0083769C">
      <w:pPr>
        <w:pStyle w:val="1"/>
        <w:numPr>
          <w:ilvl w:val="0"/>
          <w:numId w:val="2"/>
        </w:numPr>
      </w:pPr>
      <w:r>
        <w:rPr>
          <w:color w:val="000000"/>
          <w:sz w:val="28"/>
          <w:szCs w:val="28"/>
        </w:rPr>
        <w:t>ВИКОНАВЧИЙ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КОМІТЕТ</w:t>
      </w:r>
    </w:p>
    <w:p w:rsidR="00D03324" w:rsidRDefault="00D03324">
      <w:pPr>
        <w:jc w:val="center"/>
        <w:rPr>
          <w:b/>
          <w:bCs w:val="0"/>
          <w:color w:val="000000"/>
          <w:sz w:val="20"/>
          <w:szCs w:val="20"/>
        </w:rPr>
      </w:pPr>
    </w:p>
    <w:p w:rsidR="00D03324" w:rsidRDefault="0083769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 Я</w:t>
      </w:r>
    </w:p>
    <w:p w:rsidR="00D03324" w:rsidRDefault="00D03324">
      <w:pPr>
        <w:jc w:val="center"/>
        <w:rPr>
          <w:b/>
          <w:bCs w:val="0"/>
          <w:color w:val="000000"/>
          <w:sz w:val="40"/>
          <w:szCs w:val="40"/>
        </w:rPr>
      </w:pPr>
    </w:p>
    <w:p w:rsidR="00D03324" w:rsidRDefault="0083769C">
      <w:pPr>
        <w:tabs>
          <w:tab w:val="left" w:pos="4687"/>
        </w:tabs>
        <w:jc w:val="both"/>
      </w:pPr>
      <w:r>
        <w:rPr>
          <w:color w:val="000000"/>
          <w:sz w:val="24"/>
        </w:rPr>
        <w:t>________________                                        Луцьк                                       № ______________</w:t>
      </w:r>
      <w:r>
        <w:rPr>
          <w:color w:val="000000"/>
          <w:u w:val="single"/>
        </w:rPr>
        <w:t xml:space="preserve"> </w:t>
      </w:r>
    </w:p>
    <w:p w:rsidR="00D03324" w:rsidRDefault="00D03324">
      <w:pPr>
        <w:tabs>
          <w:tab w:val="left" w:pos="540"/>
        </w:tabs>
        <w:spacing w:line="360" w:lineRule="auto"/>
        <w:rPr>
          <w:color w:val="000000"/>
          <w:szCs w:val="28"/>
        </w:rPr>
      </w:pPr>
    </w:p>
    <w:p w:rsidR="00D03324" w:rsidRDefault="0083769C" w:rsidP="006F5A7F">
      <w:pPr>
        <w:tabs>
          <w:tab w:val="left" w:pos="540"/>
        </w:tabs>
        <w:ind w:right="524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 </w:t>
      </w:r>
      <w:r>
        <w:rPr>
          <w:color w:val="000000"/>
          <w:szCs w:val="28"/>
        </w:rPr>
        <w:t>використання і охорону</w:t>
      </w:r>
      <w:r w:rsidR="006F5A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водних ресурсів </w:t>
      </w:r>
      <w:r>
        <w:rPr>
          <w:color w:val="000000"/>
          <w:szCs w:val="28"/>
        </w:rPr>
        <w:t xml:space="preserve">Луцької міської </w:t>
      </w:r>
      <w:r>
        <w:rPr>
          <w:color w:val="000000"/>
          <w:szCs w:val="28"/>
        </w:rPr>
        <w:t>територіальної громади</w:t>
      </w:r>
    </w:p>
    <w:p w:rsidR="00D03324" w:rsidRDefault="00D03324">
      <w:pPr>
        <w:tabs>
          <w:tab w:val="left" w:pos="540"/>
        </w:tabs>
        <w:rPr>
          <w:color w:val="000000"/>
          <w:szCs w:val="28"/>
        </w:rPr>
      </w:pPr>
    </w:p>
    <w:p w:rsidR="00D03324" w:rsidRDefault="00D03324">
      <w:pPr>
        <w:tabs>
          <w:tab w:val="left" w:pos="540"/>
        </w:tabs>
        <w:rPr>
          <w:color w:val="000000"/>
          <w:szCs w:val="28"/>
        </w:rPr>
      </w:pPr>
    </w:p>
    <w:p w:rsidR="00D03324" w:rsidRDefault="006F5A7F">
      <w:pPr>
        <w:tabs>
          <w:tab w:val="left" w:pos="720"/>
        </w:tabs>
        <w:jc w:val="both"/>
      </w:pPr>
      <w:r>
        <w:rPr>
          <w:color w:val="000000"/>
          <w:szCs w:val="28"/>
        </w:rPr>
        <w:tab/>
        <w:t>Керуючись ст. </w:t>
      </w:r>
      <w:r w:rsidR="0083769C">
        <w:rPr>
          <w:color w:val="000000"/>
          <w:szCs w:val="28"/>
        </w:rPr>
        <w:t xml:space="preserve">33 Закону України «Про місцеве самоврядування в Україні», з метою </w:t>
      </w:r>
      <w:r w:rsidR="0083769C">
        <w:rPr>
          <w:color w:val="1D1D1B"/>
          <w:szCs w:val="28"/>
        </w:rPr>
        <w:t>отримання достовірної інформації</w:t>
      </w:r>
      <w:r w:rsidR="0083769C">
        <w:rPr>
          <w:rFonts w:ascii="ProbaPro" w:hAnsi="ProbaPro"/>
          <w:color w:val="1D1D1B"/>
          <w:sz w:val="27"/>
          <w:szCs w:val="28"/>
        </w:rPr>
        <w:t xml:space="preserve"> </w:t>
      </w:r>
      <w:r w:rsidR="0083769C">
        <w:rPr>
          <w:color w:val="1D1D1B"/>
          <w:szCs w:val="28"/>
        </w:rPr>
        <w:t xml:space="preserve">про водні об’єкти </w:t>
      </w:r>
      <w:r w:rsidR="0083769C">
        <w:rPr>
          <w:color w:val="000000"/>
          <w:szCs w:val="28"/>
        </w:rPr>
        <w:t>на території Луцької міської територіальної громади</w:t>
      </w:r>
      <w:r w:rsidR="0083769C">
        <w:rPr>
          <w:color w:val="1D1D1B"/>
          <w:szCs w:val="28"/>
        </w:rPr>
        <w:t xml:space="preserve">, подальшого здійснення заходів з їх </w:t>
      </w:r>
      <w:proofErr w:type="spellStart"/>
      <w:r w:rsidR="0083769C">
        <w:rPr>
          <w:color w:val="1D1D1B"/>
          <w:szCs w:val="28"/>
        </w:rPr>
        <w:t>оцифровуван</w:t>
      </w:r>
      <w:r w:rsidR="0083769C">
        <w:rPr>
          <w:color w:val="1D1D1B"/>
          <w:szCs w:val="28"/>
        </w:rPr>
        <w:t>ня</w:t>
      </w:r>
      <w:proofErr w:type="spellEnd"/>
      <w:r w:rsidR="0083769C">
        <w:rPr>
          <w:color w:val="000000"/>
          <w:szCs w:val="28"/>
        </w:rPr>
        <w:t>, оцінки їх санітарного стану, обліку розміщених на них гідротехнічних споруд, наявність правовстановлюючих документів та їх відповідність вимогам чинного законодавства, з метою підвищення ефективності використання водних об’єктів, поліпшення їх екологіч</w:t>
      </w:r>
      <w:r w:rsidR="0083769C">
        <w:rPr>
          <w:color w:val="000000"/>
          <w:szCs w:val="28"/>
        </w:rPr>
        <w:t xml:space="preserve">ного стану та наповнення місцевого бюджету надходженнями від орендної плати, виконавчий комітет міської ради </w:t>
      </w:r>
    </w:p>
    <w:p w:rsidR="00D03324" w:rsidRDefault="00D03324">
      <w:pPr>
        <w:tabs>
          <w:tab w:val="left" w:pos="720"/>
        </w:tabs>
        <w:jc w:val="both"/>
        <w:rPr>
          <w:color w:val="000000"/>
          <w:szCs w:val="28"/>
        </w:rPr>
      </w:pPr>
    </w:p>
    <w:p w:rsidR="00D03324" w:rsidRDefault="0083769C">
      <w:pPr>
        <w:tabs>
          <w:tab w:val="left" w:pos="540"/>
        </w:tabs>
        <w:rPr>
          <w:color w:val="000000"/>
          <w:szCs w:val="28"/>
        </w:rPr>
      </w:pPr>
      <w:r>
        <w:rPr>
          <w:color w:val="000000"/>
          <w:szCs w:val="28"/>
        </w:rPr>
        <w:t>ВИРІШИВ:</w:t>
      </w:r>
    </w:p>
    <w:p w:rsidR="00D03324" w:rsidRDefault="00D03324">
      <w:pPr>
        <w:tabs>
          <w:tab w:val="left" w:pos="540"/>
        </w:tabs>
        <w:rPr>
          <w:color w:val="000000"/>
          <w:szCs w:val="28"/>
        </w:rPr>
      </w:pPr>
    </w:p>
    <w:p w:rsidR="00D03324" w:rsidRDefault="006F5A7F">
      <w:pPr>
        <w:tabs>
          <w:tab w:val="left" w:pos="741"/>
        </w:tabs>
        <w:ind w:firstLine="680"/>
        <w:jc w:val="both"/>
      </w:pPr>
      <w:r>
        <w:rPr>
          <w:color w:val="000000"/>
          <w:szCs w:val="28"/>
        </w:rPr>
        <w:t>1. </w:t>
      </w:r>
      <w:r w:rsidR="0083769C">
        <w:rPr>
          <w:color w:val="000000"/>
          <w:szCs w:val="28"/>
        </w:rPr>
        <w:t>П</w:t>
      </w:r>
      <w:r w:rsidR="0083769C">
        <w:rPr>
          <w:color w:val="000000"/>
          <w:szCs w:val="28"/>
        </w:rPr>
        <w:t xml:space="preserve">ровести інвентаризацію водних об’єктів </w:t>
      </w:r>
      <w:r w:rsidR="0083769C">
        <w:rPr>
          <w:color w:val="000000"/>
          <w:szCs w:val="28"/>
        </w:rPr>
        <w:t xml:space="preserve">на території Луцької міської територіальної громади в термін до 15 листопада 2021 року </w:t>
      </w:r>
      <w:r w:rsidR="0083769C">
        <w:rPr>
          <w:color w:val="000000"/>
          <w:szCs w:val="28"/>
        </w:rPr>
        <w:t>з вик</w:t>
      </w:r>
      <w:r w:rsidR="0083769C">
        <w:rPr>
          <w:color w:val="000000"/>
          <w:szCs w:val="28"/>
        </w:rPr>
        <w:t>ористанням наявних матеріалів про водойми, кадастрових та картографічних матеріалів та їх гідротехнічних споруд з оформленням актів та результатів відповідно до інвентаризаційної відомості згідно з додатком 1.</w:t>
      </w:r>
    </w:p>
    <w:p w:rsidR="00D03324" w:rsidRDefault="006F5A7F">
      <w:pPr>
        <w:tabs>
          <w:tab w:val="left" w:pos="741"/>
        </w:tabs>
        <w:ind w:firstLine="680"/>
        <w:jc w:val="both"/>
      </w:pPr>
      <w:r>
        <w:rPr>
          <w:color w:val="000000"/>
          <w:szCs w:val="28"/>
        </w:rPr>
        <w:t>2.</w:t>
      </w:r>
      <w:r w:rsidR="0083769C">
        <w:rPr>
          <w:color w:val="000000"/>
          <w:szCs w:val="28"/>
        </w:rPr>
        <w:t>Створити комісію для проведення інвентариза</w:t>
      </w:r>
      <w:r w:rsidR="0083769C">
        <w:rPr>
          <w:color w:val="000000"/>
          <w:szCs w:val="28"/>
        </w:rPr>
        <w:t>ції водних об’єктів Луцької міської територіальної громади, згідно з додатком 2.</w:t>
      </w:r>
    </w:p>
    <w:p w:rsidR="00D03324" w:rsidRDefault="0083769C">
      <w:pPr>
        <w:tabs>
          <w:tab w:val="left" w:pos="741"/>
        </w:tabs>
        <w:ind w:firstLine="680"/>
        <w:jc w:val="both"/>
      </w:pPr>
      <w:r>
        <w:rPr>
          <w:color w:val="000000"/>
          <w:szCs w:val="28"/>
        </w:rPr>
        <w:t>3.</w:t>
      </w:r>
      <w:r w:rsidR="006F5A7F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За результатами інвентаризації </w:t>
      </w:r>
      <w:r w:rsidR="006F5A7F" w:rsidRPr="006F5A7F">
        <w:rPr>
          <w:szCs w:val="28"/>
        </w:rPr>
        <w:t>вжити заходів</w:t>
      </w:r>
      <w:r>
        <w:rPr>
          <w:color w:val="000000"/>
          <w:szCs w:val="28"/>
        </w:rPr>
        <w:t xml:space="preserve"> щодо визначення водних об’єктів, </w:t>
      </w:r>
      <w:r>
        <w:rPr>
          <w:color w:val="000000"/>
          <w:szCs w:val="28"/>
        </w:rPr>
        <w:t xml:space="preserve">перспективних для передачі в оренду для рибогосподарських потреб, культурно-оздоровчих, </w:t>
      </w:r>
      <w:r>
        <w:rPr>
          <w:color w:val="000000"/>
          <w:szCs w:val="28"/>
        </w:rPr>
        <w:t>лікувальних, рекреаційних, спортивних і туристичних цілей, відповідно до вимог статті 51 Водного кодексу України;</w:t>
      </w:r>
      <w:r>
        <w:rPr>
          <w:szCs w:val="28"/>
        </w:rPr>
        <w:t xml:space="preserve"> визначення рибогосподарських технологічних водойм, перспективних для передачі в користування на умовах оренди для цілей аквакультури, відповід</w:t>
      </w:r>
      <w:r>
        <w:rPr>
          <w:szCs w:val="28"/>
        </w:rPr>
        <w:t>но до статті 14 Закону України «Про аквакультуру»;</w:t>
      </w:r>
      <w:r>
        <w:rPr>
          <w:color w:val="000000"/>
          <w:szCs w:val="28"/>
        </w:rPr>
        <w:t xml:space="preserve"> передачі виявлених безхазяйних гідротехнічних споруд у комунальну власність.</w:t>
      </w:r>
    </w:p>
    <w:p w:rsidR="00D03324" w:rsidRDefault="006F5A7F">
      <w:pPr>
        <w:tabs>
          <w:tab w:val="left" w:pos="741"/>
        </w:tabs>
        <w:ind w:firstLine="680"/>
        <w:jc w:val="both"/>
      </w:pPr>
      <w:r>
        <w:rPr>
          <w:color w:val="000000"/>
          <w:szCs w:val="28"/>
        </w:rPr>
        <w:lastRenderedPageBreak/>
        <w:t>4. </w:t>
      </w:r>
      <w:r w:rsidR="0083769C">
        <w:rPr>
          <w:color w:val="000000"/>
          <w:szCs w:val="28"/>
        </w:rPr>
        <w:t>Провести перевірку щодо самовільного захоплення чи використання фізичними чи юридичними особами земельних ділянок водного фон</w:t>
      </w:r>
      <w:r w:rsidR="0083769C">
        <w:rPr>
          <w:color w:val="000000"/>
          <w:szCs w:val="28"/>
        </w:rPr>
        <w:t>ду, додержання орендарями земельних ділянок та об</w:t>
      </w:r>
      <w:r w:rsidR="0083769C">
        <w:rPr>
          <w:color w:val="000000"/>
          <w:szCs w:val="28"/>
          <w:lang w:val="en-US"/>
        </w:rPr>
        <w:t>’</w:t>
      </w:r>
      <w:proofErr w:type="spellStart"/>
      <w:r w:rsidR="0083769C">
        <w:rPr>
          <w:color w:val="000000"/>
          <w:szCs w:val="28"/>
        </w:rPr>
        <w:t>єктів</w:t>
      </w:r>
      <w:proofErr w:type="spellEnd"/>
      <w:r w:rsidR="0083769C">
        <w:rPr>
          <w:color w:val="000000"/>
          <w:szCs w:val="28"/>
        </w:rPr>
        <w:t xml:space="preserve"> водного фонду істотних умов договору оренди, в тому числі щодо їх цільового використання, наявності порушень режиму користування землями та водними об’єктами (встановлення огорожі чи інших перепон, як</w:t>
      </w:r>
      <w:r w:rsidR="0083769C">
        <w:rPr>
          <w:color w:val="000000"/>
          <w:szCs w:val="28"/>
        </w:rPr>
        <w:t xml:space="preserve">і заважають вільному доступу до водних об’єктів, самовільне розміщення тимчасових споруд, здійснення господарської діяльності, яка заборонена законом тощо. </w:t>
      </w:r>
    </w:p>
    <w:p w:rsidR="00D03324" w:rsidRDefault="00E60A35">
      <w:pPr>
        <w:tabs>
          <w:tab w:val="left" w:pos="741"/>
        </w:tabs>
        <w:ind w:firstLine="680"/>
        <w:jc w:val="both"/>
      </w:pPr>
      <w:r>
        <w:rPr>
          <w:color w:val="000000"/>
          <w:szCs w:val="28"/>
        </w:rPr>
        <w:t>5. </w:t>
      </w:r>
      <w:r w:rsidR="0083769C">
        <w:rPr>
          <w:color w:val="000000"/>
          <w:szCs w:val="28"/>
        </w:rPr>
        <w:t xml:space="preserve">Продовжити роботу щодо виготовлення проектів землеустрою щодо встановлення меж </w:t>
      </w:r>
      <w:bookmarkStart w:id="0" w:name="__DdeLink__102_3071749342"/>
      <w:r w:rsidR="0083769C">
        <w:rPr>
          <w:color w:val="000000"/>
          <w:szCs w:val="28"/>
        </w:rPr>
        <w:t>прибережної захис</w:t>
      </w:r>
      <w:r>
        <w:rPr>
          <w:color w:val="000000"/>
          <w:szCs w:val="28"/>
        </w:rPr>
        <w:t>ної смуги та водоохоронної зони річок в </w:t>
      </w:r>
      <w:r w:rsidR="0083769C">
        <w:rPr>
          <w:color w:val="000000"/>
          <w:szCs w:val="28"/>
        </w:rPr>
        <w:t>межах Луцької міської територіальної громади</w:t>
      </w:r>
      <w:bookmarkEnd w:id="0"/>
      <w:r w:rsidR="0083769C">
        <w:rPr>
          <w:color w:val="000000"/>
          <w:szCs w:val="28"/>
        </w:rPr>
        <w:t>.</w:t>
      </w:r>
    </w:p>
    <w:p w:rsidR="00D03324" w:rsidRDefault="00E60A35">
      <w:pPr>
        <w:tabs>
          <w:tab w:val="left" w:pos="741"/>
        </w:tabs>
        <w:ind w:firstLine="680"/>
        <w:jc w:val="both"/>
      </w:pPr>
      <w:r>
        <w:rPr>
          <w:color w:val="000000"/>
          <w:szCs w:val="28"/>
        </w:rPr>
        <w:t xml:space="preserve">6. Продовжити </w:t>
      </w:r>
      <w:r w:rsidR="0083769C">
        <w:rPr>
          <w:color w:val="000000"/>
          <w:szCs w:val="28"/>
        </w:rPr>
        <w:t xml:space="preserve">роботу щодо встановлення в натурі межі прибережної захисної смуги та водоохоронної зони річок </w:t>
      </w:r>
      <w:r>
        <w:rPr>
          <w:color w:val="000000"/>
          <w:szCs w:val="28"/>
        </w:rPr>
        <w:t xml:space="preserve">Чорногузка, Серна, </w:t>
      </w:r>
      <w:proofErr w:type="spellStart"/>
      <w:r>
        <w:rPr>
          <w:color w:val="000000"/>
          <w:szCs w:val="28"/>
        </w:rPr>
        <w:t>Омеляник</w:t>
      </w:r>
      <w:proofErr w:type="spellEnd"/>
      <w:r>
        <w:rPr>
          <w:color w:val="000000"/>
          <w:szCs w:val="28"/>
        </w:rPr>
        <w:t xml:space="preserve"> (за </w:t>
      </w:r>
      <w:r w:rsidR="0083769C">
        <w:rPr>
          <w:color w:val="000000"/>
          <w:szCs w:val="28"/>
        </w:rPr>
        <w:t>межами міста Луцьк), Полонк</w:t>
      </w:r>
      <w:r w:rsidR="0083769C">
        <w:rPr>
          <w:color w:val="000000"/>
          <w:szCs w:val="28"/>
        </w:rPr>
        <w:t>а та інших водних об’єктів в межах Луцької міської територіальної громади відповідно до технічної документації.</w:t>
      </w:r>
    </w:p>
    <w:p w:rsidR="00D03324" w:rsidRDefault="00E60A35">
      <w:pPr>
        <w:tabs>
          <w:tab w:val="left" w:pos="741"/>
        </w:tabs>
        <w:ind w:firstLine="680"/>
        <w:jc w:val="both"/>
        <w:rPr>
          <w:szCs w:val="28"/>
        </w:rPr>
      </w:pPr>
      <w:r>
        <w:rPr>
          <w:color w:val="000000"/>
          <w:szCs w:val="28"/>
        </w:rPr>
        <w:t>7. </w:t>
      </w:r>
      <w:r w:rsidR="0083769C">
        <w:rPr>
          <w:color w:val="000000"/>
          <w:szCs w:val="28"/>
        </w:rPr>
        <w:t>Відділу екології:</w:t>
      </w:r>
    </w:p>
    <w:p w:rsidR="00D03324" w:rsidRDefault="0083769C">
      <w:pPr>
        <w:tabs>
          <w:tab w:val="left" w:pos="741"/>
        </w:tabs>
        <w:ind w:firstLine="680"/>
        <w:jc w:val="both"/>
        <w:rPr>
          <w:szCs w:val="28"/>
        </w:rPr>
      </w:pPr>
      <w:r>
        <w:rPr>
          <w:color w:val="000000"/>
          <w:szCs w:val="28"/>
        </w:rPr>
        <w:t>7.1.</w:t>
      </w:r>
      <w:r w:rsidR="00E60A35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При формуванні бюджету Луцької міської територіальної громади на 2022 рік передбачити потребу коштів на виготовлення та встановлення </w:t>
      </w:r>
      <w:r>
        <w:rPr>
          <w:color w:val="000000"/>
          <w:szCs w:val="28"/>
        </w:rPr>
        <w:t>інформаційно-охоронних</w:t>
      </w:r>
      <w:r>
        <w:rPr>
          <w:color w:val="000000"/>
          <w:szCs w:val="28"/>
        </w:rPr>
        <w:t xml:space="preserve"> знаків встановленого зразка для </w:t>
      </w:r>
      <w:proofErr w:type="spellStart"/>
      <w:r>
        <w:rPr>
          <w:color w:val="000000"/>
          <w:szCs w:val="28"/>
        </w:rPr>
        <w:t>означування</w:t>
      </w:r>
      <w:proofErr w:type="spellEnd"/>
      <w:r>
        <w:rPr>
          <w:color w:val="000000"/>
          <w:szCs w:val="28"/>
        </w:rPr>
        <w:t xml:space="preserve"> водних об’єктів на території міської громади, інфор</w:t>
      </w:r>
      <w:r>
        <w:rPr>
          <w:color w:val="000000"/>
          <w:szCs w:val="28"/>
        </w:rPr>
        <w:t xml:space="preserve">мування про обмежений режим господарювання у прибережних захисних смугах річок, виготовлення технічної документації із землеустрою та встановлення в натурі межі прибережної захисної смуги та водоохоронної зони </w:t>
      </w:r>
      <w:r>
        <w:rPr>
          <w:color w:val="000000"/>
          <w:szCs w:val="28"/>
        </w:rPr>
        <w:t>водних об’єктів.</w:t>
      </w:r>
    </w:p>
    <w:p w:rsidR="00D03324" w:rsidRDefault="00E60A35">
      <w:pPr>
        <w:tabs>
          <w:tab w:val="left" w:pos="741"/>
        </w:tabs>
        <w:ind w:firstLine="680"/>
        <w:jc w:val="both"/>
        <w:rPr>
          <w:szCs w:val="28"/>
        </w:rPr>
      </w:pPr>
      <w:r>
        <w:rPr>
          <w:color w:val="000000"/>
          <w:szCs w:val="28"/>
        </w:rPr>
        <w:t>7.2. </w:t>
      </w:r>
      <w:r w:rsidR="0083769C">
        <w:rPr>
          <w:color w:val="000000"/>
          <w:szCs w:val="28"/>
        </w:rPr>
        <w:t>Забезпечити проведення</w:t>
      </w:r>
      <w:r w:rsidR="0083769C">
        <w:rPr>
          <w:color w:val="000000"/>
          <w:szCs w:val="28"/>
        </w:rPr>
        <w:t xml:space="preserve"> моніторингу якісного складу поверхневих вод при потребі (погіршення погодно-кліматичних умов, тривалий період посухи чи замерзання водойм, виявлення </w:t>
      </w:r>
      <w:proofErr w:type="spellStart"/>
      <w:r w:rsidR="0083769C">
        <w:rPr>
          <w:color w:val="000000"/>
          <w:szCs w:val="28"/>
        </w:rPr>
        <w:t>несанкційованих</w:t>
      </w:r>
      <w:proofErr w:type="spellEnd"/>
      <w:r w:rsidR="0083769C">
        <w:rPr>
          <w:color w:val="000000"/>
          <w:szCs w:val="28"/>
        </w:rPr>
        <w:t xml:space="preserve"> скидів у водні об</w:t>
      </w:r>
      <w:r w:rsidR="0083769C">
        <w:rPr>
          <w:color w:val="000000"/>
          <w:szCs w:val="28"/>
          <w:lang w:val="en-US"/>
        </w:rPr>
        <w:t>’</w:t>
      </w:r>
      <w:proofErr w:type="spellStart"/>
      <w:r w:rsidR="0083769C">
        <w:rPr>
          <w:color w:val="000000"/>
          <w:szCs w:val="28"/>
        </w:rPr>
        <w:t>єкти</w:t>
      </w:r>
      <w:proofErr w:type="spellEnd"/>
      <w:r w:rsidR="0083769C">
        <w:rPr>
          <w:color w:val="000000"/>
          <w:szCs w:val="28"/>
        </w:rPr>
        <w:t xml:space="preserve"> тощо) з метою недопущення </w:t>
      </w:r>
      <w:r w:rsidR="0083769C">
        <w:rPr>
          <w:color w:val="000000"/>
          <w:szCs w:val="28"/>
        </w:rPr>
        <w:t>погіршення санітарного стану водойм, зад</w:t>
      </w:r>
      <w:r w:rsidR="0083769C">
        <w:rPr>
          <w:color w:val="000000"/>
          <w:szCs w:val="28"/>
        </w:rPr>
        <w:t>ухи та загибелі риби.</w:t>
      </w:r>
    </w:p>
    <w:p w:rsidR="00D03324" w:rsidRDefault="00E60A35">
      <w:pPr>
        <w:tabs>
          <w:tab w:val="left" w:pos="741"/>
        </w:tabs>
        <w:ind w:firstLine="680"/>
        <w:jc w:val="both"/>
      </w:pPr>
      <w:r>
        <w:t>8. </w:t>
      </w:r>
      <w:r w:rsidR="0083769C">
        <w:t>Контроль за виконанням рішення покласти на заступника міського голови відповідно до розподілу обов’язків.</w:t>
      </w:r>
    </w:p>
    <w:p w:rsidR="00D03324" w:rsidRDefault="00D03324">
      <w:pPr>
        <w:tabs>
          <w:tab w:val="left" w:pos="540"/>
          <w:tab w:val="left" w:pos="6840"/>
        </w:tabs>
        <w:jc w:val="both"/>
        <w:rPr>
          <w:color w:val="000000"/>
          <w:szCs w:val="28"/>
        </w:rPr>
      </w:pPr>
    </w:p>
    <w:p w:rsidR="00E60A35" w:rsidRDefault="00E60A35">
      <w:pPr>
        <w:tabs>
          <w:tab w:val="left" w:pos="540"/>
          <w:tab w:val="left" w:pos="6840"/>
        </w:tabs>
        <w:jc w:val="both"/>
        <w:rPr>
          <w:color w:val="000000"/>
          <w:szCs w:val="28"/>
        </w:rPr>
      </w:pPr>
      <w:bookmarkStart w:id="1" w:name="_GoBack"/>
      <w:bookmarkEnd w:id="1"/>
    </w:p>
    <w:p w:rsidR="00D03324" w:rsidRDefault="00D03324">
      <w:pPr>
        <w:tabs>
          <w:tab w:val="left" w:pos="540"/>
          <w:tab w:val="left" w:pos="6840"/>
        </w:tabs>
        <w:jc w:val="both"/>
        <w:rPr>
          <w:color w:val="000000"/>
          <w:szCs w:val="28"/>
        </w:rPr>
      </w:pPr>
    </w:p>
    <w:p w:rsidR="00D03324" w:rsidRDefault="0083769C">
      <w:pPr>
        <w:tabs>
          <w:tab w:val="left" w:pos="540"/>
          <w:tab w:val="left" w:pos="6840"/>
        </w:tabs>
        <w:jc w:val="both"/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Ігор ПОЛІЩУК </w:t>
      </w:r>
    </w:p>
    <w:p w:rsidR="00D03324" w:rsidRDefault="00D03324">
      <w:pPr>
        <w:rPr>
          <w:color w:val="000000"/>
          <w:szCs w:val="28"/>
        </w:rPr>
      </w:pPr>
    </w:p>
    <w:p w:rsidR="00D03324" w:rsidRDefault="00D03324">
      <w:pPr>
        <w:rPr>
          <w:color w:val="000000"/>
          <w:szCs w:val="28"/>
        </w:rPr>
      </w:pPr>
    </w:p>
    <w:p w:rsidR="00D03324" w:rsidRDefault="0083769C">
      <w:pPr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D03324" w:rsidRDefault="0083769C">
      <w:pPr>
        <w:tabs>
          <w:tab w:val="left" w:pos="540"/>
        </w:tabs>
        <w:jc w:val="both"/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:rsidR="00D03324" w:rsidRDefault="00D03324">
      <w:pPr>
        <w:jc w:val="both"/>
        <w:rPr>
          <w:color w:val="000000"/>
          <w:sz w:val="24"/>
        </w:rPr>
      </w:pPr>
    </w:p>
    <w:p w:rsidR="00D03324" w:rsidRDefault="00D03324">
      <w:pPr>
        <w:jc w:val="both"/>
        <w:rPr>
          <w:color w:val="000000"/>
          <w:sz w:val="24"/>
        </w:rPr>
      </w:pPr>
    </w:p>
    <w:p w:rsidR="00D03324" w:rsidRDefault="00E60A35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Лисак 724 160</w:t>
      </w:r>
    </w:p>
    <w:p w:rsidR="00E60A35" w:rsidRDefault="00E60A35">
      <w:pPr>
        <w:jc w:val="both"/>
      </w:pPr>
    </w:p>
    <w:sectPr w:rsidR="00E60A35" w:rsidSect="006F5A7F">
      <w:headerReference w:type="default" r:id="rId10"/>
      <w:pgSz w:w="11906" w:h="16838"/>
      <w:pgMar w:top="567" w:right="566" w:bottom="1134" w:left="1985" w:header="426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9C" w:rsidRDefault="0083769C" w:rsidP="006F5A7F">
      <w:r>
        <w:separator/>
      </w:r>
    </w:p>
  </w:endnote>
  <w:endnote w:type="continuationSeparator" w:id="0">
    <w:p w:rsidR="0083769C" w:rsidRDefault="0083769C" w:rsidP="006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9C" w:rsidRDefault="0083769C" w:rsidP="006F5A7F">
      <w:r>
        <w:separator/>
      </w:r>
    </w:p>
  </w:footnote>
  <w:footnote w:type="continuationSeparator" w:id="0">
    <w:p w:rsidR="0083769C" w:rsidRDefault="0083769C" w:rsidP="006F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673215"/>
      <w:docPartObj>
        <w:docPartGallery w:val="Page Numbers (Top of Page)"/>
        <w:docPartUnique/>
      </w:docPartObj>
    </w:sdtPr>
    <w:sdtContent>
      <w:p w:rsidR="006F5A7F" w:rsidRDefault="006F5A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A35" w:rsidRPr="00E60A35">
          <w:rPr>
            <w:noProof/>
            <w:lang w:val="ru-RU"/>
          </w:rPr>
          <w:t>2</w:t>
        </w:r>
        <w:r>
          <w:fldChar w:fldCharType="end"/>
        </w:r>
      </w:p>
    </w:sdtContent>
  </w:sdt>
  <w:p w:rsidR="006F5A7F" w:rsidRDefault="006F5A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6FD"/>
    <w:multiLevelType w:val="multilevel"/>
    <w:tmpl w:val="3EB6528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C570D8"/>
    <w:multiLevelType w:val="multilevel"/>
    <w:tmpl w:val="D07A59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3324"/>
    <w:rsid w:val="006F5A7F"/>
    <w:rsid w:val="0083769C"/>
    <w:rsid w:val="00D03324"/>
    <w:rsid w:val="00E6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h1">
    <w:name w:val="h1"/>
    <w:basedOn w:val="3"/>
    <w:qFormat/>
  </w:style>
  <w:style w:type="character" w:customStyle="1" w:styleId="apple-converted-space">
    <w:name w:val="apple-converted-space"/>
    <w:basedOn w:val="3"/>
    <w:qFormat/>
  </w:style>
  <w:style w:type="character" w:customStyle="1" w:styleId="a4">
    <w:name w:val="Гіперпосилання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0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0">
    <w:name w:val="Вміст кадру"/>
    <w:basedOn w:val="a"/>
    <w:qFormat/>
  </w:style>
  <w:style w:type="paragraph" w:styleId="af1">
    <w:name w:val="Normal (Web)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f6">
    <w:name w:val="footer"/>
    <w:basedOn w:val="a"/>
    <w:link w:val="af7"/>
    <w:uiPriority w:val="99"/>
    <w:unhideWhenUsed/>
    <w:rsid w:val="006F5A7F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F5A7F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6F5A7F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1995-11-21T17:41:00Z</cp:lastPrinted>
  <dcterms:created xsi:type="dcterms:W3CDTF">1995-11-21T17:41:00Z</dcterms:created>
  <dcterms:modified xsi:type="dcterms:W3CDTF">2021-08-13T06:05:00Z</dcterms:modified>
  <dc:language>uk-UA</dc:language>
</cp:coreProperties>
</file>