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F1E" w:rsidRDefault="00D42BC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Пояснювальна</w:t>
      </w:r>
      <w:proofErr w:type="spellEnd"/>
      <w:r>
        <w:rPr>
          <w:rFonts w:ascii="Times New Roman" w:hAnsi="Times New Roman"/>
          <w:sz w:val="28"/>
          <w:szCs w:val="28"/>
        </w:rPr>
        <w:t xml:space="preserve"> записка</w:t>
      </w:r>
    </w:p>
    <w:p w:rsidR="00D42BC8" w:rsidRDefault="00D42BC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до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проєкту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рішення виконавчого комітету Луцької міської ради </w:t>
      </w:r>
    </w:p>
    <w:p w:rsidR="001F5F1E" w:rsidRDefault="00D42BC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«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Про встановлення тарифів </w:t>
      </w:r>
      <w:r>
        <w:rPr>
          <w:rFonts w:ascii="Times New Roman" w:hAnsi="Times New Roman"/>
          <w:sz w:val="28"/>
          <w:szCs w:val="28"/>
          <w:lang w:val="uk-UA"/>
        </w:rPr>
        <w:t>н</w:t>
      </w:r>
      <w:r>
        <w:rPr>
          <w:rFonts w:ascii="Times New Roman" w:hAnsi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/>
          <w:sz w:val="28"/>
          <w:szCs w:val="28"/>
        </w:rPr>
        <w:t>теплову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енергію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послуги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що надаються             ДКП </w:t>
      </w:r>
      <w:r>
        <w:rPr>
          <w:rFonts w:ascii="Times New Roman" w:hAnsi="Times New Roman"/>
          <w:sz w:val="28"/>
          <w:szCs w:val="28"/>
          <w:lang w:val="en-US" w:eastAsia="ru-RU"/>
        </w:rPr>
        <w:t>“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  <w:lang w:val="en-US" w:eastAsia="ru-RU"/>
        </w:rPr>
        <w:t>”</w:t>
      </w:r>
      <w:r>
        <w:rPr>
          <w:rFonts w:ascii="Times New Roman" w:hAnsi="Times New Roman"/>
          <w:sz w:val="28"/>
          <w:szCs w:val="28"/>
          <w:lang w:val="uk-UA" w:eastAsia="ru-RU"/>
        </w:rPr>
        <w:t>»</w:t>
      </w:r>
    </w:p>
    <w:p w:rsidR="001F5F1E" w:rsidRDefault="001F5F1E">
      <w:pPr>
        <w:spacing w:after="0" w:line="240" w:lineRule="auto"/>
        <w:ind w:firstLine="720"/>
        <w:jc w:val="center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1F5F1E" w:rsidRDefault="00D42BC8">
      <w:pPr>
        <w:spacing w:after="0" w:line="240" w:lineRule="auto"/>
        <w:ind w:firstLine="720"/>
        <w:contextualSpacing/>
        <w:jc w:val="both"/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Відповідно до пункту 46 Постанови Кабінету Міністрів України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br/>
        <w:t xml:space="preserve">від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01.06.2011 № 869 «</w:t>
      </w:r>
      <w:r>
        <w:rPr>
          <w:rStyle w:val="rvts23"/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Style w:val="rvts23"/>
          <w:rFonts w:ascii="Times New Roman" w:hAnsi="Times New Roman"/>
          <w:sz w:val="28"/>
          <w:szCs w:val="28"/>
        </w:rPr>
        <w:t>забезпечення</w:t>
      </w:r>
      <w:proofErr w:type="spellEnd"/>
      <w:r>
        <w:rPr>
          <w:rStyle w:val="rvts23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rvts23"/>
          <w:rFonts w:ascii="Times New Roman" w:hAnsi="Times New Roman"/>
          <w:sz w:val="28"/>
          <w:szCs w:val="28"/>
        </w:rPr>
        <w:t>єдиного</w:t>
      </w:r>
      <w:proofErr w:type="spellEnd"/>
      <w:r>
        <w:rPr>
          <w:rStyle w:val="rvts23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rvts23"/>
          <w:rFonts w:ascii="Times New Roman" w:hAnsi="Times New Roman"/>
          <w:sz w:val="28"/>
          <w:szCs w:val="28"/>
        </w:rPr>
        <w:t>підходу</w:t>
      </w:r>
      <w:proofErr w:type="spellEnd"/>
      <w:r>
        <w:rPr>
          <w:rStyle w:val="rvts23"/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Style w:val="rvts23"/>
          <w:rFonts w:ascii="Times New Roman" w:hAnsi="Times New Roman"/>
          <w:sz w:val="28"/>
          <w:szCs w:val="28"/>
        </w:rPr>
        <w:t>формування</w:t>
      </w:r>
      <w:proofErr w:type="spellEnd"/>
      <w:r>
        <w:rPr>
          <w:rStyle w:val="rvts23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rvts23"/>
          <w:rFonts w:ascii="Times New Roman" w:hAnsi="Times New Roman"/>
          <w:sz w:val="28"/>
          <w:szCs w:val="28"/>
        </w:rPr>
        <w:t>тарифів</w:t>
      </w:r>
      <w:proofErr w:type="spellEnd"/>
      <w:r>
        <w:rPr>
          <w:rStyle w:val="rvts23"/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Style w:val="rvts23"/>
          <w:rFonts w:ascii="Times New Roman" w:hAnsi="Times New Roman"/>
          <w:sz w:val="28"/>
          <w:szCs w:val="28"/>
        </w:rPr>
        <w:t>комунальні</w:t>
      </w:r>
      <w:proofErr w:type="spellEnd"/>
      <w:r>
        <w:rPr>
          <w:rStyle w:val="rvts23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rvts23"/>
          <w:rFonts w:ascii="Times New Roman" w:hAnsi="Times New Roman"/>
          <w:sz w:val="28"/>
          <w:szCs w:val="28"/>
        </w:rPr>
        <w:t>послуги</w:t>
      </w:r>
      <w:proofErr w:type="spellEnd"/>
      <w:r>
        <w:rPr>
          <w:rStyle w:val="rvts23"/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тарифи на теплову енергію визначено як сума тарифів на:</w:t>
      </w:r>
    </w:p>
    <w:p w:rsidR="001F5F1E" w:rsidRDefault="00D42BC8">
      <w:pPr>
        <w:spacing w:after="0" w:line="240" w:lineRule="auto"/>
        <w:ind w:firstLine="720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1) виробництво теплової енергії, транспортування теплової енергії без урахування витрат на утримання та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ремонт центральних теплових пунктів, постачання теплової енергії з урахуванням витрат на утримання індивідуальних теплових пунктів;</w:t>
      </w:r>
    </w:p>
    <w:p w:rsidR="001F5F1E" w:rsidRDefault="00D42BC8">
      <w:pPr>
        <w:spacing w:after="0" w:line="240" w:lineRule="auto"/>
        <w:ind w:firstLine="720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2) виробництво теплової енергії, транспортування теплової енергії з урахуванням витрат на утримання центральних теплових пун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ктів, постачання теплової енергії без урахування витрат на утримання індивідуальних теплових пунктів;</w:t>
      </w:r>
    </w:p>
    <w:p w:rsidR="001F5F1E" w:rsidRDefault="00D42BC8">
      <w:pPr>
        <w:spacing w:after="0" w:line="240" w:lineRule="auto"/>
        <w:ind w:firstLine="720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3) 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ргії без урахування витрат на утримання індивідуальних теплових пунктів;</w:t>
      </w:r>
    </w:p>
    <w:p w:rsidR="001F5F1E" w:rsidRDefault="00D42BC8">
      <w:pPr>
        <w:spacing w:after="0" w:line="240" w:lineRule="auto"/>
        <w:ind w:firstLine="720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4) виробництво теплової енергії та її постачання у будинках, обладнаних системою автономного опалення (САО). Таких систем на балансі ДКП «</w:t>
      </w:r>
      <w:proofErr w:type="spellStart"/>
      <w:r>
        <w:rPr>
          <w:rFonts w:ascii="Times New Roman" w:hAnsi="Times New Roman"/>
          <w:bCs/>
          <w:sz w:val="28"/>
          <w:szCs w:val="28"/>
          <w:lang w:val="uk-UA" w:eastAsia="ru-RU"/>
        </w:rPr>
        <w:t>Луцьктепло</w:t>
      </w:r>
      <w:proofErr w:type="spellEnd"/>
      <w:r>
        <w:rPr>
          <w:rFonts w:ascii="Times New Roman" w:hAnsi="Times New Roman"/>
          <w:bCs/>
          <w:sz w:val="28"/>
          <w:szCs w:val="28"/>
          <w:lang w:val="uk-UA" w:eastAsia="ru-RU"/>
        </w:rPr>
        <w:t>» - 8; за такими адресами: вул. Дом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ни </w:t>
      </w:r>
      <w:proofErr w:type="spellStart"/>
      <w:r>
        <w:rPr>
          <w:rFonts w:ascii="Times New Roman" w:hAnsi="Times New Roman"/>
          <w:bCs/>
          <w:sz w:val="28"/>
          <w:szCs w:val="28"/>
          <w:lang w:val="uk-UA" w:eastAsia="ru-RU"/>
        </w:rPr>
        <w:t>Гордіюк</w:t>
      </w:r>
      <w:proofErr w:type="spellEnd"/>
      <w:r>
        <w:rPr>
          <w:rFonts w:ascii="Times New Roman" w:hAnsi="Times New Roman"/>
          <w:bCs/>
          <w:sz w:val="28"/>
          <w:szCs w:val="28"/>
          <w:lang w:val="uk-UA" w:eastAsia="ru-RU"/>
        </w:rPr>
        <w:t>, 20,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br/>
        <w:t xml:space="preserve">вул. </w:t>
      </w:r>
      <w:proofErr w:type="spellStart"/>
      <w:r>
        <w:rPr>
          <w:rFonts w:ascii="Times New Roman" w:hAnsi="Times New Roman"/>
          <w:bCs/>
          <w:sz w:val="28"/>
          <w:szCs w:val="28"/>
          <w:lang w:val="uk-UA" w:eastAsia="ru-RU"/>
        </w:rPr>
        <w:t>Дубнівська</w:t>
      </w:r>
      <w:proofErr w:type="spellEnd"/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, 15, </w:t>
      </w:r>
      <w:proofErr w:type="spellStart"/>
      <w:r>
        <w:rPr>
          <w:rFonts w:ascii="Times New Roman" w:hAnsi="Times New Roman"/>
          <w:bCs/>
          <w:sz w:val="28"/>
          <w:szCs w:val="28"/>
          <w:lang w:val="uk-UA" w:eastAsia="ru-RU"/>
        </w:rPr>
        <w:t>вул</w:t>
      </w:r>
      <w:proofErr w:type="spellEnd"/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Ковельська, 47а, вул. Ковельська,150, вул. Кравчука 11б, вул.Кравчука,11в, вул. Федорова, 4 в,  вул. Федорова, 4д. Відповідно, тарифи на теплову енергію та постачання теплової енергії розраховано індивідуально по ко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жному будинку.</w:t>
      </w:r>
    </w:p>
    <w:p w:rsidR="001F5F1E" w:rsidRDefault="00D42BC8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Тарифи на надання послуг з постачання гарячої води сформовано окремо для 8 систем автономного опалення, які перебувають у власності та/або користуванні ДКП «</w:t>
      </w:r>
      <w:proofErr w:type="spellStart"/>
      <w:r>
        <w:rPr>
          <w:rFonts w:ascii="Times New Roman" w:hAnsi="Times New Roman"/>
          <w:bCs/>
          <w:sz w:val="28"/>
          <w:szCs w:val="28"/>
          <w:lang w:val="uk-UA" w:eastAsia="ru-RU"/>
        </w:rPr>
        <w:t>Луцьктепло</w:t>
      </w:r>
      <w:proofErr w:type="spellEnd"/>
      <w:r>
        <w:rPr>
          <w:rFonts w:ascii="Times New Roman" w:hAnsi="Times New Roman"/>
          <w:bCs/>
          <w:sz w:val="28"/>
          <w:szCs w:val="28"/>
          <w:lang w:val="uk-UA" w:eastAsia="ru-RU"/>
        </w:rPr>
        <w:t>». Також на балансі ДКП «</w:t>
      </w:r>
      <w:proofErr w:type="spellStart"/>
      <w:r>
        <w:rPr>
          <w:rFonts w:ascii="Times New Roman" w:hAnsi="Times New Roman"/>
          <w:bCs/>
          <w:sz w:val="28"/>
          <w:szCs w:val="28"/>
          <w:lang w:val="uk-UA" w:eastAsia="ru-RU"/>
        </w:rPr>
        <w:t>Луцьктепло</w:t>
      </w:r>
      <w:proofErr w:type="spellEnd"/>
      <w:r>
        <w:rPr>
          <w:rFonts w:ascii="Times New Roman" w:hAnsi="Times New Roman"/>
          <w:bCs/>
          <w:sz w:val="28"/>
          <w:szCs w:val="28"/>
          <w:lang w:val="uk-UA" w:eastAsia="ru-RU"/>
        </w:rPr>
        <w:t>» станом на 01.06.2021 перебуває 91 інд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ивідуальних теплових пунктів. </w:t>
      </w:r>
    </w:p>
    <w:p w:rsidR="001F5F1E" w:rsidRDefault="00D42BC8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Згідно цих змін внесених до Закону України «Про комерційний облік теплової енергії та водопостачання», витрати оператора зовнішніх мереж на оснащення будівлі вузлами комерційного обліку води та теплової енергії включаються до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складу тарифів на теплову енергію та відповідні комунальні послуги, крім випадків, якщо вузли комерційного обліку були встановлені власниками будівлі або були наявні при введені в експлуатацію нових житлових та нежитлових будівель – такі співвласники опла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чуватимуть вартість відповідної комунальної послуги за тарифом, що не враховує витрати оператора зовнішніх інженерних мереж на оснащення будівлі вузлами комерційного обліку.</w:t>
      </w:r>
    </w:p>
    <w:p w:rsidR="001F5F1E" w:rsidRDefault="00D42BC8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lastRenderedPageBreak/>
        <w:t>У такому разі джерелом фінансування заходів встановлення вузлів комерційного облік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у води та теплової енергії є інвестиційна програма виконавця відповідної послуги. Так,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рішенням виконавчого комітету Луцької міської ради від 18.08.2021 № 649-1 «Про погодження Інвестиційної програми державного комунального підприємства «</w:t>
      </w:r>
      <w:proofErr w:type="spellStart"/>
      <w:r>
        <w:rPr>
          <w:rFonts w:ascii="Times New Roman" w:hAnsi="Times New Roman"/>
          <w:bCs/>
          <w:sz w:val="28"/>
          <w:szCs w:val="28"/>
          <w:lang w:val="uk-UA" w:eastAsia="ru-RU"/>
        </w:rPr>
        <w:t>Луцьктепло</w:t>
      </w:r>
      <w:proofErr w:type="spellEnd"/>
      <w:r>
        <w:rPr>
          <w:rFonts w:ascii="Times New Roman" w:hAnsi="Times New Roman"/>
          <w:bCs/>
          <w:sz w:val="28"/>
          <w:szCs w:val="28"/>
          <w:lang w:val="uk-UA" w:eastAsia="ru-RU"/>
        </w:rPr>
        <w:t>» на пла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новий період з 01.10.2021 по 30.09.2022 було погоджено заходи, які включають в себе зокрема встановлення 150 вузлів комерційного обліку теплової енергії загальною вартістю 5789,71 тис. грн (без ПДВ).</w:t>
      </w:r>
    </w:p>
    <w:p w:rsidR="001F5F1E" w:rsidRDefault="00D42BC8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Відповідно, тарифи на постачання теплової енергії дифере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нційовано ще на два види: тарифи, які враховують чи не враховують  витрати на оснащення вузлами комерційного обліку будівлі за рахунок планового прибутку. </w:t>
      </w:r>
    </w:p>
    <w:p w:rsidR="001F5F1E" w:rsidRDefault="00D42BC8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Усі розрахунки проведено відповідно до затверджених форм до наказів Міністерства регіонального розви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тку будівництва та житлово-комунального господарства України від 12.09.2018 № 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в тарифів на комунальні послуги, поданих для їх встановлення» та від 17.07.2019 № 162 «Про затвердження Примірних форм, необхідних для розрахунку </w:t>
      </w:r>
      <w:proofErr w:type="spellStart"/>
      <w:r>
        <w:rPr>
          <w:rFonts w:ascii="Times New Roman" w:hAnsi="Times New Roman"/>
          <w:bCs/>
          <w:sz w:val="28"/>
          <w:szCs w:val="28"/>
          <w:lang w:val="uk-UA" w:eastAsia="ru-RU"/>
        </w:rPr>
        <w:t>двоставкових</w:t>
      </w:r>
      <w:proofErr w:type="spellEnd"/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тарифів на теплову енергію, послуги з постачання теплової енергії і постачання гарячої води», та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рішення виконавчого комітету Луцької міської ради від 17.</w:t>
      </w:r>
      <w:r>
        <w:rPr>
          <w:rFonts w:ascii="Times New Roman" w:hAnsi="Times New Roman"/>
          <w:bCs/>
          <w:color w:val="000000" w:themeColor="text1"/>
          <w:sz w:val="28"/>
          <w:szCs w:val="28"/>
          <w:lang w:val="uk-UA" w:eastAsia="ru-RU"/>
        </w:rPr>
        <w:t xml:space="preserve">08.2020 № 418-1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«Про затвердження форм для розрахунку тарифів на послуги з постачання теплової енергії та постачання гарячої води».</w:t>
      </w:r>
    </w:p>
    <w:p w:rsidR="001F5F1E" w:rsidRDefault="00D42BC8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Розрахунок питомих витрат палива здійснений відповідно до «Міжгалуз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евих норм витрат палива для опалювальних котлів, які експлуатуються в Україні», затверджених Наказом </w:t>
      </w:r>
      <w:proofErr w:type="spellStart"/>
      <w:r>
        <w:rPr>
          <w:rFonts w:ascii="Times New Roman" w:hAnsi="Times New Roman"/>
          <w:bCs/>
          <w:sz w:val="28"/>
          <w:szCs w:val="28"/>
          <w:lang w:val="uk-UA" w:eastAsia="ru-RU"/>
        </w:rPr>
        <w:t>Держкоменергозбереження</w:t>
      </w:r>
      <w:proofErr w:type="spellEnd"/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від 07.05.2001 № 46, «Галузевої методики нормування витрат палива на виробництво та відпуск теплової енергії котельнями теплового г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осподарства» КТМ 204 України 246-99; Норм та вказівок по нормуванню витрат палива та теплової енергії на опалення житлових та громадських споруд, а також на господарсько – побутові потреби в Україні» КТМ 204 України 244-94.</w:t>
      </w:r>
    </w:p>
    <w:p w:rsidR="001F5F1E" w:rsidRDefault="00D42BC8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При плануванні корисно використа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ної теплової енергії  використані  значення приєднаного теплового навантаження на опалення та вентиляцію об’єктів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теплоспоживання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ДКП «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Луцьктепло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>», реєстр приєднаного теплового навантаження погоджений  рішенням виконавчого комітету Луцької міської ради від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02.09.2021 № 693-1.</w:t>
      </w:r>
    </w:p>
    <w:p w:rsidR="001F5F1E" w:rsidRDefault="00D42BC8">
      <w:pPr>
        <w:spacing w:after="0" w:line="240" w:lineRule="auto"/>
        <w:ind w:firstLine="73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Розрахунок теплового навантаження системи опалення для житлових будинків здійснено з урахуванням нормативних питомих витрат теплової енергії для опалення будинків м. Луцьк згідно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КТМ 204 України 244-94. </w:t>
      </w:r>
    </w:p>
    <w:p w:rsidR="001F5F1E" w:rsidRDefault="00D42BC8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 розрахунку входять такі </w:t>
      </w:r>
      <w:r>
        <w:rPr>
          <w:rFonts w:ascii="Times New Roman" w:hAnsi="Times New Roman"/>
          <w:sz w:val="28"/>
          <w:szCs w:val="28"/>
          <w:lang w:val="uk-UA"/>
        </w:rPr>
        <w:t>основні показники:</w:t>
      </w:r>
    </w:p>
    <w:p w:rsidR="001F5F1E" w:rsidRDefault="00D42BC8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опалювальна площа будівлі, яка опалюється від централізованого опалення;</w:t>
      </w:r>
    </w:p>
    <w:p w:rsidR="001F5F1E" w:rsidRDefault="00D42BC8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- норма витрати теплоти для будівель –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Гкал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/м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, в залежності від поверховості будівель;</w:t>
      </w:r>
    </w:p>
    <w:p w:rsidR="001F5F1E" w:rsidRDefault="00D42BC8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середня температура зовнішнього повітря в опалювальний період визначена на підставі даних Волинського обласного центру з гідрометеорології про фактичну температуру за період 2016-2020 та становить +1,82 </w:t>
      </w:r>
      <w:proofErr w:type="spellStart"/>
      <w:r>
        <w:rPr>
          <w:rFonts w:ascii="Times New Roman" w:eastAsia="Times New Roman" w:hAnsi="Times New Roman"/>
          <w:sz w:val="28"/>
          <w:szCs w:val="28"/>
          <w:vertAlign w:val="superscript"/>
          <w:lang w:val="uk-UA"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С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1F5F1E" w:rsidRDefault="00D42BC8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розрахункова температура зовнішнього повітря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для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проєктування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опалення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tр.о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= - 20 </w:t>
      </w:r>
      <w:proofErr w:type="spellStart"/>
      <w:r>
        <w:rPr>
          <w:rFonts w:ascii="Times New Roman" w:eastAsia="Times New Roman" w:hAnsi="Times New Roman"/>
          <w:sz w:val="28"/>
          <w:szCs w:val="28"/>
          <w:vertAlign w:val="superscript"/>
          <w:lang w:val="uk-UA"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С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1F5F1E" w:rsidRDefault="00D42BC8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усереднена р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озрахункова температура внутрішнього повітря опалювальних будинків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tвн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= 18 </w:t>
      </w:r>
      <w:proofErr w:type="spellStart"/>
      <w:r>
        <w:rPr>
          <w:rFonts w:ascii="Times New Roman" w:eastAsia="Times New Roman" w:hAnsi="Times New Roman"/>
          <w:sz w:val="28"/>
          <w:szCs w:val="28"/>
          <w:vertAlign w:val="superscript"/>
          <w:lang w:val="uk-UA"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С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1F5F1E" w:rsidRDefault="00D42BC8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тривалість опалювального періоду з кількістю днів зі стійкою середньою добовою температурою зовнішнього повітря 8</w:t>
      </w:r>
      <w:r>
        <w:rPr>
          <w:rFonts w:ascii="Times New Roman" w:eastAsia="Times New Roman" w:hAnsi="Times New Roman"/>
          <w:sz w:val="28"/>
          <w:szCs w:val="28"/>
          <w:vertAlign w:val="superscript"/>
          <w:lang w:val="uk-UA"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С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та нижче розрахована по середній тривалості опалювальних періодів останніх 5-ти років та рівна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170 доби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1F5F1E" w:rsidRDefault="00D42BC8">
      <w:pPr>
        <w:pStyle w:val="ac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Постанови КМУ від 01.06.2011 № 869, теплове навантаження об’єктів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теплоспоживання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визначено за показами типових або індивідуальних проек</w:t>
      </w:r>
      <w:r>
        <w:rPr>
          <w:rFonts w:ascii="Times New Roman" w:hAnsi="Times New Roman"/>
          <w:sz w:val="28"/>
          <w:szCs w:val="28"/>
          <w:lang w:val="uk-UA"/>
        </w:rPr>
        <w:t>тів, за якими збудовані такі об’єкти (у разі зміни вихідних даних проектів на об’єкти, зокрема під час переходу частини споживачів на автономне опалення, зміни призначення приміщень навантаження повинні бути підтверджені уповноваженою установою).</w:t>
      </w:r>
    </w:p>
    <w:p w:rsidR="001F5F1E" w:rsidRDefault="00D42BC8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uk-UA" w:eastAsia="zh-CN"/>
        </w:rPr>
        <w:t>Витрати н</w:t>
      </w:r>
      <w:r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а природний газ у діючому тарифі становлять </w:t>
      </w:r>
      <w:r>
        <w:rPr>
          <w:rFonts w:ascii="Times New Roman" w:eastAsia="Times New Roman" w:hAnsi="Times New Roman"/>
          <w:sz w:val="28"/>
          <w:szCs w:val="28"/>
          <w:lang w:val="uk-UA" w:eastAsia="zh-CN"/>
        </w:rPr>
        <w:br/>
        <w:t xml:space="preserve">480 704,44 млн грн, у прогнозованих тарифах – 584 602,73 млн грн, що на 103 898,3 тис. грн більше, ріст склав 21,61 %. Підставою є укладений договір постачання природного газу з ТзОВ ГК «Нафтогаз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zh-CN"/>
        </w:rPr>
        <w:t>Трейдинг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zh-CN"/>
        </w:rPr>
        <w:t>».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У ді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ючих тарифах на теплову енергію для категорії «населення» враховано ціну на природний газ в розмірі </w:t>
      </w:r>
      <w:r>
        <w:rPr>
          <w:rFonts w:ascii="Times New Roman" w:hAnsi="Times New Roman"/>
          <w:bCs/>
          <w:color w:val="000000" w:themeColor="text1"/>
          <w:sz w:val="28"/>
          <w:szCs w:val="28"/>
          <w:lang w:val="uk-UA" w:eastAsia="ru-RU"/>
        </w:rPr>
        <w:t>6103,1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грн за 1 </w:t>
      </w:r>
      <w:proofErr w:type="spellStart"/>
      <w:r>
        <w:rPr>
          <w:rFonts w:ascii="Times New Roman" w:hAnsi="Times New Roman"/>
          <w:bCs/>
          <w:sz w:val="28"/>
          <w:szCs w:val="28"/>
          <w:lang w:val="uk-UA" w:eastAsia="ru-RU"/>
        </w:rPr>
        <w:t>тис.куб.м</w:t>
      </w:r>
      <w:proofErr w:type="spellEnd"/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(без ПДВ), що на 80,23 грн за 1 </w:t>
      </w:r>
      <w:proofErr w:type="spellStart"/>
      <w:r>
        <w:rPr>
          <w:rFonts w:ascii="Times New Roman" w:hAnsi="Times New Roman"/>
          <w:bCs/>
          <w:sz w:val="28"/>
          <w:szCs w:val="28"/>
          <w:lang w:val="uk-UA" w:eastAsia="ru-RU"/>
        </w:rPr>
        <w:t>тис.куб.м</w:t>
      </w:r>
      <w:proofErr w:type="spellEnd"/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більше ціни, яка врахована у </w:t>
      </w:r>
      <w:proofErr w:type="spellStart"/>
      <w:r>
        <w:rPr>
          <w:rFonts w:ascii="Times New Roman" w:hAnsi="Times New Roman"/>
          <w:bCs/>
          <w:sz w:val="28"/>
          <w:szCs w:val="28"/>
          <w:lang w:val="uk-UA" w:eastAsia="ru-RU"/>
        </w:rPr>
        <w:t>проєкті</w:t>
      </w:r>
      <w:proofErr w:type="spellEnd"/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тарифів - 6183,33 грн за 1 </w:t>
      </w:r>
      <w:proofErr w:type="spellStart"/>
      <w:r>
        <w:rPr>
          <w:rFonts w:ascii="Times New Roman" w:hAnsi="Times New Roman"/>
          <w:bCs/>
          <w:sz w:val="28"/>
          <w:szCs w:val="28"/>
          <w:lang w:val="uk-UA" w:eastAsia="ru-RU"/>
        </w:rPr>
        <w:t>тис.куб.м</w:t>
      </w:r>
      <w:proofErr w:type="spellEnd"/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(без ПДВ). Цін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а газу природного у </w:t>
      </w:r>
      <w:proofErr w:type="spellStart"/>
      <w:r>
        <w:rPr>
          <w:rFonts w:ascii="Times New Roman" w:hAnsi="Times New Roman"/>
          <w:bCs/>
          <w:sz w:val="28"/>
          <w:szCs w:val="28"/>
          <w:lang w:val="uk-UA" w:eastAsia="ru-RU"/>
        </w:rPr>
        <w:t>проєкті</w:t>
      </w:r>
      <w:proofErr w:type="spellEnd"/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тарифів для категорії «інші споживачі», «бюджетні установи» та «релігійні організації» склала 14250,19 грн за 1 </w:t>
      </w:r>
      <w:proofErr w:type="spellStart"/>
      <w:r>
        <w:rPr>
          <w:rFonts w:ascii="Times New Roman" w:hAnsi="Times New Roman"/>
          <w:bCs/>
          <w:sz w:val="28"/>
          <w:szCs w:val="28"/>
          <w:lang w:val="uk-UA" w:eastAsia="ru-RU"/>
        </w:rPr>
        <w:t>тис.куб.м</w:t>
      </w:r>
      <w:proofErr w:type="spellEnd"/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(без ПДВ) відповідно до додаткової угоди з ДК «Нафтогаз </w:t>
      </w:r>
      <w:proofErr w:type="spellStart"/>
      <w:r>
        <w:rPr>
          <w:rFonts w:ascii="Times New Roman" w:hAnsi="Times New Roman"/>
          <w:bCs/>
          <w:sz w:val="28"/>
          <w:szCs w:val="28"/>
          <w:lang w:val="uk-UA" w:eastAsia="ru-RU"/>
        </w:rPr>
        <w:t>Трейдинг</w:t>
      </w:r>
      <w:proofErr w:type="spellEnd"/>
      <w:r>
        <w:rPr>
          <w:rFonts w:ascii="Times New Roman" w:hAnsi="Times New Roman"/>
          <w:bCs/>
          <w:sz w:val="28"/>
          <w:szCs w:val="28"/>
          <w:lang w:val="uk-UA" w:eastAsia="ru-RU"/>
        </w:rPr>
        <w:t>» на вересень 2021 року, ріст склав 8147,1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9 грн за 1тис.куб.м або 133,5 %.</w:t>
      </w:r>
    </w:p>
    <w:p w:rsidR="001F5F1E" w:rsidRDefault="00D42BC8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У вищезгаданих договорах тариф на послуги транспортування природного газу для внутрішньої точки виходу з газотранспортної системи – 124,16 грн без ПДВ, коефіцієнт, який застосовується при замовленні потужності на добу напер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ед у відповідному періоді на рівні 1,1 умовних одиниць, всього з коефіцієнтом – 136,58 грн, за 1000 </w:t>
      </w:r>
      <w:proofErr w:type="spellStart"/>
      <w:r>
        <w:rPr>
          <w:rFonts w:ascii="Times New Roman" w:hAnsi="Times New Roman"/>
          <w:bCs/>
          <w:sz w:val="28"/>
          <w:szCs w:val="28"/>
          <w:lang w:val="uk-UA" w:eastAsia="ru-RU"/>
        </w:rPr>
        <w:t>куб.м</w:t>
      </w:r>
      <w:proofErr w:type="spellEnd"/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. Відповідно, втрати на послугу з транспортування природного газу у </w:t>
      </w:r>
      <w:proofErr w:type="spellStart"/>
      <w:r>
        <w:rPr>
          <w:rFonts w:ascii="Times New Roman" w:hAnsi="Times New Roman"/>
          <w:bCs/>
          <w:sz w:val="28"/>
          <w:szCs w:val="28"/>
          <w:lang w:val="uk-UA" w:eastAsia="ru-RU"/>
        </w:rPr>
        <w:t>проєкті</w:t>
      </w:r>
      <w:proofErr w:type="spellEnd"/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тарифів зросли на 10 % у порівнянні з діючими. </w:t>
      </w:r>
      <w:r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У діючому тарифі ці витрати </w:t>
      </w:r>
      <w:r>
        <w:rPr>
          <w:rFonts w:ascii="Times New Roman" w:eastAsia="Times New Roman" w:hAnsi="Times New Roman"/>
          <w:sz w:val="28"/>
          <w:szCs w:val="28"/>
          <w:lang w:val="uk-UA" w:eastAsia="zh-CN"/>
        </w:rPr>
        <w:t>складають 90,0 млн грн, у прогнозованому – 98,6 млн грн, що на 8,6 млн грн більше.</w:t>
      </w:r>
    </w:p>
    <w:p w:rsidR="001F5F1E" w:rsidRDefault="001F5F1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zh-CN"/>
        </w:rPr>
      </w:pPr>
    </w:p>
    <w:p w:rsidR="001F5F1E" w:rsidRDefault="001F5F1E">
      <w:pPr>
        <w:spacing w:after="0" w:line="240" w:lineRule="auto"/>
        <w:jc w:val="center"/>
        <w:rPr>
          <w:rFonts w:ascii="Times New Roman" w:hAnsi="Times New Roman"/>
          <w:bCs/>
          <w:lang w:val="uk-UA" w:eastAsia="ru-RU"/>
        </w:rPr>
      </w:pPr>
    </w:p>
    <w:p w:rsidR="001F5F1E" w:rsidRDefault="001F5F1E">
      <w:pPr>
        <w:spacing w:after="0" w:line="240" w:lineRule="auto"/>
        <w:jc w:val="center"/>
        <w:rPr>
          <w:rFonts w:ascii="Times New Roman" w:hAnsi="Times New Roman"/>
          <w:bCs/>
          <w:lang w:val="uk-UA" w:eastAsia="ru-RU"/>
        </w:rPr>
      </w:pPr>
    </w:p>
    <w:p w:rsidR="001F5F1E" w:rsidRDefault="001F5F1E">
      <w:pPr>
        <w:spacing w:after="0" w:line="240" w:lineRule="auto"/>
        <w:jc w:val="center"/>
        <w:rPr>
          <w:rFonts w:ascii="Times New Roman" w:hAnsi="Times New Roman"/>
          <w:bCs/>
          <w:lang w:val="uk-UA" w:eastAsia="ru-RU"/>
        </w:rPr>
      </w:pPr>
    </w:p>
    <w:p w:rsidR="001F5F1E" w:rsidRDefault="001F5F1E">
      <w:pPr>
        <w:spacing w:after="0" w:line="240" w:lineRule="auto"/>
        <w:jc w:val="center"/>
        <w:rPr>
          <w:rFonts w:ascii="Times New Roman" w:hAnsi="Times New Roman"/>
          <w:bCs/>
          <w:lang w:val="uk-UA" w:eastAsia="ru-RU"/>
        </w:rPr>
      </w:pPr>
    </w:p>
    <w:p w:rsidR="001F5F1E" w:rsidRDefault="00D42BC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Порівняльна таблиця цін на природний газ, послуги з його розподілу та транспортування, які враховані у діючих та </w:t>
      </w:r>
      <w:proofErr w:type="spellStart"/>
      <w:r>
        <w:rPr>
          <w:rFonts w:ascii="Times New Roman" w:hAnsi="Times New Roman"/>
          <w:bCs/>
          <w:sz w:val="28"/>
          <w:szCs w:val="28"/>
          <w:lang w:val="uk-UA" w:eastAsia="ru-RU"/>
        </w:rPr>
        <w:t>проєктах</w:t>
      </w:r>
      <w:proofErr w:type="spellEnd"/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тарифів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br/>
        <w:t>ДКП «</w:t>
      </w:r>
      <w:proofErr w:type="spellStart"/>
      <w:r>
        <w:rPr>
          <w:rFonts w:ascii="Times New Roman" w:hAnsi="Times New Roman"/>
          <w:bCs/>
          <w:sz w:val="28"/>
          <w:szCs w:val="28"/>
          <w:lang w:val="uk-UA" w:eastAsia="ru-RU"/>
        </w:rPr>
        <w:t>Луцьктепло</w:t>
      </w:r>
      <w:proofErr w:type="spellEnd"/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» </w:t>
      </w:r>
    </w:p>
    <w:p w:rsidR="001F5F1E" w:rsidRDefault="00D42BC8">
      <w:pPr>
        <w:spacing w:after="0" w:line="240" w:lineRule="auto"/>
        <w:jc w:val="right"/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з ПДВ</w:t>
      </w:r>
    </w:p>
    <w:tbl>
      <w:tblPr>
        <w:tblW w:w="9630" w:type="dxa"/>
        <w:tblInd w:w="118" w:type="dxa"/>
        <w:tblLook w:val="04A0" w:firstRow="1" w:lastRow="0" w:firstColumn="1" w:lastColumn="0" w:noHBand="0" w:noVBand="1"/>
      </w:tblPr>
      <w:tblGrid>
        <w:gridCol w:w="4351"/>
        <w:gridCol w:w="2040"/>
        <w:gridCol w:w="1935"/>
        <w:gridCol w:w="1304"/>
      </w:tblGrid>
      <w:tr w:rsidR="001F5F1E">
        <w:trPr>
          <w:trHeight w:val="2280"/>
        </w:trPr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1E" w:rsidRDefault="00D42B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Найменування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показника</w:t>
            </w:r>
          </w:p>
        </w:tc>
        <w:tc>
          <w:tcPr>
            <w:tcW w:w="20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1E" w:rsidRDefault="00D42BC8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Враховано у діючих  тарифах 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1E" w:rsidRDefault="00D42BC8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Враховано у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проєкті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 тарифів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1E" w:rsidRDefault="00D42BC8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Ріст,     %</w:t>
            </w:r>
          </w:p>
        </w:tc>
      </w:tr>
      <w:tr w:rsidR="001F5F1E">
        <w:trPr>
          <w:trHeight w:val="1350"/>
        </w:trPr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1E" w:rsidRDefault="00D42BC8">
            <w:pPr>
              <w:widowControl w:val="0"/>
              <w:spacing w:after="0"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Ціна природного газу для категорії «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населення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(без  транспортування та розподілу), грн/1000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куб.м</w:t>
            </w:r>
            <w:proofErr w:type="spellEnd"/>
          </w:p>
        </w:tc>
        <w:tc>
          <w:tcPr>
            <w:tcW w:w="204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F5F1E" w:rsidRDefault="00D42B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7 323,72</w:t>
            </w:r>
          </w:p>
        </w:tc>
        <w:tc>
          <w:tcPr>
            <w:tcW w:w="193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F5F1E" w:rsidRDefault="00D42B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7 420,00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1E" w:rsidRDefault="00D42B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1,3</w:t>
            </w:r>
          </w:p>
        </w:tc>
      </w:tr>
      <w:tr w:rsidR="001F5F1E">
        <w:trPr>
          <w:trHeight w:val="1350"/>
        </w:trPr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1E" w:rsidRDefault="00D42BC8">
            <w:pPr>
              <w:widowControl w:val="0"/>
              <w:spacing w:after="0"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Ціна природного газу для категорії «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інші споживачі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»,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бюджетні установи», «релігійні організації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(без транспорту-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вання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та розподілу), грн за 1000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куб.м</w:t>
            </w:r>
            <w:proofErr w:type="spellEnd"/>
          </w:p>
        </w:tc>
        <w:tc>
          <w:tcPr>
            <w:tcW w:w="204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F5F1E" w:rsidRDefault="00D42B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7 323,72</w:t>
            </w:r>
          </w:p>
        </w:tc>
        <w:tc>
          <w:tcPr>
            <w:tcW w:w="193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F5F1E" w:rsidRDefault="00D42B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17 100,23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1E" w:rsidRDefault="00D42B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133,5</w:t>
            </w:r>
          </w:p>
        </w:tc>
      </w:tr>
      <w:tr w:rsidR="001F5F1E">
        <w:trPr>
          <w:trHeight w:val="960"/>
        </w:trPr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1E" w:rsidRDefault="00D42BC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Послуга з транспортування природного газу, грн/1000куб.м</w:t>
            </w:r>
          </w:p>
        </w:tc>
        <w:tc>
          <w:tcPr>
            <w:tcW w:w="204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F5F1E" w:rsidRDefault="00D42BC8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148,99</w:t>
            </w:r>
          </w:p>
        </w:tc>
        <w:tc>
          <w:tcPr>
            <w:tcW w:w="193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F5F1E" w:rsidRDefault="00D42B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163,90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1E" w:rsidRDefault="00D42B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10,0</w:t>
            </w:r>
          </w:p>
        </w:tc>
      </w:tr>
      <w:tr w:rsidR="001F5F1E">
        <w:trPr>
          <w:trHeight w:val="930"/>
        </w:trPr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1E" w:rsidRDefault="00D42BC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Послуга з розподілу природного газу, грн/1000куб.м</w:t>
            </w:r>
          </w:p>
        </w:tc>
        <w:tc>
          <w:tcPr>
            <w:tcW w:w="204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F5F1E" w:rsidRDefault="00D42B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1,88</w:t>
            </w:r>
          </w:p>
        </w:tc>
        <w:tc>
          <w:tcPr>
            <w:tcW w:w="193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F5F1E" w:rsidRDefault="00D42B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1,88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1E" w:rsidRDefault="00D42B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0,0</w:t>
            </w:r>
          </w:p>
        </w:tc>
      </w:tr>
      <w:tr w:rsidR="001F5F1E">
        <w:trPr>
          <w:trHeight w:val="945"/>
        </w:trPr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1E" w:rsidRDefault="00D42BC8">
            <w:pPr>
              <w:widowControl w:val="0"/>
              <w:spacing w:after="0"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Обсяг витрат на послугу з розподілу природного газу,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млн.грн</w:t>
            </w:r>
            <w:proofErr w:type="spellEnd"/>
          </w:p>
        </w:tc>
        <w:tc>
          <w:tcPr>
            <w:tcW w:w="204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F5F1E" w:rsidRDefault="00D42BC8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90,01</w:t>
            </w:r>
          </w:p>
        </w:tc>
        <w:tc>
          <w:tcPr>
            <w:tcW w:w="193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F5F1E" w:rsidRDefault="00D42BC8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98,59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1E" w:rsidRDefault="00D42B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9,53</w:t>
            </w:r>
          </w:p>
        </w:tc>
      </w:tr>
    </w:tbl>
    <w:p w:rsidR="001F5F1E" w:rsidRDefault="00D42BC8">
      <w:pPr>
        <w:pStyle w:val="rvps2"/>
        <w:spacing w:before="28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Планування витрат на придбання електричної енергії для технологічних потреб здійснено виходячи із</w:t>
      </w:r>
      <w:bookmarkStart w:id="0" w:name="n1884"/>
      <w:bookmarkEnd w:id="0"/>
      <w:r>
        <w:rPr>
          <w:sz w:val="28"/>
          <w:szCs w:val="28"/>
          <w:lang w:val="uk-UA"/>
        </w:rPr>
        <w:t xml:space="preserve"> планованих обсягів електричної енергії, необхідних для провадження ліцензованої діяльності та </w:t>
      </w:r>
      <w:bookmarkStart w:id="1" w:name="n1885"/>
      <w:bookmarkEnd w:id="1"/>
      <w:r>
        <w:rPr>
          <w:sz w:val="28"/>
          <w:szCs w:val="28"/>
          <w:lang w:val="uk-UA"/>
        </w:rPr>
        <w:t>середньої ціни електричної енергії, що склалася у підприємства за шість календарних місяців, що передують місяцю подання розрахунків тарифів на планований період</w:t>
      </w:r>
      <w:r>
        <w:rPr>
          <w:sz w:val="28"/>
          <w:szCs w:val="28"/>
          <w:lang w:val="uk-UA"/>
        </w:rPr>
        <w:t>.</w:t>
      </w:r>
      <w:bookmarkStart w:id="2" w:name="n1886"/>
      <w:bookmarkEnd w:id="2"/>
      <w:r>
        <w:rPr>
          <w:sz w:val="28"/>
          <w:szCs w:val="28"/>
          <w:lang w:val="uk-UA"/>
        </w:rPr>
        <w:t xml:space="preserve"> Середня ціна електричної енергії визначено як середнє арифметичне значення, розраховане із ціни електричної енергії, що діяла у кожному з шести календарних місяців, що передують поданню розрахунків тарифів на планований період. </w:t>
      </w:r>
    </w:p>
    <w:p w:rsidR="001F5F1E" w:rsidRDefault="00D42BC8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Стаття «витрати на електроенергію» у прямих витратах на теплову енергію зросла з 59,15 млн грн, до 62,06 млн грн. Таким чином, відбувся ріст витрат на електроенергію на 4,9 % у порівнянні з діючими тарифами. </w:t>
      </w:r>
    </w:p>
    <w:p w:rsidR="001F5F1E" w:rsidRDefault="00D42BC8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lastRenderedPageBreak/>
        <w:t>Планування витрат на оплату праці здійснено від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повідно до Постанови НКРКП від 18.05.2012 № 181 (зі змінами і доповненнями) в установленому законодавством порядку, із забезпеченням мінімальної заробітної  та інших гарантій з оплати праці. У розрахунку цих витрат враховано середньозважений розмір прожитк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ового мінімуму для працездатних осіб у розмірі -2 464 грн. Ріст прожиткового мінімуму складає 8,5 %  (у діючому тарифі — 2 270 грн).</w:t>
      </w:r>
    </w:p>
    <w:p w:rsidR="001F5F1E" w:rsidRDefault="00D42BC8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Змінами і доповненнями до галузевої угоди між Міністерством регіонального розвитку, будівництва та житлово-комунального гос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подарства України, Об’єднанням організацій роботодавців «Всеукраїнська конфедерація роботодавців житлово-комунальної галузі України» та Центральним комітетом профспілки працівників житлово-комунального господарства, місцевої промисловості, побутового обслу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говування населення України з 01.06.2021 встановлені мінімальні обов’язкові гарантії в оплаті праці - мінімальну тарифну ставку робітника І розряду  в розмірі 180 % розміру прожиткового мінімуму для працездатних осіб. Забезпечення вищевказаних мінімальних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гарантій підприємством відтерміновано в оплаті праці на 6 місяців - до 1 грудня 2021 року. </w:t>
      </w:r>
    </w:p>
    <w:p w:rsidR="001F5F1E" w:rsidRDefault="00D42BC8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Ріст коефіцієнту мінімальної тарифної ставки робітника І розряду склав 10,6 %, а ріст коефіцієнту за видами робіт - 3,6 %. </w:t>
      </w:r>
    </w:p>
    <w:p w:rsidR="001F5F1E" w:rsidRDefault="00D42BC8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Розмір щомісячної премії в </w:t>
      </w:r>
      <w:proofErr w:type="spellStart"/>
      <w:r>
        <w:rPr>
          <w:rFonts w:ascii="Times New Roman" w:hAnsi="Times New Roman"/>
          <w:bCs/>
          <w:sz w:val="28"/>
          <w:szCs w:val="28"/>
          <w:lang w:val="uk-UA" w:eastAsia="ru-RU"/>
        </w:rPr>
        <w:t>проєкт</w:t>
      </w:r>
      <w:bookmarkStart w:id="3" w:name="_GoBack"/>
      <w:bookmarkEnd w:id="3"/>
      <w:r>
        <w:rPr>
          <w:rFonts w:ascii="Times New Roman" w:hAnsi="Times New Roman"/>
          <w:bCs/>
          <w:sz w:val="28"/>
          <w:szCs w:val="28"/>
          <w:lang w:val="uk-UA" w:eastAsia="ru-RU"/>
        </w:rPr>
        <w:t>і</w:t>
      </w:r>
      <w:proofErr w:type="spellEnd"/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тариф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ів зменшено в порівняні з передбаченим в діючому тарифі розміром з 15 % до 10 %.  Середня заробітна плата становить -13 356 грн в місяць (середня по промисловості у Волинській області за липень 2021 року склала 13 456 грн). Ріст фонду оплати праці та серед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ньої заробітної плати  - 19 % та 18,3 %.</w:t>
      </w:r>
    </w:p>
    <w:p w:rsidR="001F5F1E" w:rsidRDefault="00D42BC8">
      <w:pPr>
        <w:spacing w:after="0" w:line="240" w:lineRule="auto"/>
        <w:jc w:val="both"/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Style w:val="rvts0"/>
          <w:rFonts w:ascii="Times New Roman" w:hAnsi="Times New Roman"/>
          <w:sz w:val="28"/>
          <w:szCs w:val="28"/>
          <w:lang w:val="uk-UA"/>
        </w:rPr>
        <w:t xml:space="preserve">У </w:t>
      </w:r>
      <w:proofErr w:type="spellStart"/>
      <w:r>
        <w:rPr>
          <w:rStyle w:val="rvts0"/>
          <w:rFonts w:ascii="Times New Roman" w:hAnsi="Times New Roman"/>
          <w:sz w:val="28"/>
          <w:szCs w:val="28"/>
          <w:lang w:val="uk-UA"/>
        </w:rPr>
        <w:t>проєкті</w:t>
      </w:r>
      <w:proofErr w:type="spellEnd"/>
      <w:r>
        <w:rPr>
          <w:rStyle w:val="rvts0"/>
          <w:rFonts w:ascii="Times New Roman" w:hAnsi="Times New Roman"/>
          <w:sz w:val="28"/>
          <w:szCs w:val="28"/>
          <w:lang w:val="uk-UA"/>
        </w:rPr>
        <w:t xml:space="preserve"> тарифів на теплову енергію, її виробництво, транспортування та постачання враховані обігові кошти за рахунок планованого прибутку в обсязі, 4 % повної планованої собівартості теплової енергії (без урахува</w:t>
      </w:r>
      <w:r>
        <w:rPr>
          <w:rStyle w:val="rvts0"/>
          <w:rFonts w:ascii="Times New Roman" w:hAnsi="Times New Roman"/>
          <w:sz w:val="28"/>
          <w:szCs w:val="28"/>
          <w:lang w:val="uk-UA"/>
        </w:rPr>
        <w:t xml:space="preserve">ння витрат на відшкодування втрат та вартості виробництва теплової енергії на установках з використанням альтернативних джерел енергії). Ці кошти спрямовуватимуться підприємством на фінансування витрат, пов’язаних з придбанням природного газу, електричної </w:t>
      </w:r>
      <w:r>
        <w:rPr>
          <w:rStyle w:val="rvts0"/>
          <w:rFonts w:ascii="Times New Roman" w:hAnsi="Times New Roman"/>
          <w:sz w:val="28"/>
          <w:szCs w:val="28"/>
          <w:lang w:val="uk-UA"/>
        </w:rPr>
        <w:t xml:space="preserve">енергії, а також на інші витрати, пов’язані з виробництвом, транспортуванням та постачанням теплової енергії, визначених структурою тарифів, у разі, коли такі витрати не відшкодовуватимуться діючими тарифами. </w:t>
      </w:r>
    </w:p>
    <w:p w:rsidR="001F5F1E" w:rsidRDefault="00D42BC8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Відповідно до вимог Закону України «Про теплоп</w:t>
      </w:r>
      <w:r>
        <w:rPr>
          <w:rFonts w:ascii="Times New Roman" w:hAnsi="Times New Roman"/>
          <w:bCs/>
          <w:sz w:val="28"/>
          <w:szCs w:val="28"/>
          <w:lang w:val="uk-UA"/>
        </w:rPr>
        <w:t>остачання» тарифи на теплову енергію повинні забезпечувати відшкодування всіх економічно обґрунтованих витрат на виробництво, транспортування та постачання теплової енергії. Встановлення тарифів на теплову енергію нижче від розміру економічно обґрунтованих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витрат на її виробництво, транспортування та постачання не допускається. </w:t>
      </w:r>
      <w:proofErr w:type="spellStart"/>
      <w:r>
        <w:rPr>
          <w:rFonts w:ascii="Times New Roman" w:hAnsi="Times New Roman"/>
          <w:bCs/>
          <w:sz w:val="28"/>
          <w:szCs w:val="28"/>
        </w:rPr>
        <w:t>Аналогічні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за </w:t>
      </w:r>
      <w:proofErr w:type="spellStart"/>
      <w:r>
        <w:rPr>
          <w:rFonts w:ascii="Times New Roman" w:hAnsi="Times New Roman"/>
          <w:bCs/>
          <w:sz w:val="28"/>
          <w:szCs w:val="28"/>
        </w:rPr>
        <w:t>змістом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норми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щодо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тарифоутворення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містяться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і в </w:t>
      </w:r>
      <w:proofErr w:type="spellStart"/>
      <w:r>
        <w:rPr>
          <w:rFonts w:ascii="Times New Roman" w:hAnsi="Times New Roman"/>
          <w:bCs/>
          <w:sz w:val="28"/>
          <w:szCs w:val="28"/>
        </w:rPr>
        <w:t>Законі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«Про </w:t>
      </w:r>
      <w:proofErr w:type="spellStart"/>
      <w:r>
        <w:rPr>
          <w:rFonts w:ascii="Times New Roman" w:hAnsi="Times New Roman"/>
          <w:bCs/>
          <w:sz w:val="28"/>
          <w:szCs w:val="28"/>
        </w:rPr>
        <w:t>житлово-комунальні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послуги</w:t>
      </w:r>
      <w:proofErr w:type="spellEnd"/>
      <w:r>
        <w:rPr>
          <w:rFonts w:ascii="Times New Roman" w:hAnsi="Times New Roman"/>
          <w:bCs/>
          <w:sz w:val="28"/>
          <w:szCs w:val="28"/>
        </w:rPr>
        <w:t>».</w:t>
      </w:r>
    </w:p>
    <w:p w:rsidR="001F5F1E" w:rsidRDefault="00D42BC8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lastRenderedPageBreak/>
        <w:t xml:space="preserve">Ріст </w:t>
      </w:r>
      <w:proofErr w:type="spellStart"/>
      <w:r>
        <w:rPr>
          <w:rFonts w:ascii="Times New Roman" w:hAnsi="Times New Roman"/>
          <w:bCs/>
          <w:sz w:val="28"/>
          <w:szCs w:val="28"/>
          <w:lang w:val="uk-UA" w:eastAsia="ru-RU"/>
        </w:rPr>
        <w:t>двоставкового</w:t>
      </w:r>
      <w:proofErr w:type="spellEnd"/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тарифу (</w:t>
      </w:r>
      <w:proofErr w:type="spellStart"/>
      <w:r>
        <w:rPr>
          <w:rFonts w:ascii="Times New Roman" w:hAnsi="Times New Roman"/>
          <w:bCs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) на теплову енергію </w:t>
      </w:r>
      <w:r>
        <w:rPr>
          <w:rFonts w:ascii="Times New Roman" w:hAnsi="Times New Roman"/>
          <w:bCs/>
          <w:sz w:val="28"/>
          <w:szCs w:val="28"/>
          <w:u w:val="single"/>
          <w:lang w:val="uk-UA" w:eastAsia="ru-RU"/>
        </w:rPr>
        <w:t>для населення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в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еквіваленті </w:t>
      </w:r>
      <w:proofErr w:type="spellStart"/>
      <w:r>
        <w:rPr>
          <w:rFonts w:ascii="Times New Roman" w:hAnsi="Times New Roman"/>
          <w:bCs/>
          <w:sz w:val="28"/>
          <w:szCs w:val="28"/>
          <w:lang w:val="uk-UA" w:eastAsia="ru-RU"/>
        </w:rPr>
        <w:t>одноставкового</w:t>
      </w:r>
      <w:proofErr w:type="spellEnd"/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тарифу складає 13 % і 25 % (без/з врахуванням витрат на оснащення вузлами комерційного обліку).</w:t>
      </w:r>
    </w:p>
    <w:p w:rsidR="001F5F1E" w:rsidRDefault="00D42BC8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Ріст </w:t>
      </w:r>
      <w:proofErr w:type="spellStart"/>
      <w:r>
        <w:rPr>
          <w:rFonts w:ascii="Times New Roman" w:hAnsi="Times New Roman"/>
          <w:bCs/>
          <w:sz w:val="28"/>
          <w:szCs w:val="28"/>
          <w:lang w:val="uk-UA" w:eastAsia="ru-RU"/>
        </w:rPr>
        <w:t>двоставкових</w:t>
      </w:r>
      <w:proofErr w:type="spellEnd"/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тарифів на теплову енергію для населення складає: - умовно-змінної частини тарифу 2,9-5,8 %,  умовно-постійної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частини тарифу 30 % (без врахування витрат на оснащення ВКО) та 67 % (з врахуванням витрат на оснащення ВКО).</w:t>
      </w:r>
    </w:p>
    <w:p w:rsidR="001F5F1E" w:rsidRDefault="00D42BC8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На ріст умовно-змінної величини вплинуло </w:t>
      </w:r>
      <w:proofErr w:type="spellStart"/>
      <w:r>
        <w:rPr>
          <w:rFonts w:ascii="Times New Roman" w:hAnsi="Times New Roman"/>
          <w:bCs/>
          <w:sz w:val="28"/>
          <w:szCs w:val="28"/>
          <w:lang w:val="uk-UA" w:eastAsia="ru-RU"/>
        </w:rPr>
        <w:t>здорожчання</w:t>
      </w:r>
      <w:proofErr w:type="spellEnd"/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вартості природного газу на 1,3 % та послуга з його транспортування на 10%.</w:t>
      </w:r>
    </w:p>
    <w:p w:rsidR="001F5F1E" w:rsidRDefault="00D42BC8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На значний ріст у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мовно-постійної частини тарифу вплинув ріст таких статей витрат: </w:t>
      </w:r>
    </w:p>
    <w:p w:rsidR="001F5F1E" w:rsidRDefault="00D42BC8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послуга з розподілу природного газу на 10 % (26 грн на 1Гкал);</w:t>
      </w:r>
    </w:p>
    <w:p w:rsidR="001F5F1E" w:rsidRDefault="00D42BC8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витрати на оплату праці (ріст мін. гарантій у державі у порівнянні до тих, що були враховані у діючому тарифі) на 20 % (36,35 г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рн на 1 </w:t>
      </w:r>
      <w:proofErr w:type="spellStart"/>
      <w:r>
        <w:rPr>
          <w:rFonts w:ascii="Times New Roman" w:hAnsi="Times New Roman"/>
          <w:bCs/>
          <w:sz w:val="28"/>
          <w:szCs w:val="28"/>
          <w:lang w:val="uk-UA" w:eastAsia="ru-RU"/>
        </w:rPr>
        <w:t>Гкал</w:t>
      </w:r>
      <w:proofErr w:type="spellEnd"/>
      <w:r>
        <w:rPr>
          <w:rFonts w:ascii="Times New Roman" w:hAnsi="Times New Roman"/>
          <w:bCs/>
          <w:sz w:val="28"/>
          <w:szCs w:val="28"/>
          <w:lang w:val="uk-UA" w:eastAsia="ru-RU"/>
        </w:rPr>
        <w:t>);</w:t>
      </w:r>
    </w:p>
    <w:p w:rsidR="001F5F1E" w:rsidRDefault="00D42BC8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обігові кошти в обсязі 36,68 млн грн, крім того 8,05 млн грн податок на прибуток, які не було передбачено у діючих тарифах (57,4 грн на 1Гкал), крім того податок на прибуток 12,6 грн</w:t>
      </w:r>
      <w:r>
        <w:rPr>
          <w:rFonts w:ascii="Times New Roman" w:hAnsi="Times New Roman"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на 1 </w:t>
      </w:r>
      <w:proofErr w:type="spellStart"/>
      <w:r>
        <w:rPr>
          <w:rFonts w:ascii="Times New Roman" w:hAnsi="Times New Roman"/>
          <w:bCs/>
          <w:sz w:val="28"/>
          <w:szCs w:val="28"/>
          <w:lang w:val="uk-UA" w:eastAsia="ru-RU"/>
        </w:rPr>
        <w:t>Гкал</w:t>
      </w:r>
      <w:proofErr w:type="spellEnd"/>
      <w:r>
        <w:rPr>
          <w:rFonts w:ascii="Times New Roman" w:hAnsi="Times New Roman"/>
          <w:bCs/>
          <w:sz w:val="28"/>
          <w:szCs w:val="28"/>
          <w:lang w:val="uk-UA" w:eastAsia="ru-RU"/>
        </w:rPr>
        <w:t>.</w:t>
      </w:r>
    </w:p>
    <w:p w:rsidR="001F5F1E" w:rsidRDefault="00D42BC8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витрати на оснащення вузлами комерційного обліку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в обсязі 7 млн грн, які не було враховано у діючих тарифах (177,9 грн на 1Гкал).</w:t>
      </w:r>
    </w:p>
    <w:p w:rsidR="001F5F1E" w:rsidRDefault="00D42BC8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Відповідно тарифи на послуги з гарячого водопостачання для населення складуть 127,64-147,71 грн/м</w:t>
      </w:r>
      <w:r>
        <w:rPr>
          <w:rFonts w:ascii="Times New Roman" w:hAnsi="Times New Roman"/>
          <w:bCs/>
          <w:sz w:val="28"/>
          <w:szCs w:val="28"/>
          <w:vertAlign w:val="superscript"/>
          <w:lang w:val="uk-UA" w:eastAsia="ru-RU"/>
        </w:rPr>
        <w:t>3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(відповідно без/з врахуванням витрат на оснащення вузлами комерційного облі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ку), ріст становитиме 10-20 %. </w:t>
      </w:r>
    </w:p>
    <w:p w:rsidR="001F5F1E" w:rsidRDefault="00D42BC8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При розрахунку </w:t>
      </w:r>
      <w:proofErr w:type="spellStart"/>
      <w:r>
        <w:rPr>
          <w:rFonts w:ascii="Times New Roman" w:hAnsi="Times New Roman"/>
          <w:bCs/>
          <w:sz w:val="28"/>
          <w:szCs w:val="28"/>
          <w:lang w:val="uk-UA" w:eastAsia="ru-RU"/>
        </w:rPr>
        <w:t>двоставкового</w:t>
      </w:r>
      <w:proofErr w:type="spellEnd"/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тарифу на теплову енергію (</w:t>
      </w:r>
      <w:proofErr w:type="spellStart"/>
      <w:r>
        <w:rPr>
          <w:rFonts w:ascii="Times New Roman" w:hAnsi="Times New Roman"/>
          <w:bCs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) на 2021/2022 роки </w:t>
      </w:r>
      <w:r>
        <w:rPr>
          <w:rFonts w:ascii="Times New Roman" w:hAnsi="Times New Roman"/>
          <w:b/>
          <w:bCs/>
          <w:sz w:val="28"/>
          <w:szCs w:val="28"/>
          <w:u w:val="single"/>
          <w:lang w:val="uk-UA" w:eastAsia="ru-RU"/>
        </w:rPr>
        <w:t>для категорій інші споживачі та бюджетні установи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врахована ціна природного газу 17 100,23 грн/тис.м</w:t>
      </w:r>
      <w:r>
        <w:rPr>
          <w:rFonts w:ascii="Times New Roman" w:hAnsi="Times New Roman"/>
          <w:bCs/>
          <w:sz w:val="28"/>
          <w:szCs w:val="28"/>
          <w:vertAlign w:val="superscript"/>
          <w:lang w:val="uk-UA" w:eastAsia="ru-RU"/>
        </w:rPr>
        <w:t>3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, з ПДВ (ріст на 133,5 % ). Тому ріст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тарифів у порівнянні з діючими для цих категорій споживачів складе:</w:t>
      </w:r>
    </w:p>
    <w:p w:rsidR="001F5F1E" w:rsidRDefault="00D42BC8">
      <w:pPr>
        <w:pStyle w:val="ac"/>
        <w:spacing w:after="0" w:line="240" w:lineRule="auto"/>
        <w:ind w:left="0"/>
        <w:jc w:val="both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- по умовно-змінній частині тарифу - 118 %, по умовно-постійній частині тарифу - 42 %, 75 % (відповідно без/з врахуванням витрат на оснащення вузлами комерційного обліку).</w:t>
      </w:r>
    </w:p>
    <w:p w:rsidR="001F5F1E" w:rsidRDefault="00D42BC8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Розмір тарифів </w:t>
      </w:r>
      <w:r>
        <w:rPr>
          <w:rFonts w:ascii="Times New Roman" w:hAnsi="Times New Roman"/>
          <w:bCs/>
          <w:sz w:val="28"/>
          <w:szCs w:val="28"/>
          <w:u w:val="single"/>
          <w:lang w:val="uk-UA" w:eastAsia="ru-RU"/>
        </w:rPr>
        <w:t>д</w:t>
      </w:r>
      <w:r>
        <w:rPr>
          <w:rFonts w:ascii="Times New Roman" w:hAnsi="Times New Roman"/>
          <w:bCs/>
          <w:sz w:val="28"/>
          <w:szCs w:val="28"/>
          <w:u w:val="single"/>
          <w:lang w:val="uk-UA" w:eastAsia="ru-RU"/>
        </w:rPr>
        <w:t>ля юридичних споживачів (</w:t>
      </w:r>
      <w:proofErr w:type="spellStart"/>
      <w:r>
        <w:rPr>
          <w:rFonts w:ascii="Times New Roman" w:hAnsi="Times New Roman"/>
          <w:bCs/>
          <w:sz w:val="28"/>
          <w:szCs w:val="28"/>
          <w:u w:val="single"/>
          <w:lang w:val="uk-UA" w:eastAsia="ru-RU"/>
        </w:rPr>
        <w:t>проєкт</w:t>
      </w:r>
      <w:proofErr w:type="spellEnd"/>
      <w:r>
        <w:rPr>
          <w:rFonts w:ascii="Times New Roman" w:hAnsi="Times New Roman"/>
          <w:bCs/>
          <w:sz w:val="28"/>
          <w:szCs w:val="28"/>
          <w:u w:val="single"/>
          <w:lang w:val="uk-UA" w:eastAsia="ru-RU"/>
        </w:rPr>
        <w:t xml:space="preserve">)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становить 3563,17-3679,19 грн/</w:t>
      </w:r>
      <w:proofErr w:type="spellStart"/>
      <w:r>
        <w:rPr>
          <w:rFonts w:ascii="Times New Roman" w:hAnsi="Times New Roman"/>
          <w:bCs/>
          <w:sz w:val="28"/>
          <w:szCs w:val="28"/>
          <w:lang w:val="uk-UA" w:eastAsia="ru-RU"/>
        </w:rPr>
        <w:t>Гкал</w:t>
      </w:r>
      <w:proofErr w:type="spellEnd"/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(без оснащення вузлами комерційного обліку) та 3776,63-3892,64 грн/</w:t>
      </w:r>
      <w:proofErr w:type="spellStart"/>
      <w:r>
        <w:rPr>
          <w:rFonts w:ascii="Times New Roman" w:hAnsi="Times New Roman"/>
          <w:bCs/>
          <w:sz w:val="28"/>
          <w:szCs w:val="28"/>
          <w:lang w:val="uk-UA" w:eastAsia="ru-RU"/>
        </w:rPr>
        <w:t>Гкал</w:t>
      </w:r>
      <w:proofErr w:type="spellEnd"/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(з врахуванням витрат на оснащення вузлами комерційного обліку), для порівняння діючі тарифи – 1820,82-1873,58 грн/</w:t>
      </w:r>
      <w:proofErr w:type="spellStart"/>
      <w:r>
        <w:rPr>
          <w:rFonts w:ascii="Times New Roman" w:hAnsi="Times New Roman"/>
          <w:bCs/>
          <w:sz w:val="28"/>
          <w:szCs w:val="28"/>
          <w:lang w:val="uk-UA" w:eastAsia="ru-RU"/>
        </w:rPr>
        <w:t>Г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кал</w:t>
      </w:r>
      <w:proofErr w:type="spellEnd"/>
      <w:r>
        <w:rPr>
          <w:rFonts w:ascii="Times New Roman" w:hAnsi="Times New Roman"/>
          <w:bCs/>
          <w:sz w:val="28"/>
          <w:szCs w:val="28"/>
          <w:lang w:val="uk-UA" w:eastAsia="ru-RU"/>
        </w:rPr>
        <w:t>.</w:t>
      </w:r>
    </w:p>
    <w:p w:rsidR="001F5F1E" w:rsidRDefault="00D42BC8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Тарифи на послуги з гарячого водопостачання для бюджетних установ та інших споживачів складуть 210,16-227,72 грн/м</w:t>
      </w:r>
      <w:r>
        <w:rPr>
          <w:rFonts w:ascii="Times New Roman" w:hAnsi="Times New Roman"/>
          <w:bCs/>
          <w:sz w:val="28"/>
          <w:szCs w:val="28"/>
          <w:vertAlign w:val="superscript"/>
          <w:lang w:val="uk-UA" w:eastAsia="ru-RU"/>
        </w:rPr>
        <w:t>3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(відповідно без/з врахуванням витрат на оснащення вузлами комерційного обліку) – ріст становитиме 78-89 %. </w:t>
      </w:r>
    </w:p>
    <w:p w:rsidR="001F5F1E" w:rsidRDefault="001F5F1E">
      <w:pPr>
        <w:spacing w:after="0" w:line="240" w:lineRule="auto"/>
        <w:ind w:firstLine="720"/>
        <w:jc w:val="both"/>
        <w:rPr>
          <w:rFonts w:ascii="Times New Roman" w:hAnsi="Times New Roman"/>
          <w:bCs/>
          <w:lang w:val="uk-UA" w:eastAsia="ru-RU"/>
        </w:rPr>
      </w:pPr>
    </w:p>
    <w:p w:rsidR="001F5F1E" w:rsidRDefault="00D42BC8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Директор департаменту</w:t>
      </w:r>
    </w:p>
    <w:p w:rsidR="001F5F1E" w:rsidRDefault="00D42BC8">
      <w:pPr>
        <w:widowControl w:val="0"/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екон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омічної політики                                                                       Борис СМАЛЬ</w:t>
      </w:r>
    </w:p>
    <w:sectPr w:rsidR="001F5F1E">
      <w:pgSz w:w="11906" w:h="16838"/>
      <w:pgMar w:top="850" w:right="510" w:bottom="1531" w:left="198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F1E"/>
    <w:rsid w:val="001F5F1E"/>
    <w:rsid w:val="00D4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484"/>
    <w:pPr>
      <w:suppressAutoHyphens/>
      <w:spacing w:after="200" w:line="276" w:lineRule="auto"/>
    </w:pPr>
    <w:rPr>
      <w:rFonts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іперпосилання"/>
    <w:basedOn w:val="a0"/>
    <w:uiPriority w:val="99"/>
    <w:semiHidden/>
    <w:unhideWhenUsed/>
    <w:rsid w:val="008D6484"/>
    <w:rPr>
      <w:rFonts w:ascii="Times New Roman" w:hAnsi="Times New Roman" w:cs="Times New Roman"/>
      <w:color w:val="0000FF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004ADA"/>
    <w:rPr>
      <w:rFonts w:ascii="Segoe UI" w:eastAsia="Calibr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uiPriority w:val="99"/>
    <w:qFormat/>
    <w:rsid w:val="00387534"/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uiPriority w:val="99"/>
    <w:qFormat/>
    <w:rsid w:val="00387534"/>
    <w:rPr>
      <w:rFonts w:ascii="Calibri" w:eastAsia="Calibri" w:hAnsi="Calibri" w:cs="Times New Roman"/>
    </w:rPr>
  </w:style>
  <w:style w:type="character" w:customStyle="1" w:styleId="rvts23">
    <w:name w:val="rvts23"/>
    <w:basedOn w:val="a0"/>
    <w:qFormat/>
    <w:rsid w:val="006836C3"/>
  </w:style>
  <w:style w:type="character" w:customStyle="1" w:styleId="rvts0">
    <w:name w:val="rvts0"/>
    <w:basedOn w:val="a0"/>
    <w:qFormat/>
    <w:rsid w:val="00BC5341"/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List Paragraph"/>
    <w:basedOn w:val="a"/>
    <w:uiPriority w:val="34"/>
    <w:qFormat/>
    <w:rsid w:val="008D6484"/>
    <w:pPr>
      <w:ind w:left="720"/>
      <w:contextualSpacing/>
    </w:pPr>
  </w:style>
  <w:style w:type="paragraph" w:styleId="ad">
    <w:name w:val="Balloon Text"/>
    <w:basedOn w:val="a"/>
    <w:uiPriority w:val="99"/>
    <w:semiHidden/>
    <w:unhideWhenUsed/>
    <w:qFormat/>
    <w:rsid w:val="00004AD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uiPriority w:val="99"/>
    <w:unhideWhenUsed/>
    <w:rsid w:val="00387534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uiPriority w:val="99"/>
    <w:unhideWhenUsed/>
    <w:rsid w:val="0038753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rvps2">
    <w:name w:val="rvps2"/>
    <w:basedOn w:val="a"/>
    <w:qFormat/>
    <w:rsid w:val="00FA6202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Normal (Web)"/>
    <w:basedOn w:val="a"/>
    <w:qFormat/>
    <w:pPr>
      <w:spacing w:before="280" w:after="28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484"/>
    <w:pPr>
      <w:suppressAutoHyphens/>
      <w:spacing w:after="200" w:line="276" w:lineRule="auto"/>
    </w:pPr>
    <w:rPr>
      <w:rFonts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іперпосилання"/>
    <w:basedOn w:val="a0"/>
    <w:uiPriority w:val="99"/>
    <w:semiHidden/>
    <w:unhideWhenUsed/>
    <w:rsid w:val="008D6484"/>
    <w:rPr>
      <w:rFonts w:ascii="Times New Roman" w:hAnsi="Times New Roman" w:cs="Times New Roman"/>
      <w:color w:val="0000FF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004ADA"/>
    <w:rPr>
      <w:rFonts w:ascii="Segoe UI" w:eastAsia="Calibr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uiPriority w:val="99"/>
    <w:qFormat/>
    <w:rsid w:val="00387534"/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uiPriority w:val="99"/>
    <w:qFormat/>
    <w:rsid w:val="00387534"/>
    <w:rPr>
      <w:rFonts w:ascii="Calibri" w:eastAsia="Calibri" w:hAnsi="Calibri" w:cs="Times New Roman"/>
    </w:rPr>
  </w:style>
  <w:style w:type="character" w:customStyle="1" w:styleId="rvts23">
    <w:name w:val="rvts23"/>
    <w:basedOn w:val="a0"/>
    <w:qFormat/>
    <w:rsid w:val="006836C3"/>
  </w:style>
  <w:style w:type="character" w:customStyle="1" w:styleId="rvts0">
    <w:name w:val="rvts0"/>
    <w:basedOn w:val="a0"/>
    <w:qFormat/>
    <w:rsid w:val="00BC5341"/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List Paragraph"/>
    <w:basedOn w:val="a"/>
    <w:uiPriority w:val="34"/>
    <w:qFormat/>
    <w:rsid w:val="008D6484"/>
    <w:pPr>
      <w:ind w:left="720"/>
      <w:contextualSpacing/>
    </w:pPr>
  </w:style>
  <w:style w:type="paragraph" w:styleId="ad">
    <w:name w:val="Balloon Text"/>
    <w:basedOn w:val="a"/>
    <w:uiPriority w:val="99"/>
    <w:semiHidden/>
    <w:unhideWhenUsed/>
    <w:qFormat/>
    <w:rsid w:val="00004AD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uiPriority w:val="99"/>
    <w:unhideWhenUsed/>
    <w:rsid w:val="00387534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uiPriority w:val="99"/>
    <w:unhideWhenUsed/>
    <w:rsid w:val="0038753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rvps2">
    <w:name w:val="rvps2"/>
    <w:basedOn w:val="a"/>
    <w:qFormat/>
    <w:rsid w:val="00FA6202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Normal (Web)"/>
    <w:basedOn w:val="a"/>
    <w:qFormat/>
    <w:pPr>
      <w:spacing w:before="280" w:after="28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593C9-204F-4059-BEBB-5B3BFF1DD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2676</TotalTime>
  <Pages>6</Pages>
  <Words>9242</Words>
  <Characters>5268</Characters>
  <Application>Microsoft Office Word</Application>
  <DocSecurity>0</DocSecurity>
  <Lines>43</Lines>
  <Paragraphs>28</Paragraphs>
  <ScaleCrop>false</ScaleCrop>
  <Company>Microsoft</Company>
  <LinksUpToDate>false</LinksUpToDate>
  <CharactersWithSpaces>14482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Поліщук Оксана Анатоліївна</cp:lastModifiedBy>
  <cp:revision>73</cp:revision>
  <cp:lastPrinted>2021-09-07T12:11:00Z</cp:lastPrinted>
  <dcterms:created xsi:type="dcterms:W3CDTF">2017-10-05T21:08:00Z</dcterms:created>
  <dcterms:modified xsi:type="dcterms:W3CDTF">2021-09-24T13:57:00Z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