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180" w:firstLine="888"/>
        <w:jc w:val="center"/>
        <w:rPr>
          <w:b/>
          <w:b/>
          <w:bCs/>
          <w:sz w:val="28"/>
          <w:szCs w:val="28"/>
        </w:rPr>
      </w:pPr>
      <w:r>
        <w:rPr>
          <w:sz w:val="28"/>
          <w:szCs w:val="28"/>
        </w:rPr>
        <w:t xml:space="preserve">Пояснювальна записка </w:t>
      </w:r>
    </w:p>
    <w:p>
      <w:pPr>
        <w:pStyle w:val="Normal"/>
        <w:ind w:left="-180" w:firstLine="88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 проєкту рішення виконавчого комітету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“</w:t>
      </w:r>
      <w:r>
        <w:rPr>
          <w:sz w:val="28"/>
          <w:szCs w:val="28"/>
        </w:rPr>
        <w:t>Про вартість проїзду в автобусах, що працюють на міських маршрутах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 звичайному режимі руху” </w:t>
      </w:r>
    </w:p>
    <w:p>
      <w:pPr>
        <w:pStyle w:val="Normal"/>
        <w:ind w:left="-180" w:firstLine="888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ind w:left="-180" w:firstLine="888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Даний проєкт рішення підготовлено у зв’язку із зверненням суб’єктів господарювання, що здійснюють перевезення пасажирів автобусами на міських маршрутах загального користування, а саме: </w:t>
      </w:r>
      <w:r>
        <w:rPr>
          <w:color w:val="000000"/>
          <w:sz w:val="28"/>
          <w:szCs w:val="28"/>
        </w:rPr>
        <w:t>зОВ ВТП «Санрайз» (маршрути № 1, 2, 8, 10, 22, 22а), Луцьке підприємство електротранспорту (маршрути № 25, 29) та ФОП: Макарчук М.П. (маршрути № 3, 9), Федік Б.В. (маршрут № 19), Михайлюк Ю.П. (маршрут № 11), Федік Л.Г. (маршрут№ 28) щодо підвищення розміру тарифу та надали відповідні розрахунки.</w:t>
      </w:r>
      <w:r>
        <w:rPr>
          <w:color w:val="CE181E"/>
          <w:sz w:val="28"/>
          <w:szCs w:val="28"/>
        </w:rPr>
        <w:t xml:space="preserve">  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Проаналізувавши надані розрахунки встановлено, що вони підготовлені за Методикою розрахунку тарифів на послуги пасажирського автомобільного транспорту, затвердженою Наказом Міністерства транспорту та зв’язку України від 17.11.2009 № 1175. Методика є обов’язковою для застосування під час встановлення регульованого тарифу органами місцевого самоврядування.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п.1.6 Методики, </w:t>
      </w:r>
      <w:r>
        <w:rPr>
          <w:rFonts w:eastAsia="Times New Roman" w:cs="Times New Roman"/>
          <w:sz w:val="28"/>
          <w:szCs w:val="28"/>
          <w:lang w:val="uk-UA" w:bidi="ar-SA"/>
        </w:rPr>
        <w:t>п</w:t>
      </w:r>
      <w:r>
        <w:rPr>
          <w:sz w:val="28"/>
          <w:szCs w:val="28"/>
        </w:rPr>
        <w:t xml:space="preserve">ерегляд діючих тарифів на перевезення пасажирів повинен здійснюватись у зв’язку зі зміною умов виробничої діяльності та реалізації послуг, що не залежить від господарської діяльності </w:t>
      </w:r>
      <w:r>
        <w:rPr>
          <w:rFonts w:eastAsia="Times New Roman" w:cs="Times New Roman"/>
          <w:sz w:val="28"/>
          <w:szCs w:val="28"/>
          <w:lang w:val="uk-UA" w:bidi="ar-SA"/>
        </w:rPr>
        <w:t>п</w:t>
      </w:r>
      <w:r>
        <w:rPr>
          <w:sz w:val="28"/>
          <w:szCs w:val="28"/>
        </w:rPr>
        <w:t xml:space="preserve">еревізника. </w:t>
      </w:r>
    </w:p>
    <w:p>
      <w:pPr>
        <w:pStyle w:val="Normal"/>
        <w:ind w:firstLine="540"/>
        <w:jc w:val="both"/>
        <w:rPr/>
      </w:pPr>
      <w:r>
        <w:rPr>
          <w:color w:val="000000"/>
          <w:sz w:val="28"/>
          <w:szCs w:val="28"/>
        </w:rPr>
        <w:t>Значною мірою на ріст вартості перевезень автобусами вплинуло зменшення  чисельності перевезених пасажирів, що зафіксовано системою електронної оплати проїзду “С</w:t>
      </w:r>
      <w:r>
        <w:rPr>
          <w:rFonts w:eastAsia="Times New Roman" w:cs="Times New Roman"/>
          <w:color w:val="000000"/>
          <w:sz w:val="28"/>
          <w:szCs w:val="28"/>
          <w:lang w:val="uk-UA" w:bidi="ar-SA"/>
        </w:rPr>
        <w:t>ІТІ</w:t>
      </w:r>
      <w:r>
        <w:rPr>
          <w:color w:val="000000"/>
          <w:sz w:val="28"/>
          <w:szCs w:val="28"/>
        </w:rPr>
        <w:t xml:space="preserve"> К</w:t>
      </w:r>
      <w:r>
        <w:rPr>
          <w:rFonts w:eastAsia="Times New Roman" w:cs="Times New Roman"/>
          <w:color w:val="000000"/>
          <w:sz w:val="28"/>
          <w:szCs w:val="28"/>
          <w:lang w:val="uk-UA" w:bidi="ar-SA"/>
        </w:rPr>
        <w:t>АРД</w:t>
      </w:r>
      <w:r>
        <w:rPr>
          <w:color w:val="000000"/>
          <w:sz w:val="28"/>
          <w:szCs w:val="28"/>
        </w:rPr>
        <w:t xml:space="preserve">”. </w:t>
      </w:r>
      <w:r>
        <w:rPr>
          <w:color w:val="000000"/>
          <w:sz w:val="28"/>
          <w:szCs w:val="28"/>
          <w:lang w:val="en-US"/>
        </w:rPr>
        <w:t>Зниже</w:t>
      </w:r>
      <w:r>
        <w:rPr>
          <w:color w:val="000000"/>
          <w:sz w:val="28"/>
          <w:szCs w:val="28"/>
        </w:rPr>
        <w:t>ння пасажиропотоку від зафіксованих обстеженнями пасажиропотоків у 2018 році становить</w:t>
      </w:r>
      <w:r>
        <w:rPr>
          <w:color w:val="000000"/>
          <w:sz w:val="28"/>
          <w:szCs w:val="28"/>
          <w:lang w:val="en-US"/>
        </w:rPr>
        <w:t xml:space="preserve"> -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u w:val="none"/>
        </w:rPr>
        <w:t>мінус 30,3 %.</w:t>
      </w:r>
      <w:r>
        <w:rPr>
          <w:color w:val="000000"/>
          <w:sz w:val="28"/>
          <w:szCs w:val="28"/>
        </w:rPr>
        <w:t xml:space="preserve"> Основними </w:t>
      </w:r>
      <w:r>
        <w:rPr>
          <w:rFonts w:eastAsia="Times New Roman" w:cs="Times New Roman"/>
          <w:color w:val="000000"/>
          <w:sz w:val="28"/>
          <w:szCs w:val="28"/>
          <w:lang w:val="uk-UA" w:bidi="ar-SA"/>
        </w:rPr>
        <w:t>фактор</w:t>
      </w:r>
      <w:r>
        <w:rPr>
          <w:color w:val="000000"/>
          <w:sz w:val="28"/>
          <w:szCs w:val="28"/>
        </w:rPr>
        <w:t>ами є введені карантинні обмеження на державному рівні та запровадження електронної системи оплати проїзду в місті, а також не мало важливим чинником є оплата проїзду частиною пасажирів готівкою, цей факт зафіксовано камерами спостереження.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а підвищення тарифу на проїзд, 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рім зменшення пасажиропотоків вплинул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bidi="ar-SA"/>
        </w:rPr>
        <w:t xml:space="preserve">ціна </w:t>
      </w:r>
      <w:r>
        <w:rPr>
          <w:color w:val="000000"/>
          <w:sz w:val="28"/>
          <w:szCs w:val="28"/>
        </w:rPr>
        <w:t xml:space="preserve">закупівель палива, </w:t>
      </w:r>
      <w:r>
        <w:rPr>
          <w:color w:val="000000"/>
          <w:sz w:val="28"/>
          <w:szCs w:val="28"/>
        </w:rPr>
        <w:t>яка становить</w:t>
      </w:r>
      <w:r>
        <w:rPr>
          <w:color w:val="000000"/>
          <w:sz w:val="28"/>
          <w:szCs w:val="28"/>
        </w:rPr>
        <w:t xml:space="preserve"> 27 грн/л, у діючому тарифі врахована вартість 26 грн/л, </w:t>
      </w:r>
      <w:r>
        <w:rPr>
          <w:color w:val="000000"/>
          <w:sz w:val="28"/>
          <w:szCs w:val="28"/>
        </w:rPr>
        <w:t>тобто</w:t>
      </w:r>
      <w:r>
        <w:rPr>
          <w:color w:val="000000"/>
          <w:sz w:val="28"/>
          <w:szCs w:val="28"/>
        </w:rPr>
        <w:t xml:space="preserve"> на 4% (відповідно до наданих підтверджувальних документів перевізників).  </w:t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 xml:space="preserve">Підвищення розміру мінімальної заробітної плати з 4173 грн до розміру 6000 грн, затвердженого на державному рівні за виконану місячну норму праці.  </w:t>
      </w:r>
    </w:p>
    <w:p>
      <w:pPr>
        <w:pStyle w:val="Normal"/>
        <w:ind w:firstLine="540"/>
        <w:jc w:val="both"/>
        <w:rPr/>
      </w:pPr>
      <w:r>
        <w:rPr>
          <w:color w:val="000000"/>
          <w:sz w:val="28"/>
          <w:szCs w:val="28"/>
        </w:rPr>
        <w:t xml:space="preserve">Підвищення цін на моторні мастила, </w:t>
      </w:r>
      <w:r>
        <w:rPr>
          <w:color w:val="000000"/>
          <w:sz w:val="28"/>
          <w:szCs w:val="28"/>
        </w:rPr>
        <w:t>шини, акумулятори</w:t>
      </w:r>
      <w:r>
        <w:rPr>
          <w:color w:val="000000"/>
          <w:sz w:val="28"/>
          <w:szCs w:val="28"/>
        </w:rPr>
        <w:t xml:space="preserve"> - на 38 %,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bidi="ar-SA"/>
        </w:rPr>
        <w:t>які</w:t>
      </w:r>
      <w:r>
        <w:rPr>
          <w:color w:val="000000"/>
          <w:sz w:val="28"/>
          <w:szCs w:val="28"/>
        </w:rPr>
        <w:t xml:space="preserve"> розраховані із норм визначених наказами Мінтрансу України від 20.05.2006 № 489, 488 та від 10.02.1998 № 43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</w:rPr>
        <w:t>та вартості закупівель згідно підтверджу</w:t>
      </w:r>
      <w:r>
        <w:rPr>
          <w:rFonts w:eastAsia="Times New Roman" w:cs="Times New Roman"/>
          <w:color w:val="000000"/>
          <w:sz w:val="28"/>
          <w:szCs w:val="28"/>
          <w:lang w:val="uk-UA" w:bidi="ar-SA"/>
        </w:rPr>
        <w:t>юч</w:t>
      </w:r>
      <w:r>
        <w:rPr>
          <w:color w:val="000000"/>
          <w:sz w:val="28"/>
          <w:szCs w:val="28"/>
        </w:rPr>
        <w:t>их документів, наданих перевізниками.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Витрати на технічний огляд та усі види ремонтів автобусів враховано відповідно до діючих нормативів витрат на одне обслуговування та із зазначених перевізниками закупівельних цін на запасні частини та матеріали. </w:t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 xml:space="preserve">Загальновиробничі та адміністративні витрати в плановому тарифі враховано відповідно до фактично підтверджених витрат за перше півріччя 2021 року </w:t>
      </w:r>
      <w:r>
        <w:rPr>
          <w:rFonts w:eastAsia="Times New Roman" w:cs="Times New Roman"/>
          <w:sz w:val="28"/>
          <w:szCs w:val="28"/>
          <w:lang w:val="uk-UA" w:bidi="ar-SA"/>
        </w:rPr>
        <w:t>і</w:t>
      </w:r>
      <w:r>
        <w:rPr>
          <w:sz w:val="28"/>
          <w:szCs w:val="28"/>
        </w:rPr>
        <w:t xml:space="preserve"> розподілені на кількість автобусів, що працюють на міських маршрутах (для ТОВ “Санрайз”), для </w:t>
      </w:r>
      <w:r>
        <w:rPr>
          <w:rFonts w:eastAsia="Times New Roman" w:cs="Times New Roman"/>
          <w:sz w:val="28"/>
          <w:szCs w:val="28"/>
          <w:lang w:val="uk-UA" w:bidi="ar-SA"/>
        </w:rPr>
        <w:t>фізичних осіб підприємців</w:t>
      </w:r>
      <w:r>
        <w:rPr>
          <w:sz w:val="28"/>
          <w:szCs w:val="28"/>
        </w:rPr>
        <w:t xml:space="preserve"> усереднені на 1 автобус по підтверджених даних на обслуговування 1 автобуса: передрейсовий огляд, мийка, стоянка, страхування автобуса та водія, кондуктурування, тощо. </w:t>
      </w:r>
    </w:p>
    <w:p>
      <w:pPr>
        <w:pStyle w:val="Normal"/>
        <w:ind w:firstLine="540"/>
        <w:jc w:val="both"/>
        <w:rPr/>
      </w:pPr>
      <w:r>
        <w:rPr>
          <w:rFonts w:eastAsia="Times New Roman" w:cs="Times New Roman"/>
          <w:sz w:val="28"/>
          <w:szCs w:val="28"/>
          <w:lang w:val="uk-UA" w:bidi="ar-SA"/>
        </w:rPr>
        <w:t>У</w:t>
      </w:r>
      <w:r>
        <w:rPr>
          <w:sz w:val="28"/>
          <w:szCs w:val="28"/>
        </w:rPr>
        <w:t xml:space="preserve"> тарифі також враховано оплату комісії оператора системи “С</w:t>
      </w:r>
      <w:r>
        <w:rPr>
          <w:rFonts w:eastAsia="Times New Roman" w:cs="Times New Roman"/>
          <w:sz w:val="28"/>
          <w:szCs w:val="28"/>
          <w:lang w:val="uk-UA" w:bidi="ar-SA"/>
        </w:rPr>
        <w:t>ІТІ</w:t>
      </w:r>
      <w:r>
        <w:rPr>
          <w:sz w:val="28"/>
          <w:szCs w:val="28"/>
        </w:rPr>
        <w:t xml:space="preserve"> К</w:t>
      </w:r>
      <w:r>
        <w:rPr>
          <w:sz w:val="28"/>
          <w:szCs w:val="28"/>
        </w:rPr>
        <w:t>АРД</w:t>
      </w:r>
      <w:r>
        <w:rPr>
          <w:sz w:val="28"/>
          <w:szCs w:val="28"/>
        </w:rPr>
        <w:t xml:space="preserve">”, </w:t>
      </w:r>
      <w:r>
        <w:rPr>
          <w:rFonts w:eastAsia="Times New Roman" w:cs="Times New Roman"/>
          <w:sz w:val="28"/>
          <w:szCs w:val="28"/>
          <w:lang w:val="uk-UA" w:bidi="ar-SA"/>
        </w:rPr>
        <w:t>відпов</w:t>
      </w:r>
      <w:r>
        <w:rPr>
          <w:sz w:val="28"/>
          <w:szCs w:val="28"/>
        </w:rPr>
        <w:t xml:space="preserve">ідно </w:t>
      </w:r>
      <w:r>
        <w:rPr>
          <w:sz w:val="28"/>
          <w:szCs w:val="28"/>
        </w:rPr>
        <w:t>до укладених</w:t>
      </w:r>
      <w:r>
        <w:rPr>
          <w:sz w:val="28"/>
          <w:szCs w:val="28"/>
        </w:rPr>
        <w:t xml:space="preserve"> договорів.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Розмір рентабельності в плановому тарифі враховано на рівні 10 %. </w:t>
      </w:r>
    </w:p>
    <w:p>
      <w:pPr>
        <w:pStyle w:val="HTMLPreformatted"/>
        <w:shd w:val="clear" w:color="auto" w:fill="FFFFFF"/>
        <w:ind w:firstLine="540"/>
        <w:jc w:val="both"/>
        <w:textAlignment w:val="baseline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Кількість перевезених пасажирів на маршрутах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bidi="ar-SA"/>
        </w:rPr>
        <w:t>розр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аховано за даними системи “С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bidi="ar-SA"/>
        </w:rPr>
        <w:t>ІТІ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К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АРД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”. </w:t>
      </w:r>
    </w:p>
    <w:p>
      <w:pPr>
        <w:pStyle w:val="Normal"/>
        <w:ind w:firstLine="540"/>
        <w:jc w:val="both"/>
        <w:rPr/>
      </w:pPr>
      <w:r>
        <w:rPr>
          <w:sz w:val="28"/>
          <w:szCs w:val="28"/>
        </w:rPr>
        <w:t>Таким чином, розрахунковий тариф на перевезення пасажирів автобусами по маршрутах загального користування у звичайному режимі руху складає - 7,98 грн, згідно із структурою  на 1 автобус на міських маршрутах наведеною у додатку.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keepNext w:val="tru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numPr>
          <w:ilvl w:val="3"/>
          <w:numId w:val="2"/>
        </w:numPr>
        <w:ind w:left="0" w:hanging="57"/>
        <w:jc w:val="both"/>
        <w:rPr/>
      </w:pPr>
      <w:r>
        <w:rPr>
          <w:sz w:val="28"/>
          <w:szCs w:val="28"/>
        </w:rPr>
        <w:t>економічної політики                                                                      Борис СМАЛЬ</w:t>
      </w:r>
    </w:p>
    <w:p>
      <w:pPr>
        <w:pStyle w:val="Normal"/>
        <w:numPr>
          <w:ilvl w:val="2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br w:type="page"/>
      </w:r>
    </w:p>
    <w:tbl>
      <w:tblPr>
        <w:tblW w:w="9465" w:type="dxa"/>
        <w:jc w:val="left"/>
        <w:tblInd w:w="-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95"/>
        <w:gridCol w:w="6939"/>
        <w:gridCol w:w="1731"/>
      </w:tblGrid>
      <w:tr>
        <w:trPr>
          <w:trHeight w:val="1071" w:hRule="atLeast"/>
        </w:trPr>
        <w:tc>
          <w:tcPr>
            <w:tcW w:w="9465" w:type="dxa"/>
            <w:gridSpan w:val="3"/>
            <w:tcBorders/>
            <w:vAlign w:val="center"/>
          </w:tcPr>
          <w:p>
            <w:pPr>
              <w:pStyle w:val="ListParagraph"/>
              <w:pageBreakBefore/>
              <w:widowControl w:val="false"/>
              <w:numPr>
                <w:ilvl w:val="0"/>
                <w:numId w:val="2"/>
              </w:numPr>
              <w:jc w:val="center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Структура зведеного тарифу на перевезення пасажирів автобусами, що працюють на міських автобусних маршрутах у звичайному режимі руху</w:t>
            </w:r>
          </w:p>
        </w:tc>
      </w:tr>
      <w:tr>
        <w:trPr>
          <w:trHeight w:val="472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з/п</w:t>
            </w:r>
          </w:p>
        </w:tc>
        <w:tc>
          <w:tcPr>
            <w:tcW w:w="6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Показники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kern w:val="2"/>
                <w:sz w:val="28"/>
                <w:szCs w:val="28"/>
                <w:lang w:bidi="hi-IN"/>
              </w:rPr>
            </w:pPr>
            <w:r>
              <w:rPr>
                <w:sz w:val="28"/>
                <w:szCs w:val="28"/>
              </w:rPr>
              <w:t>Сума витрат на 1 автобус, тис. грн</w:t>
            </w:r>
          </w:p>
        </w:tc>
      </w:tr>
      <w:tr>
        <w:trPr>
          <w:trHeight w:val="522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kern w:val="2"/>
                <w:sz w:val="28"/>
                <w:szCs w:val="28"/>
                <w:lang w:val="en-US" w:bidi="hi-IN"/>
              </w:rPr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Заг. обсяг перевезених пасажирів 1 автобусом в рік, тис.пас.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153,02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kern w:val="2"/>
                <w:sz w:val="28"/>
                <w:szCs w:val="28"/>
                <w:lang w:val="en-US" w:bidi="hi-IN"/>
              </w:rPr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Пробіг в рік 1автобуса , тис.км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96,32</w:t>
            </w:r>
          </w:p>
        </w:tc>
      </w:tr>
      <w:tr>
        <w:trPr>
          <w:trHeight w:val="373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Прямі матеріальні витрати, в т.ч.: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558,48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1.1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на паливо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489,39</w:t>
            </w:r>
          </w:p>
        </w:tc>
      </w:tr>
      <w:tr>
        <w:trPr>
          <w:trHeight w:val="293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на мастильні матеріали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35,63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на шини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29,99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на акумуляторні батареї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3,47</w:t>
            </w:r>
          </w:p>
        </w:tc>
      </w:tr>
      <w:tr>
        <w:trPr>
          <w:trHeight w:val="343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Прямі витрати на оплату праці водіїв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196,75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Інші прямі витрати, в т.ч.: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181,84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нарахування на ЗП водіїв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43,28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на амортизацію ТЗ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45,32</w:t>
            </w:r>
          </w:p>
        </w:tc>
      </w:tr>
      <w:tr>
        <w:trPr>
          <w:trHeight w:val="417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3.3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на ТО і Р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50,99</w:t>
            </w:r>
          </w:p>
        </w:tc>
      </w:tr>
      <w:tr>
        <w:trPr>
          <w:trHeight w:val="373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ЗП ремонтних робітників з нарахуваннями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42,25</w:t>
            </w:r>
          </w:p>
        </w:tc>
      </w:tr>
      <w:tr>
        <w:trPr>
          <w:trHeight w:val="447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Загальновиробничі витрати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40,21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Виробнича собівартість послуг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977,27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Адміністративні витрати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16,98</w:t>
            </w:r>
          </w:p>
        </w:tc>
      </w:tr>
      <w:tr>
        <w:trPr>
          <w:trHeight w:val="328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Інші витрати операційної діяльності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0,00</w:t>
            </w:r>
            <w:bookmarkStart w:id="0" w:name="_GoBack"/>
            <w:bookmarkEnd w:id="0"/>
          </w:p>
        </w:tc>
      </w:tr>
      <w:tr>
        <w:trPr>
          <w:trHeight w:val="40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операційної діяльності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994,25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Фінансові витрати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1,31</w:t>
            </w:r>
          </w:p>
        </w:tc>
      </w:tr>
      <w:tr>
        <w:trPr>
          <w:trHeight w:val="417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всього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995,56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Рентабельність, %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10,00</w:t>
            </w:r>
          </w:p>
        </w:tc>
      </w:tr>
      <w:tr>
        <w:trPr>
          <w:trHeight w:val="388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Прибуток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99,56</w:t>
            </w:r>
          </w:p>
        </w:tc>
      </w:tr>
      <w:tr>
        <w:trPr>
          <w:trHeight w:val="388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Витрати з рентабельністю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1095,12</w:t>
            </w:r>
          </w:p>
        </w:tc>
      </w:tr>
      <w:tr>
        <w:trPr>
          <w:trHeight w:val="358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Комісія СІТІ Карт (10%)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128,02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Сума витрат із комісією СІТІ Карт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1220,575</w:t>
            </w:r>
          </w:p>
        </w:tc>
      </w:tr>
      <w:tr>
        <w:trPr>
          <w:trHeight w:val="30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69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Розрахунковий тариф</w:t>
            </w:r>
          </w:p>
        </w:tc>
        <w:tc>
          <w:tcPr>
            <w:tcW w:w="17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right"/>
              <w:rPr>
                <w:kern w:val="2"/>
                <w:sz w:val="28"/>
                <w:szCs w:val="28"/>
                <w:lang w:val="en-US" w:bidi="hi-IN"/>
              </w:rPr>
            </w:pPr>
            <w:r>
              <w:rPr>
                <w:sz w:val="28"/>
                <w:szCs w:val="28"/>
              </w:rPr>
              <w:t>7,98</w:t>
            </w:r>
          </w:p>
        </w:tc>
      </w:tr>
    </w:tbl>
    <w:p>
      <w:pPr>
        <w:pStyle w:val="Normal"/>
        <w:rPr>
          <w:rFonts w:cs="Mangal"/>
          <w:kern w:val="2"/>
          <w:sz w:val="28"/>
          <w:szCs w:val="28"/>
          <w:lang w:bidi="hi-IN"/>
        </w:rPr>
      </w:pPr>
      <w:r>
        <w:rPr>
          <w:rFonts w:cs="Mangal"/>
          <w:kern w:val="2"/>
          <w:sz w:val="28"/>
          <w:szCs w:val="28"/>
          <w:lang w:bidi="hi-IN"/>
        </w:rPr>
      </w:r>
    </w:p>
    <w:p>
      <w:pPr>
        <w:pStyle w:val="Normal"/>
        <w:jc w:val="both"/>
        <w:rPr/>
      </w:pPr>
      <w:r>
        <w:rPr/>
        <w:t>Смаль 777 955</w:t>
      </w:r>
    </w:p>
    <w:sectPr>
      <w:type w:val="nextPage"/>
      <w:pgSz w:w="11906" w:h="16838"/>
      <w:pgMar w:left="1984" w:right="567" w:header="0" w:top="624" w:footer="0" w:bottom="851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1080" w:hanging="0"/>
      </w:pPr>
      <w:rPr>
        <w:sz w:val="28"/>
        <w:i w:val="false"/>
        <w:b w:val="false"/>
        <w:szCs w:val="28"/>
        <w:iCs w:val="false"/>
        <w:bCs w:val="false"/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  <w:rPr>
        <w:sz w:val="28"/>
        <w:i w:val="false"/>
        <w:b w:val="false"/>
        <w:szCs w:val="28"/>
        <w:iCs w:val="false"/>
        <w:bCs w:val="false"/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bidi="ar-SA" w:eastAsia="zh-CN"/>
    </w:rPr>
  </w:style>
  <w:style w:type="paragraph" w:styleId="1">
    <w:name w:val="Heading 1"/>
    <w:basedOn w:val="Style11"/>
    <w:next w:val="Style12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Normal"/>
    <w:next w:val="Style12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Style11"/>
    <w:next w:val="Style12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>
      <w:rFonts w:ascii="Times New Roman" w:hAnsi="Times New Roman" w:cs="Times New Roman"/>
      <w:b w:val="false"/>
      <w:bCs w:val="false"/>
      <w:i w:val="false"/>
      <w:iCs w:val="false"/>
      <w:sz w:val="28"/>
      <w:szCs w:val="28"/>
    </w:rPr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>
      <w:rFonts w:ascii="Times New Roman" w:hAnsi="Times New Roman" w:cs="Times New Roman"/>
      <w:b w:val="false"/>
      <w:bCs w:val="false"/>
      <w:i w:val="false"/>
      <w:iCs w:val="false"/>
      <w:sz w:val="28"/>
      <w:szCs w:val="28"/>
    </w:rPr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0" w:customStyle="1">
    <w:name w:val="Номер сторінки"/>
    <w:basedOn w:val="DefaultParagraphFont"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next w:val="Normal"/>
    <w:qFormat/>
    <w:pPr>
      <w:jc w:val="center"/>
    </w:pPr>
    <w:rPr>
      <w:b/>
      <w:bCs/>
      <w:spacing w:val="20"/>
      <w:sz w:val="32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 w:customStyle="1">
    <w:name w:val="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Tjbmf" w:customStyle="1">
    <w:name w:val="tj bmf"/>
    <w:basedOn w:val="Normal"/>
    <w:qFormat/>
    <w:pPr>
      <w:spacing w:before="280" w:after="280"/>
    </w:pPr>
    <w:rPr>
      <w:lang w:val="ru-RU"/>
    </w:rPr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11" w:customStyle="1">
    <w:name w:val="Знак1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0" w:customStyle="1">
    <w:name w:val="Вміст рамки"/>
    <w:basedOn w:val="Normal"/>
    <w:qFormat/>
    <w:pPr/>
    <w:rPr/>
  </w:style>
  <w:style w:type="paragraph" w:styleId="ListParagraph">
    <w:name w:val="List Paragraph"/>
    <w:basedOn w:val="Normal"/>
    <w:uiPriority w:val="34"/>
    <w:qFormat/>
    <w:rsid w:val="0089373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Application>LibreOffice/7.0.0.3$Windows_x86 LibreOffice_project/8061b3e9204bef6b321a21033174034a5e2ea88e</Application>
  <Pages>3</Pages>
  <Words>655</Words>
  <Characters>4099</Characters>
  <CharactersWithSpaces>4743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2017-02-13T13:43:00Z</dcterms:created>
  <dc:creator>kulyk</dc:creator>
  <dc:description/>
  <dc:language>ru-RU</dc:language>
  <cp:lastModifiedBy/>
  <cp:lastPrinted>1995-11-21T17:41:00Z</cp:lastPrinted>
  <dcterms:modified xsi:type="dcterms:W3CDTF">2021-10-18T09:20:15Z</dcterms:modified>
  <cp:revision>79</cp:revision>
  <dc:subject/>
  <dc:title>Голові Волинського обласного територіального відділення Антимонопольного комітету України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