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7682" w:rsidRDefault="00287682" w:rsidP="00C14EEF">
      <w:pPr>
        <w:pStyle w:val="HydrophilStandard"/>
        <w:spacing w:after="0"/>
        <w:contextualSpacing w:val="0"/>
      </w:pPr>
      <w:bookmarkStart w:id="0" w:name="_GoBack"/>
      <w:bookmarkEnd w:id="0"/>
    </w:p>
    <w:p w:rsidR="00EB5D32" w:rsidRDefault="00EB5D32" w:rsidP="00C14EEF">
      <w:pPr>
        <w:tabs>
          <w:tab w:val="left" w:pos="7735"/>
        </w:tabs>
      </w:pPr>
    </w:p>
    <w:p w:rsidR="00EB5D32" w:rsidRDefault="00EB5D32" w:rsidP="00C14EEF">
      <w:pPr>
        <w:tabs>
          <w:tab w:val="left" w:pos="7735"/>
        </w:tabs>
      </w:pPr>
    </w:p>
    <w:p w:rsidR="00EB5D32" w:rsidRDefault="00EB5D32" w:rsidP="00C14EEF">
      <w:pPr>
        <w:tabs>
          <w:tab w:val="left" w:pos="7735"/>
        </w:tabs>
      </w:pPr>
    </w:p>
    <w:p w:rsidR="00EB5D32" w:rsidRDefault="00EB5D32" w:rsidP="00C14EEF">
      <w:pPr>
        <w:tabs>
          <w:tab w:val="left" w:pos="7735"/>
        </w:tabs>
      </w:pPr>
    </w:p>
    <w:p w:rsidR="00533D26" w:rsidRPr="0064329D" w:rsidRDefault="00CB1B48" w:rsidP="00C14EEF">
      <w:pPr>
        <w:tabs>
          <w:tab w:val="left" w:pos="7735"/>
        </w:tabs>
        <w:sectPr w:rsidR="00533D26" w:rsidRPr="0064329D" w:rsidSect="00EB5D32">
          <w:headerReference w:type="default" r:id="rId13"/>
          <w:footerReference w:type="default" r:id="rId14"/>
          <w:pgSz w:w="11906" w:h="16838" w:code="9"/>
          <w:pgMar w:top="1418" w:right="851" w:bottom="851" w:left="1418" w:header="567" w:footer="454" w:gutter="0"/>
          <w:cols w:space="720"/>
          <w:docGrid w:linePitch="299"/>
        </w:sectPr>
      </w:pPr>
      <w:r w:rsidRPr="0064329D">
        <w:rPr>
          <w:noProof/>
          <w:lang w:eastAsia="uk-UA"/>
        </w:rPr>
        <mc:AlternateContent>
          <mc:Choice Requires="wps">
            <w:drawing>
              <wp:anchor distT="0" distB="0" distL="114300" distR="114300" simplePos="0" relativeHeight="251748352" behindDoc="0" locked="0" layoutInCell="1" allowOverlap="1" wp14:anchorId="52A09F50" wp14:editId="770CB253">
                <wp:simplePos x="0" y="0"/>
                <wp:positionH relativeFrom="page">
                  <wp:posOffset>914400</wp:posOffset>
                </wp:positionH>
                <wp:positionV relativeFrom="page">
                  <wp:posOffset>2296160</wp:posOffset>
                </wp:positionV>
                <wp:extent cx="6123305" cy="2000250"/>
                <wp:effectExtent l="0" t="0" r="10795" b="0"/>
                <wp:wrapTight wrapText="bothSides">
                  <wp:wrapPolygon edited="0">
                    <wp:start x="0" y="0"/>
                    <wp:lineTo x="0" y="21394"/>
                    <wp:lineTo x="21571" y="21394"/>
                    <wp:lineTo x="21571" y="0"/>
                    <wp:lineTo x="0" y="0"/>
                  </wp:wrapPolygon>
                </wp:wrapTight>
                <wp:docPr id="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3305" cy="2000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6342" w:rsidRPr="006B4E58" w:rsidRDefault="00586342" w:rsidP="008269E7">
                            <w:pPr>
                              <w:pStyle w:val="Cover-Sektionen"/>
                              <w:spacing w:beforeLines="60" w:before="144" w:after="60" w:line="240" w:lineRule="auto"/>
                              <w:rPr>
                                <w:b w:val="0"/>
                                <w:bCs w:val="0"/>
                                <w:sz w:val="22"/>
                                <w:szCs w:val="22"/>
                              </w:rPr>
                            </w:pPr>
                            <w:r>
                              <w:rPr>
                                <w:b w:val="0"/>
                                <w:bCs w:val="0"/>
                                <w:sz w:val="22"/>
                                <w:szCs w:val="22"/>
                              </w:rPr>
                              <w:t>Бенефіціар:</w:t>
                            </w:r>
                          </w:p>
                          <w:p w:rsidR="00586342" w:rsidRDefault="000718A2" w:rsidP="008269E7">
                            <w:pPr>
                              <w:pStyle w:val="Cover-Sektionen"/>
                              <w:spacing w:beforeLines="60" w:before="144" w:after="60" w:line="240" w:lineRule="auto"/>
                            </w:pPr>
                            <w:sdt>
                              <w:sdtPr>
                                <w:alias w:val="Бенефіціар"/>
                                <w:id w:val="852995783"/>
                                <w:dataBinding w:prefixMappings="xmlns:ns0='http://schemas.openxmlformats.org/officeDocument/2006/extended-properties' " w:xpath="/ns0:Properties[1]/ns0:Company[1]" w:storeItemID="{6668398D-A668-4E3E-A5EB-62B293D839F1}"/>
                                <w:text w:multiLine="1"/>
                              </w:sdtPr>
                              <w:sdtEndPr/>
                              <w:sdtContent>
                                <w:r w:rsidR="00586342">
                                  <w:t>КП Луцькводоканал</w:t>
                                </w:r>
                              </w:sdtContent>
                            </w:sdt>
                          </w:p>
                          <w:p w:rsidR="00586342" w:rsidRPr="006B4E58" w:rsidRDefault="00586342" w:rsidP="008269E7">
                            <w:pPr>
                              <w:pStyle w:val="Cover-Sektionen"/>
                              <w:spacing w:beforeLines="60" w:before="144" w:after="60" w:line="240" w:lineRule="auto"/>
                              <w:rPr>
                                <w:b w:val="0"/>
                                <w:bCs w:val="0"/>
                                <w:sz w:val="22"/>
                                <w:szCs w:val="22"/>
                              </w:rPr>
                            </w:pPr>
                            <w:r>
                              <w:rPr>
                                <w:b w:val="0"/>
                                <w:bCs w:val="0"/>
                                <w:sz w:val="22"/>
                                <w:szCs w:val="22"/>
                              </w:rPr>
                              <w:t>Назва проекту:</w:t>
                            </w:r>
                          </w:p>
                          <w:p w:rsidR="00586342" w:rsidRPr="006B4E58" w:rsidRDefault="000718A2" w:rsidP="00586342">
                            <w:pPr>
                              <w:pStyle w:val="Cover-Sektionen"/>
                              <w:spacing w:beforeLines="60" w:before="144" w:after="60" w:line="240" w:lineRule="auto"/>
                              <w:jc w:val="left"/>
                            </w:pPr>
                            <w:sdt>
                              <w:sdtPr>
                                <w:rPr>
                                  <w:rFonts w:ascii="Arial Narrow" w:eastAsia="Arial" w:hAnsi="Arial Narrow" w:cs="Arial"/>
                                  <w:color w:val="AADC13"/>
                                  <w:szCs w:val="22"/>
                                </w:rPr>
                                <w:alias w:val="Назва проекту"/>
                                <w:tag w:val="ProjectTitle"/>
                                <w:id w:val="873662919"/>
                                <w:dataBinding w:prefixMappings="xmlns:ns0='http://purl.org/dc/elements/1.1/' xmlns:ns1='http://schemas.openxmlformats.org/package/2006/metadata/core-properties' " w:xpath="/ns1:coreProperties[1]/ns0:subject[1]" w:storeItemID="{6C3C8BC8-F283-45AE-878A-BAB7291924A1}"/>
                                <w:text w:multiLine="1"/>
                              </w:sdtPr>
                              <w:sdtEndPr/>
                              <w:sdtContent>
                                <w:r w:rsidR="00586342">
                                  <w:rPr>
                                    <w:rFonts w:ascii="Arial Narrow" w:eastAsia="Arial" w:hAnsi="Arial Narrow" w:cs="Arial"/>
                                    <w:color w:val="AADC13"/>
                                    <w:szCs w:val="22"/>
                                  </w:rPr>
                                  <w:t xml:space="preserve">Технічна підтримка підготовки проектів з водопідготовки в місті Луцьк та Рівне, Україна - </w:t>
                                </w:r>
                                <w:r w:rsidR="00586342">
                                  <w:rPr>
                                    <w:rFonts w:ascii="Arial Narrow" w:eastAsia="Arial" w:hAnsi="Arial Narrow" w:cs="Arial"/>
                                    <w:color w:val="AADC13"/>
                                    <w:szCs w:val="22"/>
                                  </w:rPr>
                                  <w:br/>
                                  <w:t>TA 2018219 UA NIF – 2_Vol_052 - м. Луцьк</w:t>
                                </w:r>
                              </w:sdtContent>
                            </w:sdt>
                            <w:r w:rsidR="00586342" w:rsidRPr="006B4E58">
                              <w:fldChar w:fldCharType="begin"/>
                            </w:r>
                            <w:r w:rsidR="00586342" w:rsidRPr="006B4E58">
                              <w:instrText xml:space="preserve">  </w:instrText>
                            </w:r>
                            <w:r w:rsidR="00586342" w:rsidRPr="006B4E58">
                              <w:fldChar w:fldCharType="end"/>
                            </w:r>
                          </w:p>
                          <w:p w:rsidR="00586342" w:rsidRPr="006B4E58" w:rsidRDefault="00586342" w:rsidP="006B4E58">
                            <w:pPr>
                              <w:pStyle w:val="Cover-Sektionen"/>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A09F50" id="_x0000_t202" coordsize="21600,21600" o:spt="202" path="m,l,21600r21600,l21600,xe">
                <v:stroke joinstyle="miter"/>
                <v:path gradientshapeok="t" o:connecttype="rect"/>
              </v:shapetype>
              <v:shape id="Text Box 3" o:spid="_x0000_s1026" type="#_x0000_t202" style="position:absolute;left:0;text-align:left;margin-left:1in;margin-top:180.8pt;width:482.15pt;height:157.5pt;z-index:251748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" filled="f" stroked="f">
                <v:textbox inset="0,0,0,0">
                  <w:txbxContent>
                    <w:p w:rsidR="00586342" w:rsidRPr="006B4E58" w:rsidRDefault="00586342" w:rsidP="008269E7">
                      <w:pPr>
                        <w:pStyle w:val="Cover-Sektionen"/>
                        <w:spacing w:beforeLines="60" w:before="144" w:after="60" w:line="240" w:lineRule="auto"/>
                        <w:rPr>
                          <w:b w:val="0"/>
                          <w:bCs w:val="0"/>
                          <w:sz w:val="22"/>
                          <w:szCs w:val="22"/>
                        </w:rPr>
                      </w:pPr>
                      <w:r>
                        <w:rPr>
                          <w:b w:val="0"/>
                          <w:bCs w:val="0"/>
                          <w:sz w:val="22"/>
                          <w:szCs w:val="22"/>
                        </w:rPr>
                        <w:t>Бенефіціар:</w:t>
                      </w:r>
                    </w:p>
                    <w:p w:rsidR="00586342" w:rsidRDefault="000718A2" w:rsidP="008269E7">
                      <w:pPr>
                        <w:pStyle w:val="Cover-Sektionen"/>
                        <w:spacing w:beforeLines="60" w:before="144" w:after="60" w:line="240" w:lineRule="auto"/>
                      </w:pPr>
                      <w:sdt>
                        <w:sdtPr>
                          <w:alias w:val="Бенефіціар"/>
                          <w:id w:val="852995783"/>
                          <w:dataBinding w:prefixMappings="xmlns:ns0='http://schemas.openxmlformats.org/officeDocument/2006/extended-properties' " w:xpath="/ns0:Properties[1]/ns0:Company[1]" w:storeItemID="{6668398D-A668-4E3E-A5EB-62B293D839F1}"/>
                          <w:text w:multiLine="1"/>
                        </w:sdtPr>
                        <w:sdtEndPr/>
                        <w:sdtContent>
                          <w:r w:rsidR="00586342">
                            <w:t>КП Луцькводоканал</w:t>
                          </w:r>
                        </w:sdtContent>
                      </w:sdt>
                    </w:p>
                    <w:p w:rsidR="00586342" w:rsidRPr="006B4E58" w:rsidRDefault="00586342" w:rsidP="008269E7">
                      <w:pPr>
                        <w:pStyle w:val="Cover-Sektionen"/>
                        <w:spacing w:beforeLines="60" w:before="144" w:after="60" w:line="240" w:lineRule="auto"/>
                        <w:rPr>
                          <w:b w:val="0"/>
                          <w:bCs w:val="0"/>
                          <w:sz w:val="22"/>
                          <w:szCs w:val="22"/>
                        </w:rPr>
                      </w:pPr>
                      <w:r>
                        <w:rPr>
                          <w:b w:val="0"/>
                          <w:bCs w:val="0"/>
                          <w:sz w:val="22"/>
                          <w:szCs w:val="22"/>
                        </w:rPr>
                        <w:t>Назва проекту:</w:t>
                      </w:r>
                    </w:p>
                    <w:p w:rsidR="00586342" w:rsidRPr="006B4E58" w:rsidRDefault="000718A2" w:rsidP="00586342">
                      <w:pPr>
                        <w:pStyle w:val="Cover-Sektionen"/>
                        <w:spacing w:beforeLines="60" w:before="144" w:after="60" w:line="240" w:lineRule="auto"/>
                        <w:jc w:val="left"/>
                      </w:pPr>
                      <w:sdt>
                        <w:sdtPr>
                          <w:rPr>
                            <w:rFonts w:ascii="Arial Narrow" w:eastAsia="Arial" w:hAnsi="Arial Narrow" w:cs="Arial"/>
                            <w:color w:val="AADC13"/>
                            <w:szCs w:val="22"/>
                          </w:rPr>
                          <w:alias w:val="Назва проекту"/>
                          <w:tag w:val="ProjectTitle"/>
                          <w:id w:val="873662919"/>
                          <w:dataBinding w:prefixMappings="xmlns:ns0='http://purl.org/dc/elements/1.1/' xmlns:ns1='http://schemas.openxmlformats.org/package/2006/metadata/core-properties' " w:xpath="/ns1:coreProperties[1]/ns0:subject[1]" w:storeItemID="{6C3C8BC8-F283-45AE-878A-BAB7291924A1}"/>
                          <w:text w:multiLine="1"/>
                        </w:sdtPr>
                        <w:sdtEndPr/>
                        <w:sdtContent>
                          <w:r w:rsidR="00586342">
                            <w:rPr>
                              <w:rFonts w:ascii="Arial Narrow" w:eastAsia="Arial" w:hAnsi="Arial Narrow" w:cs="Arial"/>
                              <w:color w:val="AADC13"/>
                              <w:szCs w:val="22"/>
                            </w:rPr>
                            <w:t xml:space="preserve">Технічна підтримка підготовки проектів з водопідготовки в місті Луцьк та Рівне, Україна - </w:t>
                          </w:r>
                          <w:r w:rsidR="00586342">
                            <w:rPr>
                              <w:rFonts w:ascii="Arial Narrow" w:eastAsia="Arial" w:hAnsi="Arial Narrow" w:cs="Arial"/>
                              <w:color w:val="AADC13"/>
                              <w:szCs w:val="22"/>
                            </w:rPr>
                            <w:br/>
                            <w:t>TA 2018219 UA NIF – 2_Vol_052 - м. Луцьк</w:t>
                          </w:r>
                        </w:sdtContent>
                      </w:sdt>
                      <w:r w:rsidR="00586342" w:rsidRPr="006B4E58">
                        <w:fldChar w:fldCharType="begin"/>
                      </w:r>
                      <w:r w:rsidR="00586342" w:rsidRPr="006B4E58">
                        <w:instrText xml:space="preserve">  </w:instrText>
                      </w:r>
                      <w:r w:rsidR="00586342" w:rsidRPr="006B4E58">
                        <w:fldChar w:fldCharType="end"/>
                      </w:r>
                    </w:p>
                    <w:p w:rsidR="00586342" w:rsidRPr="006B4E58" w:rsidRDefault="00586342" w:rsidP="006B4E58">
                      <w:pPr>
                        <w:pStyle w:val="Cover-Sektionen"/>
                      </w:pPr>
                    </w:p>
                  </w:txbxContent>
                </v:textbox>
                <w10:wrap type="tight" anchorx="page" anchory="page"/>
              </v:shape>
            </w:pict>
          </mc:Fallback>
        </mc:AlternateContent>
      </w:r>
      <w:r w:rsidR="008106E3" w:rsidRPr="0064329D">
        <w:rPr>
          <w:noProof/>
          <w:lang w:eastAsia="uk-UA"/>
        </w:rPr>
        <mc:AlternateContent>
          <mc:Choice Requires="wps">
            <w:drawing>
              <wp:anchor distT="0" distB="0" distL="114300" distR="114300" simplePos="0" relativeHeight="251716608" behindDoc="0" locked="0" layoutInCell="1" allowOverlap="1" wp14:anchorId="3D221A6E" wp14:editId="605CC699">
                <wp:simplePos x="0" y="0"/>
                <wp:positionH relativeFrom="page">
                  <wp:posOffset>1085850</wp:posOffset>
                </wp:positionH>
                <wp:positionV relativeFrom="page">
                  <wp:posOffset>7524749</wp:posOffset>
                </wp:positionV>
                <wp:extent cx="5839460" cy="2695575"/>
                <wp:effectExtent l="0" t="0" r="8890" b="9525"/>
                <wp:wrapTight wrapText="bothSides">
                  <wp:wrapPolygon edited="0">
                    <wp:start x="0" y="0"/>
                    <wp:lineTo x="0" y="21524"/>
                    <wp:lineTo x="21562" y="21524"/>
                    <wp:lineTo x="21562" y="0"/>
                    <wp:lineTo x="0" y="0"/>
                  </wp:wrapPolygon>
                </wp:wrapTight>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9460" cy="269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6342" w:rsidRPr="006B4E58" w:rsidRDefault="000718A2" w:rsidP="00DC73E2">
                            <w:pPr>
                              <w:pStyle w:val="Cover-Sektionen"/>
                              <w:spacing w:before="0" w:line="240" w:lineRule="auto"/>
                              <w:contextualSpacing w:val="0"/>
                              <w:jc w:val="left"/>
                              <w:rPr>
                                <w:sz w:val="60"/>
                                <w:szCs w:val="60"/>
                              </w:rPr>
                            </w:pPr>
                            <w:sdt>
                              <w:sdtPr>
                                <w:rPr>
                                  <w:sz w:val="60"/>
                                  <w:szCs w:val="60"/>
                                </w:rPr>
                                <w:alias w:val="Назва"/>
                                <w:tag w:val="Title"/>
                                <w:id w:val="1761563691"/>
                                <w:dataBinding w:prefixMappings="xmlns:ns0='http://purl.org/dc/elements/1.1/' xmlns:ns1='http://schemas.openxmlformats.org/package/2006/metadata/core-properties' " w:xpath="/ns1:coreProperties[1]/ns0:title[1]" w:storeItemID="{6C3C8BC8-F283-45AE-878A-BAB7291924A1}"/>
                                <w:text w:multiLine="1"/>
                              </w:sdtPr>
                              <w:sdtEndPr/>
                              <w:sdtContent>
                                <w:r w:rsidR="00586342">
                                  <w:rPr>
                                    <w:sz w:val="60"/>
                                    <w:szCs w:val="60"/>
                                  </w:rPr>
                                  <w:t xml:space="preserve">Фінансово-економічний звіт </w:t>
                                </w:r>
                                <w:r w:rsidR="00DC73E2">
                                  <w:rPr>
                                    <w:sz w:val="60"/>
                                    <w:szCs w:val="60"/>
                                  </w:rPr>
                                  <w:br/>
                                </w:r>
                                <w:r w:rsidR="00586342">
                                  <w:rPr>
                                    <w:sz w:val="60"/>
                                    <w:szCs w:val="60"/>
                                  </w:rPr>
                                  <w:t>КП Луцькводоканал</w:t>
                                </w:r>
                              </w:sdtContent>
                            </w:sdt>
                          </w:p>
                          <w:p w:rsidR="00586342" w:rsidRPr="006B4E58" w:rsidRDefault="00586342" w:rsidP="000A0CE5">
                            <w:pPr>
                              <w:pStyle w:val="Cover-Sektionen"/>
                              <w:spacing w:before="0" w:line="240" w:lineRule="auto"/>
                              <w:contextualSpacing w:val="0"/>
                              <w:rPr>
                                <w:b w:val="0"/>
                                <w:bCs w:val="0"/>
                                <w:color w:val="030F40" w:themeColor="text2"/>
                                <w:sz w:val="22"/>
                                <w:szCs w:val="22"/>
                              </w:rPr>
                            </w:pPr>
                            <w:r>
                              <w:rPr>
                                <w:b w:val="0"/>
                                <w:bCs w:val="0"/>
                                <w:color w:val="030F40" w:themeColor="text2"/>
                                <w:sz w:val="22"/>
                                <w:szCs w:val="22"/>
                              </w:rPr>
                              <w:t>Звітний період:</w:t>
                            </w:r>
                          </w:p>
                          <w:p w:rsidR="00586342" w:rsidRDefault="00586342" w:rsidP="000A0CE5">
                            <w:pPr>
                              <w:pStyle w:val="Cover-Sektionen"/>
                              <w:spacing w:before="0" w:line="240" w:lineRule="auto"/>
                              <w:contextualSpacing w:val="0"/>
                            </w:pPr>
                            <w:r>
                              <w:t>11.10.2019 – 07.05.2020</w:t>
                            </w:r>
                          </w:p>
                          <w:p w:rsidR="00586342" w:rsidRPr="006B4E58" w:rsidRDefault="00586342" w:rsidP="000A0CE5">
                            <w:pPr>
                              <w:pStyle w:val="HydrophilStandard"/>
                              <w:contextualSpacing w:val="0"/>
                              <w:rPr>
                                <w:b/>
                                <w:bCs/>
                                <w:color w:val="030F40" w:themeColor="text2"/>
                              </w:rPr>
                            </w:pPr>
                            <w:r>
                              <w:rPr>
                                <w:b/>
                                <w:bCs/>
                                <w:color w:val="030F40" w:themeColor="text2"/>
                              </w:rPr>
                              <w:t xml:space="preserve">Подано: </w:t>
                            </w:r>
                            <w:sdt>
                              <w:sdtPr>
                                <w:rPr>
                                  <w:b/>
                                  <w:bCs/>
                                  <w:color w:val="AADC14" w:themeColor="text1"/>
                                </w:rPr>
                                <w:alias w:val="Дата подання"/>
                                <w:tag w:val="Abgabedatum"/>
                                <w:id w:val="506636656"/>
                                <w:dataBinding w:prefixMappings="xmlns:ns0='http://schemas.microsoft.com/office/2006/coverPageProps' " w:xpath="/ns0:CoverPageProperties[1]/ns0:PublishDate[1]" w:storeItemID="{55AF091B-3C7A-41E3-B477-F2FDAA23CFDA}"/>
                                <w:date w:fullDate="2020-06-23T00:00:00Z">
                                  <w:dateFormat w:val="dd.MM.yyyy"/>
                                  <w:lid w:val="uk-UA"/>
                                  <w:storeMappedDataAs w:val="dateTime"/>
                                  <w:calendar w:val="gregorian"/>
                                </w:date>
                              </w:sdtPr>
                              <w:sdtEndPr/>
                              <w:sdtContent>
                                <w:r>
                                  <w:t>23.06.2020</w:t>
                                </w:r>
                              </w:sdtContent>
                            </w:sdt>
                          </w:p>
                          <w:p w:rsidR="00586342" w:rsidRPr="006B4E58" w:rsidRDefault="00586342" w:rsidP="000A0CE5">
                            <w:pPr>
                              <w:pStyle w:val="HydrophilStandard"/>
                              <w:contextualSpacing w:val="0"/>
                              <w:rPr>
                                <w:b/>
                                <w:bCs/>
                                <w:color w:val="030F40" w:themeColor="text2"/>
                              </w:rPr>
                            </w:pPr>
                            <w:r>
                              <w:rPr>
                                <w:b/>
                                <w:bCs/>
                                <w:color w:val="030F40" w:themeColor="text2"/>
                              </w:rPr>
                              <w:t xml:space="preserve">Ред.: </w:t>
                            </w:r>
                            <w:sdt>
                              <w:sdtPr>
                                <w:rPr>
                                  <w:b/>
                                  <w:bCs/>
                                  <w:color w:val="AADC14" w:themeColor="text1"/>
                                </w:rPr>
                                <w:alias w:val="Стан"/>
                                <w:tag w:val="Status"/>
                                <w:id w:val="-2051219262"/>
                                <w:dataBinding w:prefixMappings="xmlns:ns0='http://purl.org/dc/elements/1.1/' xmlns:ns1='http://schemas.openxmlformats.org/package/2006/metadata/core-properties' " w:xpath="/ns1:coreProperties[1]/ns1:contentStatus[1]" w:storeItemID="{6C3C8BC8-F283-45AE-878A-BAB7291924A1}"/>
                                <w:text w:multiLine="1"/>
                              </w:sdtPr>
                              <w:sdtEndPr/>
                              <w:sdtContent>
                                <w:r>
                                  <w:rPr>
                                    <w:b/>
                                    <w:bCs/>
                                    <w:color w:val="AADC14" w:themeColor="text1"/>
                                  </w:rPr>
                                  <w:t>04</w:t>
                                </w:r>
                              </w:sdtContent>
                            </w:sdt>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221A6E" id="_x0000_s1027" type="#_x0000_t202" style="position:absolute;left:0;text-align:left;margin-left:85.5pt;margin-top:592.5pt;width:459.8pt;height:212.25pt;z-index:251716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jLsAIAALI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" filled="f" stroked="f">
                <v:textbox inset="0,0,0,0">
                  <w:txbxContent>
                    <w:p w:rsidR="00586342" w:rsidRPr="006B4E58" w:rsidRDefault="000718A2" w:rsidP="00DC73E2">
                      <w:pPr>
                        <w:pStyle w:val="Cover-Sektionen"/>
                        <w:spacing w:before="0" w:line="240" w:lineRule="auto"/>
                        <w:contextualSpacing w:val="0"/>
                        <w:jc w:val="left"/>
                        <w:rPr>
                          <w:sz w:val="60"/>
                          <w:szCs w:val="60"/>
                        </w:rPr>
                      </w:pPr>
                      <w:sdt>
                        <w:sdtPr>
                          <w:rPr>
                            <w:sz w:val="60"/>
                            <w:szCs w:val="60"/>
                          </w:rPr>
                          <w:alias w:val="Назва"/>
                          <w:tag w:val="Title"/>
                          <w:id w:val="1761563691"/>
                          <w:dataBinding w:prefixMappings="xmlns:ns0='http://purl.org/dc/elements/1.1/' xmlns:ns1='http://schemas.openxmlformats.org/package/2006/metadata/core-properties' " w:xpath="/ns1:coreProperties[1]/ns0:title[1]" w:storeItemID="{6C3C8BC8-F283-45AE-878A-BAB7291924A1}"/>
                          <w:text w:multiLine="1"/>
                        </w:sdtPr>
                        <w:sdtEndPr/>
                        <w:sdtContent>
                          <w:r w:rsidR="00586342">
                            <w:rPr>
                              <w:sz w:val="60"/>
                              <w:szCs w:val="60"/>
                            </w:rPr>
                            <w:t xml:space="preserve">Фінансово-економічний звіт </w:t>
                          </w:r>
                          <w:r w:rsidR="00DC73E2">
                            <w:rPr>
                              <w:sz w:val="60"/>
                              <w:szCs w:val="60"/>
                            </w:rPr>
                            <w:br/>
                          </w:r>
                          <w:r w:rsidR="00586342">
                            <w:rPr>
                              <w:sz w:val="60"/>
                              <w:szCs w:val="60"/>
                            </w:rPr>
                            <w:t>КП Луцькводоканал</w:t>
                          </w:r>
                        </w:sdtContent>
                      </w:sdt>
                    </w:p>
                    <w:p w:rsidR="00586342" w:rsidRPr="006B4E58" w:rsidRDefault="00586342" w:rsidP="000A0CE5">
                      <w:pPr>
                        <w:pStyle w:val="Cover-Sektionen"/>
                        <w:spacing w:before="0" w:line="240" w:lineRule="auto"/>
                        <w:contextualSpacing w:val="0"/>
                        <w:rPr>
                          <w:b w:val="0"/>
                          <w:bCs w:val="0"/>
                          <w:color w:val="030F40" w:themeColor="text2"/>
                          <w:sz w:val="22"/>
                          <w:szCs w:val="22"/>
                        </w:rPr>
                      </w:pPr>
                      <w:r>
                        <w:rPr>
                          <w:b w:val="0"/>
                          <w:bCs w:val="0"/>
                          <w:color w:val="030F40" w:themeColor="text2"/>
                          <w:sz w:val="22"/>
                          <w:szCs w:val="22"/>
                        </w:rPr>
                        <w:t>Звітний період:</w:t>
                      </w:r>
                    </w:p>
                    <w:p w:rsidR="00586342" w:rsidRDefault="00586342" w:rsidP="000A0CE5">
                      <w:pPr>
                        <w:pStyle w:val="Cover-Sektionen"/>
                        <w:spacing w:before="0" w:line="240" w:lineRule="auto"/>
                        <w:contextualSpacing w:val="0"/>
                      </w:pPr>
                      <w:r>
                        <w:t>11.10.2019 – 07.05.2020</w:t>
                      </w:r>
                    </w:p>
                    <w:p w:rsidR="00586342" w:rsidRPr="006B4E58" w:rsidRDefault="00586342" w:rsidP="000A0CE5">
                      <w:pPr>
                        <w:pStyle w:val="HydrophilStandard"/>
                        <w:contextualSpacing w:val="0"/>
                        <w:rPr>
                          <w:b/>
                          <w:bCs/>
                          <w:color w:val="030F40" w:themeColor="text2"/>
                        </w:rPr>
                      </w:pPr>
                      <w:r>
                        <w:rPr>
                          <w:b/>
                          <w:bCs/>
                          <w:color w:val="030F40" w:themeColor="text2"/>
                        </w:rPr>
                        <w:t xml:space="preserve">Подано: </w:t>
                      </w:r>
                      <w:sdt>
                        <w:sdtPr>
                          <w:rPr>
                            <w:b/>
                            <w:bCs/>
                            <w:color w:val="AADC14" w:themeColor="text1"/>
                          </w:rPr>
                          <w:alias w:val="Дата подання"/>
                          <w:tag w:val="Abgabedatum"/>
                          <w:id w:val="506636656"/>
                          <w:dataBinding w:prefixMappings="xmlns:ns0='http://schemas.microsoft.com/office/2006/coverPageProps' " w:xpath="/ns0:CoverPageProperties[1]/ns0:PublishDate[1]" w:storeItemID="{55AF091B-3C7A-41E3-B477-F2FDAA23CFDA}"/>
                          <w:date w:fullDate="2020-06-23T00:00:00Z">
                            <w:dateFormat w:val="dd.MM.yyyy"/>
                            <w:lid w:val="uk-UA"/>
                            <w:storeMappedDataAs w:val="dateTime"/>
                            <w:calendar w:val="gregorian"/>
                          </w:date>
                        </w:sdtPr>
                        <w:sdtEndPr/>
                        <w:sdtContent>
                          <w:r>
                            <w:t>23.06.2020</w:t>
                          </w:r>
                        </w:sdtContent>
                      </w:sdt>
                    </w:p>
                    <w:p w:rsidR="00586342" w:rsidRPr="006B4E58" w:rsidRDefault="00586342" w:rsidP="000A0CE5">
                      <w:pPr>
                        <w:pStyle w:val="HydrophilStandard"/>
                        <w:contextualSpacing w:val="0"/>
                        <w:rPr>
                          <w:b/>
                          <w:bCs/>
                          <w:color w:val="030F40" w:themeColor="text2"/>
                        </w:rPr>
                      </w:pPr>
                      <w:r>
                        <w:rPr>
                          <w:b/>
                          <w:bCs/>
                          <w:color w:val="030F40" w:themeColor="text2"/>
                        </w:rPr>
                        <w:t xml:space="preserve">Ред.: </w:t>
                      </w:r>
                      <w:sdt>
                        <w:sdtPr>
                          <w:rPr>
                            <w:b/>
                            <w:bCs/>
                            <w:color w:val="AADC14" w:themeColor="text1"/>
                          </w:rPr>
                          <w:alias w:val="Стан"/>
                          <w:tag w:val="Status"/>
                          <w:id w:val="-2051219262"/>
                          <w:dataBinding w:prefixMappings="xmlns:ns0='http://purl.org/dc/elements/1.1/' xmlns:ns1='http://schemas.openxmlformats.org/package/2006/metadata/core-properties' " w:xpath="/ns1:coreProperties[1]/ns1:contentStatus[1]" w:storeItemID="{6C3C8BC8-F283-45AE-878A-BAB7291924A1}"/>
                          <w:text w:multiLine="1"/>
                        </w:sdtPr>
                        <w:sdtEndPr/>
                        <w:sdtContent>
                          <w:r>
                            <w:rPr>
                              <w:b/>
                              <w:bCs/>
                              <w:color w:val="AADC14" w:themeColor="text1"/>
                            </w:rPr>
                            <w:t>04</w:t>
                          </w:r>
                        </w:sdtContent>
                      </w:sdt>
                    </w:p>
                  </w:txbxContent>
                </v:textbox>
                <w10:wrap type="tight" anchorx="page" anchory="page"/>
              </v:shape>
            </w:pict>
          </mc:Fallback>
        </mc:AlternateContent>
      </w:r>
    </w:p>
    <w:p w:rsidR="00E4673A" w:rsidRPr="0064329D" w:rsidRDefault="00E4673A" w:rsidP="00C14EEF"/>
    <w:p w:rsidR="00E82E70" w:rsidRPr="0064329D" w:rsidRDefault="00E82E70" w:rsidP="00C14EEF"/>
    <w:p w:rsidR="00E4673A" w:rsidRPr="0064329D" w:rsidRDefault="00E4673A" w:rsidP="00C14EEF">
      <w:pPr>
        <w:pStyle w:val="HydrophilStandard"/>
        <w:spacing w:after="0"/>
        <w:contextualSpacing w:val="0"/>
        <w:rPr>
          <w:noProof w:val="0"/>
          <w:lang w:val="en-GB"/>
        </w:rPr>
        <w:sectPr w:rsidR="00E4673A" w:rsidRPr="0064329D" w:rsidSect="00EB5D32">
          <w:headerReference w:type="default" r:id="rId15"/>
          <w:footerReference w:type="default" r:id="rId16"/>
          <w:pgSz w:w="11906" w:h="16838" w:code="9"/>
          <w:pgMar w:top="1418" w:right="851" w:bottom="851" w:left="1418" w:header="567" w:footer="454" w:gutter="0"/>
          <w:pgNumType w:fmt="upperRoman" w:start="1"/>
          <w:cols w:space="720"/>
          <w:docGrid w:linePitch="299"/>
        </w:sectPr>
      </w:pPr>
    </w:p>
    <w:p w:rsidR="0012071A" w:rsidRPr="0064329D" w:rsidRDefault="0012071A" w:rsidP="00C14EEF">
      <w:pPr>
        <w:pStyle w:val="HydrophilStandard"/>
        <w:spacing w:after="0"/>
        <w:contextualSpacing w:val="0"/>
        <w:rPr>
          <w:noProof w:val="0"/>
          <w:lang w:val="en-GB"/>
        </w:rPr>
      </w:pPr>
    </w:p>
    <w:p w:rsidR="0012071A" w:rsidRPr="0064329D" w:rsidRDefault="0012071A" w:rsidP="00C14EEF">
      <w:pPr>
        <w:pStyle w:val="HydrophilStandard"/>
        <w:spacing w:after="0"/>
        <w:contextualSpacing w:val="0"/>
        <w:rPr>
          <w:noProof w:val="0"/>
          <w:lang w:val="en-GB"/>
        </w:rPr>
      </w:pPr>
    </w:p>
    <w:p w:rsidR="00B655FF" w:rsidRPr="0064329D" w:rsidRDefault="00176B24" w:rsidP="00C14EEF">
      <w:pPr>
        <w:pStyle w:val="HydrophilStandard"/>
        <w:spacing w:after="0"/>
        <w:contextualSpacing w:val="0"/>
        <w:rPr>
          <w:noProof w:val="0"/>
        </w:rPr>
      </w:pPr>
      <w:r>
        <w:t>ЛИСТ КОНТРОЛЮ ДОКУМЕНТУ</w:t>
      </w:r>
    </w:p>
    <w:p w:rsidR="00B655FF" w:rsidRPr="0064329D" w:rsidRDefault="00B655FF" w:rsidP="00C14EEF">
      <w:pPr>
        <w:pStyle w:val="HydrophilStandard"/>
        <w:spacing w:after="0"/>
        <w:contextualSpacing w:val="0"/>
        <w:rPr>
          <w:noProof w:val="0"/>
          <w:lang w:val="en-GB"/>
        </w:rPr>
      </w:pPr>
    </w:p>
    <w:p w:rsidR="00B655FF" w:rsidRPr="0064329D" w:rsidRDefault="00B655FF" w:rsidP="00C14EEF">
      <w:pPr>
        <w:pStyle w:val="HydrophilStandard"/>
        <w:spacing w:after="0"/>
        <w:contextualSpacing w:val="0"/>
        <w:rPr>
          <w:noProof w:val="0"/>
          <w:lang w:val="en-GB"/>
        </w:rPr>
      </w:pPr>
    </w:p>
    <w:tbl>
      <w:tblPr>
        <w:tblW w:w="5000" w:type="pct"/>
        <w:tblCellMar>
          <w:left w:w="0" w:type="dxa"/>
          <w:right w:w="0" w:type="dxa"/>
        </w:tblCellMar>
        <w:tblLook w:val="0000" w:firstRow="0" w:lastRow="0" w:firstColumn="0" w:lastColumn="0" w:noHBand="0" w:noVBand="0"/>
      </w:tblPr>
      <w:tblGrid>
        <w:gridCol w:w="3387"/>
        <w:gridCol w:w="6250"/>
      </w:tblGrid>
      <w:tr w:rsidR="00B655FF" w:rsidRPr="0064329D" w:rsidTr="00003076">
        <w:trPr>
          <w:trHeight w:val="851"/>
        </w:trPr>
        <w:tc>
          <w:tcPr>
            <w:tcW w:w="3387" w:type="dxa"/>
          </w:tcPr>
          <w:p w:rsidR="00B655FF" w:rsidRPr="0064329D" w:rsidRDefault="00176B24" w:rsidP="00C14EEF">
            <w:pPr>
              <w:pStyle w:val="HydrophilStandard"/>
              <w:spacing w:after="0"/>
              <w:contextualSpacing w:val="0"/>
              <w:rPr>
                <w:bCs/>
                <w:noProof w:val="0"/>
              </w:rPr>
            </w:pPr>
            <w:r>
              <w:t>НОМЕР ПРОЕКТУ:</w:t>
            </w:r>
          </w:p>
          <w:p w:rsidR="00B655FF" w:rsidRPr="0064329D" w:rsidRDefault="00B655FF" w:rsidP="00C14EEF">
            <w:pPr>
              <w:pStyle w:val="HydrophilStandard"/>
              <w:spacing w:after="0"/>
              <w:contextualSpacing w:val="0"/>
              <w:rPr>
                <w:noProof w:val="0"/>
                <w:lang w:val="en-GB"/>
              </w:rPr>
            </w:pPr>
          </w:p>
        </w:tc>
        <w:tc>
          <w:tcPr>
            <w:tcW w:w="6250" w:type="dxa"/>
          </w:tcPr>
          <w:p w:rsidR="00B655FF" w:rsidRPr="0064329D" w:rsidRDefault="00646769" w:rsidP="00C14EEF">
            <w:pPr>
              <w:pStyle w:val="HydrophilStandard"/>
              <w:spacing w:after="0"/>
              <w:contextualSpacing w:val="0"/>
              <w:rPr>
                <w:noProof w:val="0"/>
              </w:rPr>
            </w:pPr>
            <w:r>
              <w:t>16ВСС001-10-EIBLot1-030-Ukraine 01</w:t>
            </w:r>
          </w:p>
        </w:tc>
      </w:tr>
      <w:tr w:rsidR="006914B1" w:rsidRPr="0064329D" w:rsidTr="00003076">
        <w:trPr>
          <w:trHeight w:val="1124"/>
        </w:trPr>
        <w:tc>
          <w:tcPr>
            <w:tcW w:w="3387" w:type="dxa"/>
          </w:tcPr>
          <w:p w:rsidR="00B655FF" w:rsidRPr="0064329D" w:rsidRDefault="00176B24" w:rsidP="00C14EEF">
            <w:pPr>
              <w:pStyle w:val="HydrophilStandard"/>
              <w:spacing w:after="0"/>
              <w:contextualSpacing w:val="0"/>
              <w:rPr>
                <w:noProof w:val="0"/>
              </w:rPr>
            </w:pPr>
            <w:r>
              <w:t>ПІДГОТВУВАВ:</w:t>
            </w:r>
          </w:p>
          <w:p w:rsidR="00B655FF" w:rsidRPr="0064329D" w:rsidRDefault="00B655FF" w:rsidP="00C14EEF">
            <w:pPr>
              <w:pStyle w:val="HydrophilStandard"/>
              <w:spacing w:after="0"/>
              <w:contextualSpacing w:val="0"/>
              <w:rPr>
                <w:noProof w:val="0"/>
                <w:lang w:val="en-GB"/>
              </w:rPr>
            </w:pPr>
          </w:p>
        </w:tc>
        <w:tc>
          <w:tcPr>
            <w:tcW w:w="6250" w:type="dxa"/>
          </w:tcPr>
          <w:p w:rsidR="00A95888" w:rsidRPr="0064329D" w:rsidRDefault="00003076" w:rsidP="00C14EEF">
            <w:pPr>
              <w:pStyle w:val="HydrophilStandard"/>
              <w:spacing w:after="0"/>
              <w:contextualSpacing w:val="0"/>
              <w:rPr>
                <w:noProof w:val="0"/>
              </w:rPr>
            </w:pPr>
            <w:r>
              <w:t>SUEZ Consulting (SAFEGE) – Міжнародна філія</w:t>
            </w:r>
          </w:p>
          <w:p w:rsidR="00003076" w:rsidRPr="0064329D" w:rsidRDefault="00003076" w:rsidP="00C14EEF">
            <w:pPr>
              <w:pStyle w:val="HydrophilStandard"/>
              <w:spacing w:after="0"/>
              <w:contextualSpacing w:val="0"/>
              <w:rPr>
                <w:noProof w:val="0"/>
              </w:rPr>
            </w:pPr>
            <w:r>
              <w:t>De Kleetlaan 5</w:t>
            </w:r>
            <w:r>
              <w:cr/>
              <w:t>B-1831 ДІГЕМ</w:t>
            </w:r>
          </w:p>
          <w:p w:rsidR="00003076" w:rsidRPr="0064329D" w:rsidRDefault="00003076" w:rsidP="00C14EEF">
            <w:pPr>
              <w:pStyle w:val="HydrophilStandard"/>
              <w:spacing w:after="0"/>
              <w:contextualSpacing w:val="0"/>
              <w:rPr>
                <w:noProof w:val="0"/>
                <w:lang w:val="en-GB"/>
              </w:rPr>
            </w:pPr>
          </w:p>
        </w:tc>
      </w:tr>
      <w:tr w:rsidR="00003076" w:rsidRPr="0064329D" w:rsidTr="00003076">
        <w:trPr>
          <w:trHeight w:val="1819"/>
        </w:trPr>
        <w:tc>
          <w:tcPr>
            <w:tcW w:w="3387" w:type="dxa"/>
          </w:tcPr>
          <w:p w:rsidR="00003076" w:rsidRPr="0064329D" w:rsidRDefault="00003076" w:rsidP="00C14EEF">
            <w:pPr>
              <w:pStyle w:val="HydrophilStandard"/>
              <w:spacing w:after="0"/>
              <w:contextualSpacing w:val="0"/>
              <w:rPr>
                <w:noProof w:val="0"/>
              </w:rPr>
            </w:pPr>
            <w:r>
              <w:t xml:space="preserve">ГОЛОВНА КОНТАКТНА ОСОБА </w:t>
            </w:r>
          </w:p>
          <w:p w:rsidR="00003076" w:rsidRPr="0064329D" w:rsidRDefault="00003076" w:rsidP="00C14EEF">
            <w:pPr>
              <w:pStyle w:val="HydrophilStandard"/>
              <w:spacing w:after="0"/>
              <w:contextualSpacing w:val="0"/>
              <w:rPr>
                <w:noProof w:val="0"/>
              </w:rPr>
            </w:pPr>
            <w:r>
              <w:t xml:space="preserve">З ПИТАНЬ КОНТРАКТУ: </w:t>
            </w:r>
          </w:p>
        </w:tc>
        <w:tc>
          <w:tcPr>
            <w:tcW w:w="6250" w:type="dxa"/>
          </w:tcPr>
          <w:p w:rsidR="00646769" w:rsidRPr="006A1634" w:rsidRDefault="00646769" w:rsidP="00C14EEF">
            <w:pPr>
              <w:rPr>
                <w:rFonts w:asciiTheme="minorHAnsi" w:hAnsiTheme="minorHAnsi" w:cstheme="minorHAnsi"/>
              </w:rPr>
            </w:pPr>
            <w:r>
              <w:rPr>
                <w:rFonts w:asciiTheme="minorHAnsi" w:hAnsiTheme="minorHAnsi"/>
              </w:rPr>
              <w:t>Пані Олена Філіпенко</w:t>
            </w:r>
          </w:p>
          <w:p w:rsidR="00646769" w:rsidRPr="006A1634" w:rsidRDefault="00646769" w:rsidP="00C14EEF">
            <w:pPr>
              <w:rPr>
                <w:rFonts w:asciiTheme="minorHAnsi" w:hAnsiTheme="minorHAnsi" w:cstheme="minorHAnsi"/>
              </w:rPr>
            </w:pPr>
            <w:r>
              <w:rPr>
                <w:rFonts w:asciiTheme="minorHAnsi" w:hAnsiTheme="minorHAnsi"/>
              </w:rPr>
              <w:t xml:space="preserve">Директор проекту </w:t>
            </w:r>
          </w:p>
          <w:p w:rsidR="00646769" w:rsidRPr="006A1634" w:rsidRDefault="00646769" w:rsidP="00C14EEF">
            <w:pPr>
              <w:pStyle w:val="HydrophilStandard"/>
              <w:spacing w:after="0"/>
              <w:contextualSpacing w:val="0"/>
              <w:rPr>
                <w:rFonts w:cstheme="minorHAnsi"/>
              </w:rPr>
            </w:pPr>
            <w:r>
              <w:t>Parc de l’ 1527 , rue du Port</w:t>
            </w:r>
          </w:p>
          <w:p w:rsidR="00646769" w:rsidRPr="006A1634" w:rsidRDefault="00646769" w:rsidP="00C14EEF">
            <w:pPr>
              <w:pStyle w:val="HydrophilStandard"/>
              <w:spacing w:after="0"/>
              <w:contextualSpacing w:val="0"/>
              <w:rPr>
                <w:rFonts w:cstheme="minorHAnsi"/>
              </w:rPr>
            </w:pPr>
            <w:r>
              <w:t>92022 НАНТЕР СЕДЕКСCEDEX</w:t>
            </w:r>
          </w:p>
          <w:p w:rsidR="00646769" w:rsidRPr="006A1634" w:rsidRDefault="00646769" w:rsidP="00C14EEF">
            <w:pPr>
              <w:pStyle w:val="HydrophilStandard"/>
              <w:spacing w:after="0"/>
              <w:contextualSpacing w:val="0"/>
              <w:rPr>
                <w:rFonts w:cstheme="minorHAnsi"/>
                <w:noProof w:val="0"/>
              </w:rPr>
            </w:pPr>
            <w:r>
              <w:t>Міжнародна</w:t>
            </w:r>
            <w:r w:rsidR="00CB1B48">
              <w:t xml:space="preserve"> </w:t>
            </w:r>
            <w:r>
              <w:t>філія</w:t>
            </w:r>
          </w:p>
          <w:p w:rsidR="00646769" w:rsidRPr="006A1634" w:rsidRDefault="00646769" w:rsidP="00C14EEF">
            <w:pPr>
              <w:pStyle w:val="HydrophilStandard"/>
              <w:spacing w:after="0"/>
              <w:contextualSpacing w:val="0"/>
              <w:rPr>
                <w:noProof w:val="0"/>
              </w:rPr>
            </w:pPr>
            <w:r>
              <w:t>Тел: +380673975514</w:t>
            </w:r>
          </w:p>
          <w:p w:rsidR="00003076" w:rsidRPr="0064329D" w:rsidRDefault="00646769" w:rsidP="00C14EEF">
            <w:pPr>
              <w:pStyle w:val="HydrophilStandard"/>
              <w:spacing w:after="0"/>
              <w:contextualSpacing w:val="0"/>
              <w:rPr>
                <w:noProof w:val="0"/>
              </w:rPr>
            </w:pPr>
            <w:r>
              <w:t>E-mail:</w:t>
            </w:r>
            <w:r w:rsidR="00CB1B48">
              <w:t xml:space="preserve"> </w:t>
            </w:r>
            <w:hyperlink r:id="rId17" w:history="1">
              <w:r>
                <w:rPr>
                  <w:rStyle w:val="ad"/>
                </w:rPr>
                <w:t>olena.filipenko.ext@suez.com</w:t>
              </w:r>
            </w:hyperlink>
          </w:p>
        </w:tc>
      </w:tr>
      <w:tr w:rsidR="00003076" w:rsidRPr="000E3C1C" w:rsidTr="00003076">
        <w:trPr>
          <w:trHeight w:val="2104"/>
        </w:trPr>
        <w:tc>
          <w:tcPr>
            <w:tcW w:w="3387" w:type="dxa"/>
          </w:tcPr>
          <w:p w:rsidR="00003076" w:rsidRPr="0064329D" w:rsidRDefault="00003076" w:rsidP="00C14EEF">
            <w:pPr>
              <w:pStyle w:val="HydrophilStandard"/>
              <w:spacing w:after="0"/>
              <w:contextualSpacing w:val="0"/>
              <w:rPr>
                <w:noProof w:val="0"/>
              </w:rPr>
            </w:pPr>
            <w:r>
              <w:t>ГОЛОВНА КОНТАКТНА ОСОБА</w:t>
            </w:r>
          </w:p>
          <w:p w:rsidR="00003076" w:rsidRPr="0064329D" w:rsidRDefault="00003076" w:rsidP="00C14EEF">
            <w:pPr>
              <w:pStyle w:val="HydrophilStandard"/>
              <w:spacing w:after="0"/>
              <w:contextualSpacing w:val="0"/>
              <w:rPr>
                <w:noProof w:val="0"/>
              </w:rPr>
            </w:pPr>
            <w:r>
              <w:t>З ТЕХНІЧНИХ ПИТАНЬ:</w:t>
            </w:r>
          </w:p>
        </w:tc>
        <w:tc>
          <w:tcPr>
            <w:tcW w:w="6250" w:type="dxa"/>
          </w:tcPr>
          <w:p w:rsidR="00003076" w:rsidRPr="0064329D" w:rsidRDefault="00003076" w:rsidP="00C14EEF">
            <w:pPr>
              <w:pStyle w:val="HydrophilStandard"/>
              <w:spacing w:after="0"/>
              <w:contextualSpacing w:val="0"/>
              <w:rPr>
                <w:noProof w:val="0"/>
              </w:rPr>
            </w:pPr>
            <w:r>
              <w:t>Пан Андреас Стойсіц</w:t>
            </w:r>
          </w:p>
          <w:p w:rsidR="00003076" w:rsidRPr="0064329D" w:rsidRDefault="00003076" w:rsidP="00C14EEF">
            <w:pPr>
              <w:pStyle w:val="HydrophilStandard"/>
              <w:spacing w:after="0"/>
              <w:contextualSpacing w:val="0"/>
              <w:rPr>
                <w:noProof w:val="0"/>
              </w:rPr>
            </w:pPr>
            <w:r>
              <w:t>Менеджер проекту</w:t>
            </w:r>
          </w:p>
          <w:p w:rsidR="00003076" w:rsidRPr="0064329D" w:rsidRDefault="00003076" w:rsidP="00C14EEF">
            <w:pPr>
              <w:pStyle w:val="HydrophilStandard"/>
              <w:spacing w:after="0"/>
              <w:contextualSpacing w:val="0"/>
              <w:rPr>
                <w:noProof w:val="0"/>
              </w:rPr>
            </w:pPr>
            <w:r>
              <w:t>hydrophil GmbH</w:t>
            </w:r>
          </w:p>
          <w:p w:rsidR="00003076" w:rsidRPr="0064329D" w:rsidRDefault="00003076" w:rsidP="00C14EEF">
            <w:pPr>
              <w:pStyle w:val="HydrophilStandard"/>
              <w:spacing w:after="0"/>
              <w:contextualSpacing w:val="0"/>
              <w:rPr>
                <w:noProof w:val="0"/>
              </w:rPr>
            </w:pPr>
            <w:r>
              <w:t>Mariahilfer Str. 84 M/31</w:t>
            </w:r>
          </w:p>
          <w:p w:rsidR="00003076" w:rsidRPr="0064329D" w:rsidRDefault="00003076" w:rsidP="00C14EEF">
            <w:pPr>
              <w:pStyle w:val="HydrophilStandard"/>
              <w:spacing w:after="0"/>
              <w:contextualSpacing w:val="0"/>
              <w:rPr>
                <w:noProof w:val="0"/>
              </w:rPr>
            </w:pPr>
            <w:r>
              <w:t>1070 Відень, Австрія</w:t>
            </w:r>
          </w:p>
          <w:p w:rsidR="00003076" w:rsidRPr="0064329D" w:rsidRDefault="00003076" w:rsidP="00C14EEF">
            <w:pPr>
              <w:pStyle w:val="HydrophilStandard"/>
              <w:spacing w:after="0"/>
              <w:contextualSpacing w:val="0"/>
              <w:rPr>
                <w:noProof w:val="0"/>
              </w:rPr>
            </w:pPr>
            <w:r>
              <w:t>Тел.: +43-1-9969/-80014/ Мобільний: +43660996/9814</w:t>
            </w:r>
          </w:p>
          <w:p w:rsidR="00003076" w:rsidRPr="00C63AE9" w:rsidRDefault="00003076" w:rsidP="00C14EEF">
            <w:pPr>
              <w:pStyle w:val="HydrophilStandard"/>
              <w:spacing w:after="0"/>
              <w:contextualSpacing w:val="0"/>
              <w:rPr>
                <w:noProof w:val="0"/>
              </w:rPr>
            </w:pPr>
            <w:r>
              <w:t xml:space="preserve">E-mail: </w:t>
            </w:r>
            <w:hyperlink r:id="rId18" w:history="1">
              <w:r>
                <w:rPr>
                  <w:rStyle w:val="ad"/>
                </w:rPr>
                <w:t>a.stoisits@hydrophil.at</w:t>
              </w:r>
            </w:hyperlink>
          </w:p>
        </w:tc>
      </w:tr>
      <w:tr w:rsidR="00003076" w:rsidRPr="0064329D" w:rsidTr="00B05DDA">
        <w:trPr>
          <w:trHeight w:val="1401"/>
        </w:trPr>
        <w:tc>
          <w:tcPr>
            <w:tcW w:w="3387" w:type="dxa"/>
          </w:tcPr>
          <w:p w:rsidR="00003076" w:rsidRPr="0064329D" w:rsidRDefault="00003076" w:rsidP="00C14EEF">
            <w:pPr>
              <w:pStyle w:val="HydrophilStandard"/>
              <w:spacing w:after="0"/>
              <w:contextualSpacing w:val="0"/>
              <w:rPr>
                <w:noProof w:val="0"/>
              </w:rPr>
            </w:pPr>
            <w:r>
              <w:t>ПІДГОТОВАНО ДЛЯ:</w:t>
            </w:r>
          </w:p>
          <w:p w:rsidR="00003076" w:rsidRPr="0064329D" w:rsidRDefault="00003076" w:rsidP="00C14EEF">
            <w:pPr>
              <w:pStyle w:val="HydrophilStandard"/>
              <w:spacing w:after="0"/>
              <w:contextualSpacing w:val="0"/>
              <w:rPr>
                <w:noProof w:val="0"/>
                <w:lang w:val="en-GB"/>
              </w:rPr>
            </w:pPr>
          </w:p>
        </w:tc>
        <w:tc>
          <w:tcPr>
            <w:tcW w:w="6250" w:type="dxa"/>
          </w:tcPr>
          <w:p w:rsidR="00003076" w:rsidRPr="0064329D" w:rsidRDefault="000718A2" w:rsidP="00C14EEF">
            <w:pPr>
              <w:pStyle w:val="HydrophilStandard"/>
              <w:spacing w:after="0"/>
              <w:contextualSpacing w:val="0"/>
              <w:jc w:val="left"/>
              <w:rPr>
                <w:noProof w:val="0"/>
              </w:rPr>
            </w:pPr>
            <w:sdt>
              <w:sdtPr>
                <w:rPr>
                  <w:noProof w:val="0"/>
                </w:rPr>
                <w:alias w:val="Замовник"/>
                <w:id w:val="-70574875"/>
                <w:dataBinding w:prefixMappings="xmlns:ns0='adress'" w:xpath="/ns0:adress/ns0:FundingOrigin[1]" w:storeItemID="{358DEF6A-1680-4E62-82C4-B5AA1C7CF330}"/>
                <w:text w:multiLine="1"/>
              </w:sdtPr>
              <w:sdtEndPr/>
              <w:sdtContent>
                <w:r w:rsidR="00807641">
                  <w:t>Європейський Інвестиційний Банк - Програма розвитку міської інфраструктури в Україні,, Технічне сприяння групі управління та підтримки програми (ГУПП), фінансування Європейським Інвестиційним Банком</w:t>
                </w:r>
              </w:sdtContent>
            </w:sdt>
          </w:p>
          <w:p w:rsidR="00003076" w:rsidRPr="0064329D" w:rsidRDefault="00003076" w:rsidP="00C14EEF">
            <w:pPr>
              <w:pStyle w:val="HydrophilStandard"/>
              <w:spacing w:after="0"/>
              <w:contextualSpacing w:val="0"/>
              <w:rPr>
                <w:noProof w:val="0"/>
              </w:rPr>
            </w:pPr>
            <w:r w:rsidRPr="0064329D">
              <w:fldChar w:fldCharType="begin"/>
            </w:r>
            <w:r w:rsidRPr="0064329D">
              <w:instrText xml:space="preserve">  </w:instrText>
            </w:r>
            <w:r w:rsidRPr="0064329D">
              <w:fldChar w:fldCharType="end"/>
            </w:r>
          </w:p>
        </w:tc>
      </w:tr>
      <w:tr w:rsidR="00003076" w:rsidRPr="0064329D" w:rsidTr="00B05DDA">
        <w:trPr>
          <w:trHeight w:val="712"/>
        </w:trPr>
        <w:tc>
          <w:tcPr>
            <w:tcW w:w="3387" w:type="dxa"/>
          </w:tcPr>
          <w:p w:rsidR="00003076" w:rsidRPr="0064329D" w:rsidRDefault="00003076" w:rsidP="00C14EEF">
            <w:pPr>
              <w:pStyle w:val="HydrophilStandard"/>
              <w:spacing w:after="0"/>
              <w:contextualSpacing w:val="0"/>
              <w:rPr>
                <w:noProof w:val="0"/>
              </w:rPr>
            </w:pPr>
            <w:r>
              <w:t>Дата:</w:t>
            </w:r>
          </w:p>
          <w:p w:rsidR="00003076" w:rsidRPr="0064329D" w:rsidRDefault="00003076" w:rsidP="00C14EEF">
            <w:pPr>
              <w:pStyle w:val="HydrophilStandard"/>
              <w:spacing w:after="0"/>
              <w:contextualSpacing w:val="0"/>
              <w:rPr>
                <w:noProof w:val="0"/>
                <w:lang w:val="en-GB"/>
              </w:rPr>
            </w:pPr>
          </w:p>
        </w:tc>
        <w:sdt>
          <w:sdtPr>
            <w:rPr>
              <w:noProof w:val="0"/>
            </w:rPr>
            <w:alias w:val="Дата подання"/>
            <w:tag w:val=""/>
            <w:id w:val="1414136118"/>
            <w:dataBinding w:prefixMappings="xmlns:ns0='http://schemas.microsoft.com/office/2006/coverPageProps' " w:xpath="/ns0:CoverPageProperties[1]/ns0:PublishDate[1]" w:storeItemID="{55AF091B-3C7A-41E3-B477-F2FDAA23CFDA}"/>
            <w:date w:fullDate="2020-06-23T00:00:00Z">
              <w:dateFormat w:val="dd.MM.yyyy"/>
              <w:lid w:val="uk-UA"/>
              <w:storeMappedDataAs w:val="dateTime"/>
              <w:calendar w:val="gregorian"/>
            </w:date>
          </w:sdtPr>
          <w:sdtEndPr/>
          <w:sdtContent>
            <w:tc>
              <w:tcPr>
                <w:tcW w:w="6250" w:type="dxa"/>
              </w:tcPr>
              <w:p w:rsidR="00003076" w:rsidRPr="0064329D" w:rsidRDefault="00807641" w:rsidP="00C14EEF">
                <w:pPr>
                  <w:pStyle w:val="HydrophilStandard"/>
                  <w:spacing w:after="0"/>
                  <w:contextualSpacing w:val="0"/>
                  <w:rPr>
                    <w:noProof w:val="0"/>
                    <w:lang w:val="en-GB"/>
                  </w:rPr>
                </w:pPr>
                <w:r>
                  <w:t>23.06.2020</w:t>
                </w:r>
              </w:p>
            </w:tc>
          </w:sdtContent>
        </w:sdt>
      </w:tr>
      <w:tr w:rsidR="00003076" w:rsidRPr="00BC23C5" w:rsidTr="00B05DDA">
        <w:trPr>
          <w:trHeight w:val="566"/>
        </w:trPr>
        <w:tc>
          <w:tcPr>
            <w:tcW w:w="3387" w:type="dxa"/>
          </w:tcPr>
          <w:p w:rsidR="00003076" w:rsidRPr="0064329D" w:rsidRDefault="00003076" w:rsidP="00C14EEF">
            <w:pPr>
              <w:pStyle w:val="HydrophilStandard"/>
              <w:spacing w:after="0"/>
              <w:contextualSpacing w:val="0"/>
              <w:rPr>
                <w:noProof w:val="0"/>
              </w:rPr>
            </w:pPr>
            <w:r>
              <w:t>Редактор:</w:t>
            </w:r>
          </w:p>
        </w:tc>
        <w:tc>
          <w:tcPr>
            <w:tcW w:w="6250" w:type="dxa"/>
          </w:tcPr>
          <w:sdt>
            <w:sdtPr>
              <w:rPr>
                <w:noProof w:val="0"/>
              </w:rPr>
              <w:alias w:val="Автор:"/>
              <w:tag w:val="Autor"/>
              <w:id w:val="128530334"/>
              <w:dataBinding w:prefixMappings="xmlns:ns0='http://purl.org/dc/elements/1.1/' xmlns:ns1='http://schemas.openxmlformats.org/package/2006/metadata/core-properties' " w:xpath="/ns1:coreProperties[1]/ns0:creator[1]" w:storeItemID="{6C3C8BC8-F283-45AE-878A-BAB7291924A1}"/>
              <w:text/>
            </w:sdtPr>
            <w:sdtEndPr/>
            <w:sdtContent>
              <w:p w:rsidR="00003076" w:rsidRPr="00BC23C5" w:rsidRDefault="00CB1B48" w:rsidP="00C14EEF">
                <w:pPr>
                  <w:pStyle w:val="HydrophilStandard"/>
                  <w:spacing w:after="0"/>
                  <w:contextualSpacing w:val="0"/>
                  <w:rPr>
                    <w:noProof w:val="0"/>
                    <w:lang w:val="fr-FR"/>
                  </w:rPr>
                </w:pPr>
                <w:r>
                  <w:rPr>
                    <w:noProof w:val="0"/>
                  </w:rPr>
                  <w:t>ВПІ</w:t>
                </w:r>
                <w:r w:rsidR="00CE60A7">
                  <w:rPr>
                    <w:noProof w:val="0"/>
                    <w:lang w:val="fr-FR"/>
                  </w:rPr>
                  <w:t xml:space="preserve">, </w:t>
                </w:r>
                <w:r>
                  <w:rPr>
                    <w:noProof w:val="0"/>
                  </w:rPr>
                  <w:t>АФІ</w:t>
                </w:r>
                <w:r w:rsidR="00CE60A7">
                  <w:rPr>
                    <w:noProof w:val="0"/>
                    <w:lang w:val="fr-FR"/>
                  </w:rPr>
                  <w:t>, MMA</w:t>
                </w:r>
              </w:p>
            </w:sdtContent>
          </w:sdt>
        </w:tc>
      </w:tr>
    </w:tbl>
    <w:p w:rsidR="00FA1720" w:rsidRPr="00BC23C5" w:rsidRDefault="00FA1720" w:rsidP="00C14EEF">
      <w:pPr>
        <w:pStyle w:val="HydrophilStandard"/>
        <w:spacing w:after="0"/>
        <w:contextualSpacing w:val="0"/>
        <w:rPr>
          <w:noProof w:val="0"/>
          <w:lang w:val="fr-FR"/>
        </w:rPr>
      </w:pPr>
    </w:p>
    <w:tbl>
      <w:tblPr>
        <w:tblW w:w="5000" w:type="pct"/>
        <w:jc w:val="center"/>
        <w:tblBorders>
          <w:top w:val="dotted" w:sz="8" w:space="0" w:color="AADC14" w:themeColor="accent2"/>
          <w:bottom w:val="dotted" w:sz="8" w:space="0" w:color="AADC14" w:themeColor="accent2"/>
          <w:insideH w:val="dotted" w:sz="8" w:space="0" w:color="AADC14" w:themeColor="accent2"/>
          <w:insideV w:val="dotted" w:sz="8" w:space="0" w:color="AADC14" w:themeColor="accent2"/>
        </w:tblBorders>
        <w:tblLayout w:type="fixed"/>
        <w:tblLook w:val="0000" w:firstRow="0" w:lastRow="0" w:firstColumn="0" w:lastColumn="0" w:noHBand="0" w:noVBand="0"/>
      </w:tblPr>
      <w:tblGrid>
        <w:gridCol w:w="1969"/>
        <w:gridCol w:w="1971"/>
        <w:gridCol w:w="1971"/>
        <w:gridCol w:w="1971"/>
        <w:gridCol w:w="1971"/>
      </w:tblGrid>
      <w:tr w:rsidR="0066638A" w:rsidRPr="0064329D" w:rsidTr="00B05DDA">
        <w:trPr>
          <w:cantSplit/>
          <w:trHeight w:hRule="exact" w:val="580"/>
          <w:jc w:val="center"/>
        </w:trPr>
        <w:tc>
          <w:tcPr>
            <w:tcW w:w="1969" w:type="dxa"/>
            <w:vAlign w:val="center"/>
          </w:tcPr>
          <w:p w:rsidR="00936BD7" w:rsidRPr="00B05DDA" w:rsidRDefault="00936BD7" w:rsidP="00C14EEF">
            <w:pPr>
              <w:rPr>
                <w:rFonts w:asciiTheme="minorHAnsi" w:hAnsiTheme="minorHAnsi" w:cstheme="minorHAnsi"/>
              </w:rPr>
            </w:pPr>
            <w:r>
              <w:rPr>
                <w:rFonts w:asciiTheme="minorHAnsi" w:hAnsiTheme="minorHAnsi"/>
              </w:rPr>
              <w:t>Дата</w:t>
            </w:r>
          </w:p>
        </w:tc>
        <w:tc>
          <w:tcPr>
            <w:tcW w:w="1971" w:type="dxa"/>
            <w:vAlign w:val="center"/>
          </w:tcPr>
          <w:p w:rsidR="00936BD7" w:rsidRPr="00B05DDA" w:rsidRDefault="00936BD7" w:rsidP="00C14EEF">
            <w:pPr>
              <w:rPr>
                <w:rFonts w:asciiTheme="minorHAnsi" w:hAnsiTheme="minorHAnsi" w:cstheme="minorHAnsi"/>
              </w:rPr>
            </w:pPr>
            <w:r>
              <w:rPr>
                <w:rFonts w:asciiTheme="minorHAnsi" w:hAnsiTheme="minorHAnsi"/>
              </w:rPr>
              <w:t>Ред.№</w:t>
            </w:r>
          </w:p>
        </w:tc>
        <w:tc>
          <w:tcPr>
            <w:tcW w:w="1971" w:type="dxa"/>
            <w:vAlign w:val="center"/>
          </w:tcPr>
          <w:p w:rsidR="00936BD7" w:rsidRPr="00B05DDA" w:rsidRDefault="00936BD7" w:rsidP="00C14EEF">
            <w:pPr>
              <w:rPr>
                <w:rFonts w:asciiTheme="minorHAnsi" w:hAnsiTheme="minorHAnsi" w:cstheme="minorHAnsi"/>
              </w:rPr>
            </w:pPr>
            <w:r>
              <w:rPr>
                <w:rFonts w:asciiTheme="minorHAnsi" w:hAnsiTheme="minorHAnsi"/>
              </w:rPr>
              <w:t>Редактор</w:t>
            </w:r>
          </w:p>
        </w:tc>
        <w:tc>
          <w:tcPr>
            <w:tcW w:w="1971" w:type="dxa"/>
            <w:vAlign w:val="center"/>
          </w:tcPr>
          <w:p w:rsidR="00936BD7" w:rsidRPr="00B05DDA" w:rsidRDefault="00936BD7" w:rsidP="00C14EEF">
            <w:pPr>
              <w:rPr>
                <w:rFonts w:asciiTheme="minorHAnsi" w:hAnsiTheme="minorHAnsi" w:cstheme="minorHAnsi"/>
              </w:rPr>
            </w:pPr>
            <w:r>
              <w:rPr>
                <w:rFonts w:asciiTheme="minorHAnsi" w:hAnsiTheme="minorHAnsi"/>
              </w:rPr>
              <w:t>Перевірив</w:t>
            </w:r>
          </w:p>
        </w:tc>
        <w:tc>
          <w:tcPr>
            <w:tcW w:w="1971" w:type="dxa"/>
            <w:vAlign w:val="center"/>
          </w:tcPr>
          <w:p w:rsidR="00936BD7" w:rsidRPr="00B05DDA" w:rsidRDefault="00936BD7" w:rsidP="00C14EEF">
            <w:pPr>
              <w:rPr>
                <w:rFonts w:asciiTheme="minorHAnsi" w:hAnsiTheme="minorHAnsi" w:cstheme="minorHAnsi"/>
              </w:rPr>
            </w:pPr>
            <w:r>
              <w:rPr>
                <w:rFonts w:asciiTheme="minorHAnsi" w:hAnsiTheme="minorHAnsi"/>
              </w:rPr>
              <w:t>Погодив</w:t>
            </w:r>
          </w:p>
        </w:tc>
      </w:tr>
      <w:tr w:rsidR="00CE60A7" w:rsidRPr="0064329D" w:rsidTr="00CE60A7">
        <w:trPr>
          <w:cantSplit/>
          <w:trHeight w:hRule="exact" w:val="653"/>
          <w:jc w:val="center"/>
        </w:trPr>
        <w:tc>
          <w:tcPr>
            <w:tcW w:w="1969" w:type="dxa"/>
            <w:shd w:val="clear" w:color="auto" w:fill="auto"/>
            <w:vAlign w:val="center"/>
          </w:tcPr>
          <w:p w:rsidR="00CE60A7" w:rsidRPr="00CB1B48" w:rsidRDefault="00CB1B48" w:rsidP="00C14EEF">
            <w:pPr>
              <w:rPr>
                <w:rFonts w:asciiTheme="minorHAnsi" w:hAnsiTheme="minorHAnsi" w:cstheme="minorHAnsi"/>
              </w:rPr>
            </w:pPr>
            <w:r>
              <w:rPr>
                <w:rFonts w:asciiTheme="minorHAnsi" w:hAnsiTheme="minorHAnsi" w:cstheme="minorHAnsi"/>
                <w:szCs w:val="22"/>
              </w:rPr>
              <w:t>10.</w:t>
            </w:r>
            <w:r w:rsidR="00CE60A7" w:rsidRPr="00CB1B48">
              <w:rPr>
                <w:rFonts w:asciiTheme="minorHAnsi" w:hAnsiTheme="minorHAnsi" w:cstheme="minorHAnsi"/>
                <w:szCs w:val="22"/>
              </w:rPr>
              <w:t>02.2020</w:t>
            </w:r>
          </w:p>
        </w:tc>
        <w:tc>
          <w:tcPr>
            <w:tcW w:w="1971" w:type="dxa"/>
            <w:shd w:val="clear" w:color="auto" w:fill="auto"/>
            <w:vAlign w:val="center"/>
          </w:tcPr>
          <w:p w:rsidR="00CE60A7" w:rsidRPr="00CB1B48" w:rsidRDefault="00CE60A7" w:rsidP="00C14EEF">
            <w:pPr>
              <w:rPr>
                <w:rFonts w:asciiTheme="minorHAnsi" w:hAnsiTheme="minorHAnsi" w:cstheme="minorHAnsi"/>
              </w:rPr>
            </w:pPr>
            <w:r w:rsidRPr="00CB1B48">
              <w:rPr>
                <w:rFonts w:asciiTheme="minorHAnsi" w:hAnsiTheme="minorHAnsi" w:cstheme="minorHAnsi"/>
                <w:szCs w:val="22"/>
              </w:rPr>
              <w:t>Ред.01</w:t>
            </w:r>
          </w:p>
        </w:tc>
        <w:tc>
          <w:tcPr>
            <w:tcW w:w="1971" w:type="dxa"/>
            <w:shd w:val="clear" w:color="auto" w:fill="auto"/>
            <w:vAlign w:val="center"/>
          </w:tcPr>
          <w:sdt>
            <w:sdtPr>
              <w:rPr>
                <w:rFonts w:asciiTheme="minorHAnsi" w:hAnsiTheme="minorHAnsi" w:cstheme="minorHAnsi"/>
              </w:rPr>
              <w:alias w:val="Автор:"/>
              <w:tag w:val="Autor"/>
              <w:id w:val="-1212423407"/>
              <w:dataBinding w:prefixMappings="xmlns:ns0='http://purl.org/dc/elements/1.1/' xmlns:ns1='http://schemas.openxmlformats.org/package/2006/metadata/core-properties' " w:xpath="/ns1:coreProperties[1]/ns0:creator[1]" w:storeItemID="{6C3C8BC8-F283-45AE-878A-BAB7291924A1}"/>
              <w:text/>
            </w:sdtPr>
            <w:sdtEndPr/>
            <w:sdtContent>
              <w:p w:rsidR="00CE60A7" w:rsidRPr="00CB1B48" w:rsidRDefault="00CB1B48" w:rsidP="00C14EEF">
                <w:pPr>
                  <w:rPr>
                    <w:rFonts w:asciiTheme="minorHAnsi" w:hAnsiTheme="minorHAnsi" w:cstheme="minorHAnsi"/>
                    <w:lang w:val="fr-FR"/>
                  </w:rPr>
                </w:pPr>
                <w:r w:rsidRPr="00CB1B48">
                  <w:rPr>
                    <w:rFonts w:asciiTheme="minorHAnsi" w:hAnsiTheme="minorHAnsi" w:cstheme="minorHAnsi"/>
                  </w:rPr>
                  <w:t>ВПІ, АФІ, MMA</w:t>
                </w:r>
              </w:p>
            </w:sdtContent>
          </w:sdt>
        </w:tc>
        <w:tc>
          <w:tcPr>
            <w:tcW w:w="1971" w:type="dxa"/>
            <w:shd w:val="clear" w:color="auto" w:fill="auto"/>
            <w:vAlign w:val="center"/>
          </w:tcPr>
          <w:p w:rsidR="00CE60A7" w:rsidRPr="00CB1B48" w:rsidRDefault="00CE60A7" w:rsidP="00C14EEF">
            <w:pPr>
              <w:rPr>
                <w:rFonts w:asciiTheme="minorHAnsi" w:hAnsiTheme="minorHAnsi" w:cstheme="minorHAnsi"/>
              </w:rPr>
            </w:pPr>
            <w:r w:rsidRPr="00CB1B48">
              <w:rPr>
                <w:rFonts w:asciiTheme="minorHAnsi" w:hAnsiTheme="minorHAnsi" w:cstheme="minorHAnsi"/>
              </w:rPr>
              <w:t>АСТ, РСЛ</w:t>
            </w:r>
          </w:p>
        </w:tc>
        <w:tc>
          <w:tcPr>
            <w:tcW w:w="1971" w:type="dxa"/>
            <w:shd w:val="clear" w:color="auto" w:fill="auto"/>
            <w:vAlign w:val="center"/>
          </w:tcPr>
          <w:p w:rsidR="00CE60A7" w:rsidRPr="00CB1B48" w:rsidRDefault="00CE60A7" w:rsidP="00C14EEF">
            <w:pPr>
              <w:rPr>
                <w:rFonts w:asciiTheme="minorHAnsi" w:hAnsiTheme="minorHAnsi" w:cstheme="minorHAnsi"/>
              </w:rPr>
            </w:pPr>
            <w:r w:rsidRPr="00CB1B48">
              <w:rPr>
                <w:rFonts w:asciiTheme="minorHAnsi" w:hAnsiTheme="minorHAnsi" w:cstheme="minorHAnsi"/>
              </w:rPr>
              <w:t>АФІ</w:t>
            </w:r>
          </w:p>
        </w:tc>
      </w:tr>
      <w:tr w:rsidR="00CE60A7" w:rsidRPr="0064329D" w:rsidTr="00CE60A7">
        <w:trPr>
          <w:cantSplit/>
          <w:trHeight w:hRule="exact" w:val="653"/>
          <w:jc w:val="center"/>
        </w:trPr>
        <w:tc>
          <w:tcPr>
            <w:tcW w:w="1969" w:type="dxa"/>
            <w:shd w:val="clear" w:color="auto" w:fill="auto"/>
            <w:vAlign w:val="center"/>
          </w:tcPr>
          <w:p w:rsidR="00CE60A7" w:rsidRPr="00CB1B48" w:rsidRDefault="00CE60A7" w:rsidP="00C14EEF">
            <w:pPr>
              <w:rPr>
                <w:rFonts w:asciiTheme="minorHAnsi" w:hAnsiTheme="minorHAnsi" w:cstheme="minorHAnsi"/>
              </w:rPr>
            </w:pPr>
            <w:r w:rsidRPr="00CB1B48">
              <w:rPr>
                <w:rFonts w:asciiTheme="minorHAnsi" w:hAnsiTheme="minorHAnsi" w:cstheme="minorHAnsi"/>
                <w:szCs w:val="22"/>
              </w:rPr>
              <w:t>11.03.2020</w:t>
            </w:r>
          </w:p>
        </w:tc>
        <w:tc>
          <w:tcPr>
            <w:tcW w:w="1971" w:type="dxa"/>
            <w:shd w:val="clear" w:color="auto" w:fill="auto"/>
            <w:vAlign w:val="center"/>
          </w:tcPr>
          <w:p w:rsidR="00CE60A7" w:rsidRPr="00CB1B48" w:rsidRDefault="00CE60A7" w:rsidP="00C14EEF">
            <w:pPr>
              <w:rPr>
                <w:rFonts w:asciiTheme="minorHAnsi" w:hAnsiTheme="minorHAnsi" w:cstheme="minorHAnsi"/>
              </w:rPr>
            </w:pPr>
            <w:r w:rsidRPr="00CB1B48">
              <w:rPr>
                <w:rFonts w:asciiTheme="minorHAnsi" w:hAnsiTheme="minorHAnsi" w:cstheme="minorHAnsi"/>
                <w:szCs w:val="22"/>
              </w:rPr>
              <w:t>Ред.03</w:t>
            </w:r>
          </w:p>
        </w:tc>
        <w:tc>
          <w:tcPr>
            <w:tcW w:w="1971" w:type="dxa"/>
            <w:shd w:val="clear" w:color="auto" w:fill="auto"/>
            <w:vAlign w:val="center"/>
          </w:tcPr>
          <w:sdt>
            <w:sdtPr>
              <w:rPr>
                <w:rFonts w:asciiTheme="minorHAnsi" w:hAnsiTheme="minorHAnsi" w:cstheme="minorHAnsi"/>
              </w:rPr>
              <w:alias w:val="Автор:"/>
              <w:tag w:val="Autor"/>
              <w:id w:val="1427616470"/>
              <w:dataBinding w:prefixMappings="xmlns:ns0='http://purl.org/dc/elements/1.1/' xmlns:ns1='http://schemas.openxmlformats.org/package/2006/metadata/core-properties' " w:xpath="/ns1:coreProperties[1]/ns0:creator[1]" w:storeItemID="{6C3C8BC8-F283-45AE-878A-BAB7291924A1}"/>
              <w:text/>
            </w:sdtPr>
            <w:sdtEndPr/>
            <w:sdtContent>
              <w:p w:rsidR="00CE60A7" w:rsidRPr="00CB1B48" w:rsidRDefault="00CB1B48" w:rsidP="00C14EEF">
                <w:pPr>
                  <w:rPr>
                    <w:rFonts w:asciiTheme="minorHAnsi" w:hAnsiTheme="minorHAnsi" w:cstheme="minorHAnsi"/>
                    <w:lang w:val="fr-FR"/>
                  </w:rPr>
                </w:pPr>
                <w:r w:rsidRPr="00CB1B48">
                  <w:rPr>
                    <w:rFonts w:asciiTheme="minorHAnsi" w:hAnsiTheme="minorHAnsi" w:cstheme="minorHAnsi"/>
                  </w:rPr>
                  <w:t>ВПІ, АФІ, MMA</w:t>
                </w:r>
              </w:p>
            </w:sdtContent>
          </w:sdt>
        </w:tc>
        <w:tc>
          <w:tcPr>
            <w:tcW w:w="1971" w:type="dxa"/>
            <w:shd w:val="clear" w:color="auto" w:fill="auto"/>
            <w:vAlign w:val="center"/>
          </w:tcPr>
          <w:p w:rsidR="00CE60A7" w:rsidRPr="00CB1B48" w:rsidRDefault="00CE60A7" w:rsidP="00C14EEF">
            <w:pPr>
              <w:rPr>
                <w:rFonts w:asciiTheme="minorHAnsi" w:hAnsiTheme="minorHAnsi" w:cstheme="minorHAnsi"/>
              </w:rPr>
            </w:pPr>
            <w:r w:rsidRPr="00CB1B48">
              <w:rPr>
                <w:rFonts w:asciiTheme="minorHAnsi" w:hAnsiTheme="minorHAnsi" w:cstheme="minorHAnsi"/>
              </w:rPr>
              <w:t>АСТ, РСЛ</w:t>
            </w:r>
          </w:p>
        </w:tc>
        <w:tc>
          <w:tcPr>
            <w:tcW w:w="1971" w:type="dxa"/>
            <w:shd w:val="clear" w:color="auto" w:fill="auto"/>
            <w:vAlign w:val="center"/>
          </w:tcPr>
          <w:p w:rsidR="00CE60A7" w:rsidRPr="00CB1B48" w:rsidRDefault="00CE60A7" w:rsidP="00C14EEF">
            <w:pPr>
              <w:rPr>
                <w:rFonts w:asciiTheme="minorHAnsi" w:hAnsiTheme="minorHAnsi" w:cstheme="minorHAnsi"/>
              </w:rPr>
            </w:pPr>
            <w:r w:rsidRPr="00CB1B48">
              <w:rPr>
                <w:rFonts w:asciiTheme="minorHAnsi" w:hAnsiTheme="minorHAnsi" w:cstheme="minorHAnsi"/>
              </w:rPr>
              <w:t>АФІ</w:t>
            </w:r>
          </w:p>
        </w:tc>
      </w:tr>
      <w:tr w:rsidR="00807641" w:rsidRPr="0064329D" w:rsidTr="00CB1B48">
        <w:trPr>
          <w:cantSplit/>
          <w:trHeight w:hRule="exact" w:val="653"/>
          <w:jc w:val="center"/>
        </w:trPr>
        <w:tc>
          <w:tcPr>
            <w:tcW w:w="1969" w:type="dxa"/>
            <w:shd w:val="clear" w:color="auto" w:fill="auto"/>
            <w:vAlign w:val="center"/>
          </w:tcPr>
          <w:p w:rsidR="00807641" w:rsidRPr="00CB1B48" w:rsidRDefault="00CB1B48" w:rsidP="00C14EEF">
            <w:pPr>
              <w:rPr>
                <w:rFonts w:asciiTheme="minorHAnsi" w:hAnsiTheme="minorHAnsi" w:cstheme="minorHAnsi"/>
              </w:rPr>
            </w:pPr>
            <w:r>
              <w:rPr>
                <w:rFonts w:asciiTheme="minorHAnsi" w:hAnsiTheme="minorHAnsi" w:cstheme="minorHAnsi"/>
              </w:rPr>
              <w:t>15.</w:t>
            </w:r>
            <w:r w:rsidR="00807641" w:rsidRPr="00CB1B48">
              <w:rPr>
                <w:rFonts w:asciiTheme="minorHAnsi" w:hAnsiTheme="minorHAnsi" w:cstheme="minorHAnsi"/>
              </w:rPr>
              <w:t>05.2020</w:t>
            </w:r>
          </w:p>
        </w:tc>
        <w:tc>
          <w:tcPr>
            <w:tcW w:w="1971" w:type="dxa"/>
            <w:shd w:val="clear" w:color="auto" w:fill="auto"/>
            <w:vAlign w:val="center"/>
          </w:tcPr>
          <w:p w:rsidR="00807641" w:rsidRPr="00CB1B48" w:rsidRDefault="00DC73E2" w:rsidP="00C14EEF">
            <w:pPr>
              <w:rPr>
                <w:rFonts w:asciiTheme="minorHAnsi" w:hAnsiTheme="minorHAnsi" w:cstheme="minorHAnsi"/>
              </w:rPr>
            </w:pPr>
            <w:r>
              <w:rPr>
                <w:rFonts w:asciiTheme="minorHAnsi" w:hAnsiTheme="minorHAnsi" w:cstheme="minorHAnsi"/>
              </w:rPr>
              <w:t>Ред</w:t>
            </w:r>
            <w:r w:rsidR="00807641" w:rsidRPr="00CB1B48">
              <w:rPr>
                <w:rFonts w:asciiTheme="minorHAnsi" w:hAnsiTheme="minorHAnsi" w:cstheme="minorHAnsi"/>
              </w:rPr>
              <w:t>.03</w:t>
            </w:r>
          </w:p>
        </w:tc>
        <w:tc>
          <w:tcPr>
            <w:tcW w:w="1971" w:type="dxa"/>
            <w:shd w:val="clear" w:color="auto" w:fill="auto"/>
            <w:vAlign w:val="center"/>
          </w:tcPr>
          <w:p w:rsidR="00807641" w:rsidRPr="00CB1B48" w:rsidRDefault="00807641" w:rsidP="00C14EEF">
            <w:pPr>
              <w:rPr>
                <w:rFonts w:asciiTheme="minorHAnsi" w:hAnsiTheme="minorHAnsi" w:cstheme="minorHAnsi"/>
              </w:rPr>
            </w:pPr>
            <w:r w:rsidRPr="00CB1B48">
              <w:rPr>
                <w:rFonts w:asciiTheme="minorHAnsi" w:hAnsiTheme="minorHAnsi" w:cstheme="minorHAnsi"/>
              </w:rPr>
              <w:t>ВПІ, АФІ, ММА</w:t>
            </w:r>
          </w:p>
        </w:tc>
        <w:tc>
          <w:tcPr>
            <w:tcW w:w="1971" w:type="dxa"/>
            <w:shd w:val="clear" w:color="auto" w:fill="auto"/>
            <w:vAlign w:val="center"/>
          </w:tcPr>
          <w:p w:rsidR="00807641" w:rsidRPr="00CB1B48" w:rsidRDefault="00807641" w:rsidP="00C14EEF">
            <w:pPr>
              <w:rPr>
                <w:rFonts w:asciiTheme="minorHAnsi" w:hAnsiTheme="minorHAnsi" w:cstheme="minorHAnsi"/>
              </w:rPr>
            </w:pPr>
            <w:r w:rsidRPr="00CB1B48">
              <w:rPr>
                <w:rFonts w:asciiTheme="minorHAnsi" w:hAnsiTheme="minorHAnsi" w:cstheme="minorHAnsi"/>
              </w:rPr>
              <w:t>АСТ, РСЛ</w:t>
            </w:r>
          </w:p>
        </w:tc>
        <w:tc>
          <w:tcPr>
            <w:tcW w:w="1971" w:type="dxa"/>
            <w:shd w:val="clear" w:color="auto" w:fill="auto"/>
            <w:vAlign w:val="center"/>
          </w:tcPr>
          <w:p w:rsidR="00807641" w:rsidRPr="00CB1B48" w:rsidRDefault="00807641" w:rsidP="00C14EEF">
            <w:pPr>
              <w:rPr>
                <w:rFonts w:asciiTheme="minorHAnsi" w:hAnsiTheme="minorHAnsi" w:cstheme="minorHAnsi"/>
              </w:rPr>
            </w:pPr>
            <w:r w:rsidRPr="00CB1B48">
              <w:rPr>
                <w:rFonts w:asciiTheme="minorHAnsi" w:hAnsiTheme="minorHAnsi" w:cstheme="minorHAnsi"/>
              </w:rPr>
              <w:t>АФІ</w:t>
            </w:r>
          </w:p>
        </w:tc>
      </w:tr>
      <w:tr w:rsidR="0066638A" w:rsidRPr="0064329D" w:rsidTr="00CE60A7">
        <w:trPr>
          <w:cantSplit/>
          <w:trHeight w:hRule="exact" w:val="653"/>
          <w:jc w:val="center"/>
        </w:trPr>
        <w:sdt>
          <w:sdtPr>
            <w:rPr>
              <w:rFonts w:asciiTheme="minorHAnsi" w:hAnsiTheme="minorHAnsi" w:cstheme="minorHAnsi"/>
            </w:rPr>
            <w:alias w:val="Дата подання"/>
            <w:tag w:val=""/>
            <w:id w:val="2033453156"/>
            <w:dataBinding w:prefixMappings="xmlns:ns0='http://schemas.microsoft.com/office/2006/coverPageProps' " w:xpath="/ns0:CoverPageProperties[1]/ns0:PublishDate[1]" w:storeItemID="{55AF091B-3C7A-41E3-B477-F2FDAA23CFDA}"/>
            <w:date w:fullDate="2020-06-23T00:00:00Z">
              <w:dateFormat w:val="dd.MM.yyyy"/>
              <w:lid w:val="uk-UA"/>
              <w:storeMappedDataAs w:val="dateTime"/>
              <w:calendar w:val="gregorian"/>
            </w:date>
          </w:sdtPr>
          <w:sdtEndPr/>
          <w:sdtContent>
            <w:tc>
              <w:tcPr>
                <w:tcW w:w="1969" w:type="dxa"/>
                <w:shd w:val="clear" w:color="auto" w:fill="auto"/>
                <w:vAlign w:val="center"/>
              </w:tcPr>
              <w:p w:rsidR="00936BD7" w:rsidRPr="00CB1B48" w:rsidRDefault="00807641" w:rsidP="00C14EEF">
                <w:pPr>
                  <w:rPr>
                    <w:rFonts w:asciiTheme="minorHAnsi" w:hAnsiTheme="minorHAnsi" w:cstheme="minorHAnsi"/>
                  </w:rPr>
                </w:pPr>
                <w:r w:rsidRPr="00CB1B48">
                  <w:rPr>
                    <w:rFonts w:asciiTheme="minorHAnsi" w:hAnsiTheme="minorHAnsi" w:cstheme="minorHAnsi"/>
                  </w:rPr>
                  <w:t>23.06.2020</w:t>
                </w:r>
              </w:p>
            </w:tc>
          </w:sdtContent>
        </w:sdt>
        <w:tc>
          <w:tcPr>
            <w:tcW w:w="1971" w:type="dxa"/>
            <w:shd w:val="clear" w:color="auto" w:fill="auto"/>
            <w:vAlign w:val="center"/>
          </w:tcPr>
          <w:p w:rsidR="00936BD7" w:rsidRPr="00CB1B48" w:rsidRDefault="00936BD7" w:rsidP="00C14EEF">
            <w:pPr>
              <w:rPr>
                <w:rFonts w:asciiTheme="minorHAnsi" w:hAnsiTheme="minorHAnsi" w:cstheme="minorHAnsi"/>
              </w:rPr>
            </w:pPr>
            <w:r w:rsidRPr="00CB1B48">
              <w:rPr>
                <w:rFonts w:asciiTheme="minorHAnsi" w:hAnsiTheme="minorHAnsi" w:cstheme="minorHAnsi"/>
              </w:rPr>
              <w:t>Ред.</w:t>
            </w:r>
            <w:sdt>
              <w:sdtPr>
                <w:rPr>
                  <w:rFonts w:asciiTheme="minorHAnsi" w:hAnsiTheme="minorHAnsi" w:cstheme="minorHAnsi"/>
                </w:rPr>
                <w:alias w:val="Стан"/>
                <w:tag w:val="Status"/>
                <w:id w:val="-898050228"/>
                <w:dataBinding w:prefixMappings="xmlns:ns0='http://purl.org/dc/elements/1.1/' xmlns:ns1='http://schemas.openxmlformats.org/package/2006/metadata/core-properties' " w:xpath="/ns1:coreProperties[1]/ns1:contentStatus[1]" w:storeItemID="{6C3C8BC8-F283-45AE-878A-BAB7291924A1}"/>
                <w:text w:multiLine="1"/>
              </w:sdtPr>
              <w:sdtEndPr/>
              <w:sdtContent>
                <w:r w:rsidR="00CE60A7" w:rsidRPr="00CB1B48">
                  <w:rPr>
                    <w:rFonts w:asciiTheme="minorHAnsi" w:hAnsiTheme="minorHAnsi" w:cstheme="minorHAnsi"/>
                  </w:rPr>
                  <w:t>0</w:t>
                </w:r>
                <w:r w:rsidR="00807641" w:rsidRPr="00CB1B48">
                  <w:rPr>
                    <w:rFonts w:asciiTheme="minorHAnsi" w:hAnsiTheme="minorHAnsi" w:cstheme="minorHAnsi"/>
                  </w:rPr>
                  <w:t>4</w:t>
                </w:r>
              </w:sdtContent>
            </w:sdt>
          </w:p>
        </w:tc>
        <w:tc>
          <w:tcPr>
            <w:tcW w:w="1971" w:type="dxa"/>
            <w:shd w:val="clear" w:color="auto" w:fill="auto"/>
            <w:vAlign w:val="center"/>
          </w:tcPr>
          <w:sdt>
            <w:sdtPr>
              <w:rPr>
                <w:rFonts w:asciiTheme="minorHAnsi" w:hAnsiTheme="minorHAnsi" w:cstheme="minorHAnsi"/>
              </w:rPr>
              <w:alias w:val="Автор:"/>
              <w:tag w:val="Autor"/>
              <w:id w:val="-1443448883"/>
              <w:dataBinding w:prefixMappings="xmlns:ns0='http://purl.org/dc/elements/1.1/' xmlns:ns1='http://schemas.openxmlformats.org/package/2006/metadata/core-properties' " w:xpath="/ns1:coreProperties[1]/ns0:creator[1]" w:storeItemID="{6C3C8BC8-F283-45AE-878A-BAB7291924A1}"/>
              <w:text/>
            </w:sdtPr>
            <w:sdtEndPr/>
            <w:sdtContent>
              <w:p w:rsidR="00936BD7" w:rsidRPr="00CB1B48" w:rsidRDefault="00CB1B48" w:rsidP="00C14EEF">
                <w:pPr>
                  <w:rPr>
                    <w:rFonts w:asciiTheme="minorHAnsi" w:hAnsiTheme="minorHAnsi" w:cstheme="minorHAnsi"/>
                    <w:lang w:val="fr-FR"/>
                  </w:rPr>
                </w:pPr>
                <w:r w:rsidRPr="00CB1B48">
                  <w:rPr>
                    <w:rFonts w:asciiTheme="minorHAnsi" w:hAnsiTheme="minorHAnsi" w:cstheme="minorHAnsi"/>
                  </w:rPr>
                  <w:t>ВПІ, АФІ, MMA</w:t>
                </w:r>
              </w:p>
            </w:sdtContent>
          </w:sdt>
        </w:tc>
        <w:tc>
          <w:tcPr>
            <w:tcW w:w="1971" w:type="dxa"/>
            <w:shd w:val="clear" w:color="auto" w:fill="auto"/>
            <w:vAlign w:val="center"/>
          </w:tcPr>
          <w:p w:rsidR="00936BD7" w:rsidRPr="00CB1B48" w:rsidRDefault="00006A20" w:rsidP="00C14EEF">
            <w:pPr>
              <w:rPr>
                <w:rFonts w:asciiTheme="minorHAnsi" w:hAnsiTheme="minorHAnsi" w:cstheme="minorHAnsi"/>
              </w:rPr>
            </w:pPr>
            <w:r w:rsidRPr="00CB1B48">
              <w:rPr>
                <w:rFonts w:asciiTheme="minorHAnsi" w:hAnsiTheme="minorHAnsi" w:cstheme="minorHAnsi"/>
              </w:rPr>
              <w:t>АСТ, РСЛ</w:t>
            </w:r>
          </w:p>
        </w:tc>
        <w:tc>
          <w:tcPr>
            <w:tcW w:w="1971" w:type="dxa"/>
            <w:shd w:val="clear" w:color="auto" w:fill="auto"/>
            <w:vAlign w:val="center"/>
          </w:tcPr>
          <w:p w:rsidR="00936BD7" w:rsidRPr="00CB1B48" w:rsidRDefault="00006A20" w:rsidP="00C14EEF">
            <w:pPr>
              <w:rPr>
                <w:rFonts w:asciiTheme="minorHAnsi" w:hAnsiTheme="minorHAnsi" w:cstheme="minorHAnsi"/>
              </w:rPr>
            </w:pPr>
            <w:r w:rsidRPr="00CB1B48">
              <w:rPr>
                <w:rFonts w:asciiTheme="minorHAnsi" w:hAnsiTheme="minorHAnsi" w:cstheme="minorHAnsi"/>
              </w:rPr>
              <w:t>АФІ</w:t>
            </w:r>
          </w:p>
        </w:tc>
      </w:tr>
      <w:tr w:rsidR="0066638A" w:rsidRPr="003D6D01" w:rsidTr="00CE60A7">
        <w:trPr>
          <w:cantSplit/>
          <w:trHeight w:hRule="exact" w:val="340"/>
          <w:jc w:val="center"/>
        </w:trPr>
        <w:tc>
          <w:tcPr>
            <w:tcW w:w="1969" w:type="dxa"/>
            <w:vAlign w:val="center"/>
          </w:tcPr>
          <w:p w:rsidR="00936BD7" w:rsidRPr="003D6D01" w:rsidRDefault="00936BD7" w:rsidP="00C14EEF">
            <w:pPr>
              <w:pStyle w:val="Textzeilentabelle"/>
              <w:jc w:val="left"/>
              <w:rPr>
                <w:rFonts w:ascii="Arial" w:hAnsi="Arial" w:cs="Arial"/>
                <w:b w:val="0"/>
                <w:color w:val="auto"/>
                <w:szCs w:val="22"/>
              </w:rPr>
            </w:pPr>
          </w:p>
        </w:tc>
        <w:tc>
          <w:tcPr>
            <w:tcW w:w="1971" w:type="dxa"/>
            <w:vAlign w:val="center"/>
          </w:tcPr>
          <w:p w:rsidR="00936BD7" w:rsidRPr="003D6D01" w:rsidRDefault="00936BD7" w:rsidP="00C14EEF">
            <w:pPr>
              <w:pStyle w:val="Textzeilentabelle"/>
              <w:jc w:val="left"/>
              <w:rPr>
                <w:rFonts w:ascii="Arial" w:hAnsi="Arial" w:cs="Arial"/>
                <w:b w:val="0"/>
                <w:color w:val="auto"/>
                <w:szCs w:val="22"/>
              </w:rPr>
            </w:pPr>
          </w:p>
        </w:tc>
        <w:tc>
          <w:tcPr>
            <w:tcW w:w="1971" w:type="dxa"/>
            <w:vAlign w:val="center"/>
          </w:tcPr>
          <w:p w:rsidR="00936BD7" w:rsidRPr="003D6D01" w:rsidRDefault="00936BD7" w:rsidP="00C14EEF">
            <w:pPr>
              <w:pStyle w:val="Textzeilentabelle"/>
              <w:jc w:val="left"/>
              <w:rPr>
                <w:rFonts w:ascii="Arial" w:hAnsi="Arial" w:cs="Arial"/>
                <w:b w:val="0"/>
                <w:color w:val="auto"/>
                <w:szCs w:val="22"/>
              </w:rPr>
            </w:pPr>
          </w:p>
        </w:tc>
        <w:tc>
          <w:tcPr>
            <w:tcW w:w="1971" w:type="dxa"/>
            <w:vAlign w:val="center"/>
          </w:tcPr>
          <w:p w:rsidR="00936BD7" w:rsidRPr="003D6D01" w:rsidRDefault="00936BD7" w:rsidP="00C14EEF">
            <w:pPr>
              <w:pStyle w:val="Textzeilentabelle"/>
              <w:jc w:val="left"/>
              <w:rPr>
                <w:rFonts w:ascii="Arial" w:hAnsi="Arial" w:cs="Arial"/>
                <w:b w:val="0"/>
                <w:color w:val="auto"/>
                <w:szCs w:val="22"/>
              </w:rPr>
            </w:pPr>
          </w:p>
        </w:tc>
        <w:tc>
          <w:tcPr>
            <w:tcW w:w="1971" w:type="dxa"/>
            <w:vAlign w:val="center"/>
          </w:tcPr>
          <w:p w:rsidR="00936BD7" w:rsidRPr="003D6D01" w:rsidRDefault="00936BD7" w:rsidP="00C14EEF">
            <w:pPr>
              <w:pStyle w:val="Textzeilentabelle"/>
              <w:jc w:val="left"/>
              <w:rPr>
                <w:rFonts w:ascii="Arial" w:hAnsi="Arial" w:cs="Arial"/>
                <w:b w:val="0"/>
                <w:color w:val="auto"/>
                <w:szCs w:val="22"/>
              </w:rPr>
            </w:pPr>
          </w:p>
        </w:tc>
      </w:tr>
    </w:tbl>
    <w:p w:rsidR="00AD77CF" w:rsidRPr="0064329D" w:rsidRDefault="00AD77CF" w:rsidP="00C14EEF">
      <w:pPr>
        <w:pStyle w:val="HydrophilStandard"/>
        <w:spacing w:after="0"/>
        <w:contextualSpacing w:val="0"/>
        <w:rPr>
          <w:noProof w:val="0"/>
          <w:lang w:val="en-GB"/>
        </w:rPr>
      </w:pPr>
    </w:p>
    <w:p w:rsidR="00B655FF" w:rsidRPr="0064329D" w:rsidRDefault="00B655FF" w:rsidP="00C14EEF">
      <w:r>
        <w:br w:type="page"/>
      </w:r>
    </w:p>
    <w:p w:rsidR="0066638A" w:rsidRPr="0064329D" w:rsidRDefault="0066638A" w:rsidP="00C14EEF">
      <w:pPr>
        <w:pStyle w:val="HydrophilStandardFett"/>
        <w:spacing w:before="0" w:after="0"/>
        <w:contextualSpacing w:val="0"/>
        <w:rPr>
          <w:noProof w:val="0"/>
          <w:lang w:val="en-GB"/>
        </w:rPr>
      </w:pPr>
    </w:p>
    <w:p w:rsidR="0066638A" w:rsidRPr="0064329D" w:rsidRDefault="0066638A" w:rsidP="00C14EEF">
      <w:pPr>
        <w:pStyle w:val="HydrophilStandardFett"/>
        <w:spacing w:before="0" w:after="0"/>
        <w:contextualSpacing w:val="0"/>
        <w:rPr>
          <w:noProof w:val="0"/>
          <w:lang w:val="en-GB"/>
        </w:rPr>
      </w:pPr>
    </w:p>
    <w:p w:rsidR="00D569EA" w:rsidRPr="0064329D" w:rsidRDefault="0066638A" w:rsidP="00C14EEF">
      <w:pPr>
        <w:pStyle w:val="HydrophilStandardFett"/>
        <w:spacing w:before="0" w:after="0"/>
        <w:contextualSpacing w:val="0"/>
        <w:rPr>
          <w:noProof w:val="0"/>
        </w:rPr>
      </w:pPr>
      <w:r>
        <w:t>Зміст</w:t>
      </w:r>
    </w:p>
    <w:p w:rsidR="0066638A" w:rsidRPr="0064329D" w:rsidRDefault="0066638A" w:rsidP="00C14EEF">
      <w:pPr>
        <w:pStyle w:val="HydrophilStandard"/>
        <w:spacing w:after="0"/>
        <w:contextualSpacing w:val="0"/>
        <w:rPr>
          <w:noProof w:val="0"/>
          <w:lang w:val="en-GB"/>
        </w:rPr>
      </w:pPr>
    </w:p>
    <w:p w:rsidR="00CB1B48" w:rsidRDefault="003578B6" w:rsidP="00C14EEF">
      <w:pPr>
        <w:pStyle w:val="12"/>
        <w:tabs>
          <w:tab w:val="left" w:pos="442"/>
          <w:tab w:val="right" w:leader="dot" w:pos="9627"/>
        </w:tabs>
        <w:spacing w:before="0" w:after="0"/>
        <w:rPr>
          <w:rFonts w:eastAsiaTheme="minorEastAsia" w:cstheme="minorBidi"/>
          <w:b w:val="0"/>
          <w:bCs w:val="0"/>
          <w:caps w:val="0"/>
          <w:noProof/>
          <w:sz w:val="22"/>
          <w:szCs w:val="22"/>
          <w:lang w:eastAsia="uk-UA"/>
        </w:rPr>
      </w:pPr>
      <w:r w:rsidRPr="0064329D">
        <w:fldChar w:fldCharType="begin"/>
      </w:r>
      <w:r w:rsidRPr="0064329D">
        <w:instrText xml:space="preserve"> TOC \</w:instrText>
      </w:r>
      <w:r w:rsidR="0042520B" w:rsidRPr="0064329D">
        <w:instrText>b"Main"</w:instrText>
      </w:r>
      <w:r w:rsidRPr="0064329D">
        <w:instrText xml:space="preserve">\u </w:instrText>
      </w:r>
      <w:r w:rsidRPr="0064329D">
        <w:fldChar w:fldCharType="separate"/>
      </w:r>
      <w:r w:rsidR="00CB1B48">
        <w:rPr>
          <w:noProof/>
        </w:rPr>
        <w:t>1</w:t>
      </w:r>
      <w:r w:rsidR="00CB1B48">
        <w:rPr>
          <w:rFonts w:eastAsiaTheme="minorEastAsia" w:cstheme="minorBidi"/>
          <w:b w:val="0"/>
          <w:bCs w:val="0"/>
          <w:caps w:val="0"/>
          <w:noProof/>
          <w:sz w:val="22"/>
          <w:szCs w:val="22"/>
          <w:lang w:eastAsia="uk-UA"/>
        </w:rPr>
        <w:tab/>
      </w:r>
      <w:r w:rsidR="00CB1B48">
        <w:rPr>
          <w:noProof/>
        </w:rPr>
        <w:t>ПОЯСНЮВАЛЬНА ЗАПИСКА</w:t>
      </w:r>
      <w:r w:rsidR="00CB1B48">
        <w:rPr>
          <w:noProof/>
        </w:rPr>
        <w:tab/>
      </w:r>
      <w:r w:rsidR="00CB1B48">
        <w:rPr>
          <w:noProof/>
        </w:rPr>
        <w:fldChar w:fldCharType="begin"/>
      </w:r>
      <w:r w:rsidR="00CB1B48">
        <w:rPr>
          <w:noProof/>
        </w:rPr>
        <w:instrText xml:space="preserve"> PAGEREF _Toc48392525 \h </w:instrText>
      </w:r>
      <w:r w:rsidR="00CB1B48">
        <w:rPr>
          <w:noProof/>
        </w:rPr>
      </w:r>
      <w:r w:rsidR="00CB1B48">
        <w:rPr>
          <w:noProof/>
        </w:rPr>
        <w:fldChar w:fldCharType="separate"/>
      </w:r>
      <w:r w:rsidR="00CB1B48">
        <w:rPr>
          <w:noProof/>
        </w:rPr>
        <w:t>6</w:t>
      </w:r>
      <w:r w:rsidR="00CB1B48">
        <w:rPr>
          <w:noProof/>
        </w:rPr>
        <w:fldChar w:fldCharType="end"/>
      </w:r>
    </w:p>
    <w:p w:rsidR="00CB1B48" w:rsidRDefault="00CB1B48" w:rsidP="00C14EEF">
      <w:pPr>
        <w:pStyle w:val="12"/>
        <w:tabs>
          <w:tab w:val="left" w:pos="442"/>
          <w:tab w:val="right" w:leader="dot" w:pos="9627"/>
        </w:tabs>
        <w:spacing w:before="0" w:after="0"/>
        <w:rPr>
          <w:rFonts w:eastAsiaTheme="minorEastAsia" w:cstheme="minorBidi"/>
          <w:b w:val="0"/>
          <w:bCs w:val="0"/>
          <w:caps w:val="0"/>
          <w:noProof/>
          <w:sz w:val="22"/>
          <w:szCs w:val="22"/>
          <w:lang w:eastAsia="uk-UA"/>
        </w:rPr>
      </w:pPr>
      <w:r>
        <w:rPr>
          <w:noProof/>
        </w:rPr>
        <w:t>2</w:t>
      </w:r>
      <w:r>
        <w:rPr>
          <w:rFonts w:eastAsiaTheme="minorEastAsia" w:cstheme="minorBidi"/>
          <w:b w:val="0"/>
          <w:bCs w:val="0"/>
          <w:caps w:val="0"/>
          <w:noProof/>
          <w:sz w:val="22"/>
          <w:szCs w:val="22"/>
          <w:lang w:eastAsia="uk-UA"/>
        </w:rPr>
        <w:tab/>
      </w:r>
      <w:r>
        <w:rPr>
          <w:noProof/>
        </w:rPr>
        <w:t>Вступ</w:t>
      </w:r>
      <w:r>
        <w:rPr>
          <w:noProof/>
        </w:rPr>
        <w:tab/>
      </w:r>
      <w:r>
        <w:rPr>
          <w:noProof/>
        </w:rPr>
        <w:fldChar w:fldCharType="begin"/>
      </w:r>
      <w:r>
        <w:rPr>
          <w:noProof/>
        </w:rPr>
        <w:instrText xml:space="preserve"> PAGEREF _Toc48392526 \h </w:instrText>
      </w:r>
      <w:r>
        <w:rPr>
          <w:noProof/>
        </w:rPr>
      </w:r>
      <w:r>
        <w:rPr>
          <w:noProof/>
        </w:rPr>
        <w:fldChar w:fldCharType="separate"/>
      </w:r>
      <w:r>
        <w:rPr>
          <w:noProof/>
        </w:rPr>
        <w:t>7</w:t>
      </w:r>
      <w:r>
        <w:rPr>
          <w:noProof/>
        </w:rPr>
        <w:fldChar w:fldCharType="end"/>
      </w:r>
    </w:p>
    <w:p w:rsidR="00CB1B48" w:rsidRDefault="00CB1B48" w:rsidP="00C14EEF">
      <w:pPr>
        <w:pStyle w:val="12"/>
        <w:tabs>
          <w:tab w:val="left" w:pos="442"/>
          <w:tab w:val="right" w:leader="dot" w:pos="9627"/>
        </w:tabs>
        <w:spacing w:before="0" w:after="0"/>
        <w:rPr>
          <w:rFonts w:eastAsiaTheme="minorEastAsia" w:cstheme="minorBidi"/>
          <w:b w:val="0"/>
          <w:bCs w:val="0"/>
          <w:caps w:val="0"/>
          <w:noProof/>
          <w:sz w:val="22"/>
          <w:szCs w:val="22"/>
          <w:lang w:eastAsia="uk-UA"/>
        </w:rPr>
      </w:pPr>
      <w:r>
        <w:rPr>
          <w:noProof/>
        </w:rPr>
        <w:t>3</w:t>
      </w:r>
      <w:r>
        <w:rPr>
          <w:rFonts w:eastAsiaTheme="minorEastAsia" w:cstheme="minorBidi"/>
          <w:b w:val="0"/>
          <w:bCs w:val="0"/>
          <w:caps w:val="0"/>
          <w:noProof/>
          <w:sz w:val="22"/>
          <w:szCs w:val="22"/>
          <w:lang w:eastAsia="uk-UA"/>
        </w:rPr>
        <w:tab/>
      </w:r>
      <w:r>
        <w:rPr>
          <w:noProof/>
        </w:rPr>
        <w:t>Фінансові звіти за 2014-2019 роки</w:t>
      </w:r>
      <w:r>
        <w:rPr>
          <w:noProof/>
        </w:rPr>
        <w:tab/>
      </w:r>
      <w:r>
        <w:rPr>
          <w:noProof/>
        </w:rPr>
        <w:fldChar w:fldCharType="begin"/>
      </w:r>
      <w:r>
        <w:rPr>
          <w:noProof/>
        </w:rPr>
        <w:instrText xml:space="preserve"> PAGEREF _Toc48392527 \h </w:instrText>
      </w:r>
      <w:r>
        <w:rPr>
          <w:noProof/>
        </w:rPr>
      </w:r>
      <w:r>
        <w:rPr>
          <w:noProof/>
        </w:rPr>
        <w:fldChar w:fldCharType="separate"/>
      </w:r>
      <w:r>
        <w:rPr>
          <w:noProof/>
        </w:rPr>
        <w:t>7</w:t>
      </w:r>
      <w:r>
        <w:rPr>
          <w:noProof/>
        </w:rPr>
        <w:fldChar w:fldCharType="end"/>
      </w:r>
    </w:p>
    <w:p w:rsidR="00CB1B48" w:rsidRDefault="00CB1B48" w:rsidP="00C14EEF">
      <w:pPr>
        <w:pStyle w:val="22"/>
        <w:spacing w:before="0" w:after="0"/>
        <w:rPr>
          <w:rFonts w:eastAsiaTheme="minorEastAsia" w:cstheme="minorBidi"/>
          <w:b w:val="0"/>
          <w:smallCaps w:val="0"/>
          <w:sz w:val="22"/>
          <w:szCs w:val="22"/>
          <w:lang w:eastAsia="uk-UA"/>
        </w:rPr>
      </w:pPr>
      <w:r>
        <w:t>3.1</w:t>
      </w:r>
      <w:r>
        <w:rPr>
          <w:rFonts w:eastAsiaTheme="minorEastAsia" w:cstheme="minorBidi"/>
          <w:b w:val="0"/>
          <w:smallCaps w:val="0"/>
          <w:sz w:val="22"/>
          <w:szCs w:val="22"/>
          <w:lang w:eastAsia="uk-UA"/>
        </w:rPr>
        <w:tab/>
      </w:r>
      <w:r>
        <w:t>Баланс</w:t>
      </w:r>
      <w:r>
        <w:tab/>
      </w:r>
      <w:r>
        <w:fldChar w:fldCharType="begin"/>
      </w:r>
      <w:r>
        <w:instrText xml:space="preserve"> PAGEREF _Toc48392528 \h </w:instrText>
      </w:r>
      <w:r>
        <w:fldChar w:fldCharType="separate"/>
      </w:r>
      <w:r>
        <w:t>7</w:t>
      </w:r>
      <w:r>
        <w:fldChar w:fldCharType="end"/>
      </w:r>
    </w:p>
    <w:p w:rsidR="00CB1B48" w:rsidRDefault="00CB1B48" w:rsidP="00C14EEF">
      <w:pPr>
        <w:pStyle w:val="33"/>
        <w:spacing w:before="0" w:after="0"/>
        <w:rPr>
          <w:rFonts w:eastAsiaTheme="minorEastAsia" w:cstheme="minorBidi"/>
          <w:b w:val="0"/>
          <w:iCs w:val="0"/>
          <w:sz w:val="22"/>
          <w:szCs w:val="22"/>
          <w:lang w:eastAsia="uk-UA"/>
        </w:rPr>
      </w:pPr>
      <w:r>
        <w:t>3.1.1</w:t>
      </w:r>
      <w:r>
        <w:rPr>
          <w:rFonts w:eastAsiaTheme="minorEastAsia" w:cstheme="minorBidi"/>
          <w:b w:val="0"/>
          <w:iCs w:val="0"/>
          <w:sz w:val="22"/>
          <w:szCs w:val="22"/>
          <w:lang w:eastAsia="uk-UA"/>
        </w:rPr>
        <w:tab/>
      </w:r>
      <w:r>
        <w:t>Дебіторська та кредиторська заборгованість</w:t>
      </w:r>
      <w:r>
        <w:tab/>
      </w:r>
      <w:r>
        <w:fldChar w:fldCharType="begin"/>
      </w:r>
      <w:r>
        <w:instrText xml:space="preserve"> PAGEREF _Toc48392529 \h </w:instrText>
      </w:r>
      <w:r>
        <w:fldChar w:fldCharType="separate"/>
      </w:r>
      <w:r>
        <w:t>10</w:t>
      </w:r>
      <w:r>
        <w:fldChar w:fldCharType="end"/>
      </w:r>
    </w:p>
    <w:p w:rsidR="00CB1B48" w:rsidRDefault="00CB1B48" w:rsidP="00C14EEF">
      <w:pPr>
        <w:pStyle w:val="22"/>
        <w:spacing w:before="0" w:after="0"/>
        <w:rPr>
          <w:rFonts w:eastAsiaTheme="minorEastAsia" w:cstheme="minorBidi"/>
          <w:b w:val="0"/>
          <w:smallCaps w:val="0"/>
          <w:sz w:val="22"/>
          <w:szCs w:val="22"/>
          <w:lang w:eastAsia="uk-UA"/>
        </w:rPr>
      </w:pPr>
      <w:r>
        <w:t>3.2</w:t>
      </w:r>
      <w:r>
        <w:rPr>
          <w:rFonts w:eastAsiaTheme="minorEastAsia" w:cstheme="minorBidi"/>
          <w:b w:val="0"/>
          <w:smallCaps w:val="0"/>
          <w:sz w:val="22"/>
          <w:szCs w:val="22"/>
          <w:lang w:eastAsia="uk-UA"/>
        </w:rPr>
        <w:tab/>
      </w:r>
      <w:r>
        <w:t>Звіт про фінансові результати</w:t>
      </w:r>
      <w:r>
        <w:tab/>
      </w:r>
      <w:r>
        <w:fldChar w:fldCharType="begin"/>
      </w:r>
      <w:r>
        <w:instrText xml:space="preserve"> PAGEREF _Toc48392530 \h </w:instrText>
      </w:r>
      <w:r>
        <w:fldChar w:fldCharType="separate"/>
      </w:r>
      <w:r>
        <w:t>10</w:t>
      </w:r>
      <w:r>
        <w:fldChar w:fldCharType="end"/>
      </w:r>
    </w:p>
    <w:p w:rsidR="00CB1B48" w:rsidRDefault="00CB1B48" w:rsidP="00C14EEF">
      <w:pPr>
        <w:pStyle w:val="33"/>
        <w:spacing w:before="0" w:after="0"/>
        <w:rPr>
          <w:rFonts w:eastAsiaTheme="minorEastAsia" w:cstheme="minorBidi"/>
          <w:b w:val="0"/>
          <w:iCs w:val="0"/>
          <w:sz w:val="22"/>
          <w:szCs w:val="22"/>
          <w:lang w:eastAsia="uk-UA"/>
        </w:rPr>
      </w:pPr>
      <w:r>
        <w:t>3.2.1</w:t>
      </w:r>
      <w:r>
        <w:rPr>
          <w:rFonts w:eastAsiaTheme="minorEastAsia" w:cstheme="minorBidi"/>
          <w:b w:val="0"/>
          <w:iCs w:val="0"/>
          <w:sz w:val="22"/>
          <w:szCs w:val="22"/>
          <w:lang w:eastAsia="uk-UA"/>
        </w:rPr>
        <w:tab/>
      </w:r>
      <w:r>
        <w:t>Чистий дохід від основної діяльності (або дохід за товарними групами)</w:t>
      </w:r>
      <w:r>
        <w:tab/>
      </w:r>
      <w:r>
        <w:fldChar w:fldCharType="begin"/>
      </w:r>
      <w:r>
        <w:instrText xml:space="preserve"> PAGEREF _Toc48392531 \h </w:instrText>
      </w:r>
      <w:r>
        <w:fldChar w:fldCharType="separate"/>
      </w:r>
      <w:r>
        <w:t>10</w:t>
      </w:r>
      <w:r>
        <w:fldChar w:fldCharType="end"/>
      </w:r>
    </w:p>
    <w:p w:rsidR="00CB1B48" w:rsidRDefault="00CB1B48" w:rsidP="00C14EEF">
      <w:pPr>
        <w:pStyle w:val="33"/>
        <w:spacing w:before="0" w:after="0"/>
        <w:rPr>
          <w:rFonts w:eastAsiaTheme="minorEastAsia" w:cstheme="minorBidi"/>
          <w:b w:val="0"/>
          <w:iCs w:val="0"/>
          <w:sz w:val="22"/>
          <w:szCs w:val="22"/>
          <w:lang w:eastAsia="uk-UA"/>
        </w:rPr>
      </w:pPr>
      <w:r>
        <w:t>3.2.2</w:t>
      </w:r>
      <w:r>
        <w:rPr>
          <w:rFonts w:eastAsiaTheme="minorEastAsia" w:cstheme="minorBidi"/>
          <w:b w:val="0"/>
          <w:iCs w:val="0"/>
          <w:sz w:val="22"/>
          <w:szCs w:val="22"/>
          <w:lang w:eastAsia="uk-UA"/>
        </w:rPr>
        <w:tab/>
      </w:r>
      <w:r>
        <w:t>Собівартість проданих товарів (СПТ)</w:t>
      </w:r>
      <w:r>
        <w:tab/>
      </w:r>
      <w:r>
        <w:fldChar w:fldCharType="begin"/>
      </w:r>
      <w:r>
        <w:instrText xml:space="preserve"> PAGEREF _Toc48392532 \h </w:instrText>
      </w:r>
      <w:r>
        <w:fldChar w:fldCharType="separate"/>
      </w:r>
      <w:r>
        <w:t>10</w:t>
      </w:r>
      <w:r>
        <w:fldChar w:fldCharType="end"/>
      </w:r>
    </w:p>
    <w:p w:rsidR="00CB1B48" w:rsidRDefault="00CB1B48" w:rsidP="00C14EEF">
      <w:pPr>
        <w:pStyle w:val="33"/>
        <w:spacing w:before="0" w:after="0"/>
        <w:rPr>
          <w:rFonts w:eastAsiaTheme="minorEastAsia" w:cstheme="minorBidi"/>
          <w:b w:val="0"/>
          <w:iCs w:val="0"/>
          <w:sz w:val="22"/>
          <w:szCs w:val="22"/>
          <w:lang w:eastAsia="uk-UA"/>
        </w:rPr>
      </w:pPr>
      <w:r>
        <w:t>3.2.3</w:t>
      </w:r>
      <w:r>
        <w:rPr>
          <w:rFonts w:eastAsiaTheme="minorEastAsia" w:cstheme="minorBidi"/>
          <w:b w:val="0"/>
          <w:iCs w:val="0"/>
          <w:sz w:val="22"/>
          <w:szCs w:val="22"/>
          <w:lang w:eastAsia="uk-UA"/>
        </w:rPr>
        <w:tab/>
      </w:r>
      <w:r>
        <w:t>Валовий прибуток (ВП)</w:t>
      </w:r>
      <w:r>
        <w:tab/>
      </w:r>
      <w:r>
        <w:fldChar w:fldCharType="begin"/>
      </w:r>
      <w:r>
        <w:instrText xml:space="preserve"> PAGEREF _Toc48392533 \h </w:instrText>
      </w:r>
      <w:r>
        <w:fldChar w:fldCharType="separate"/>
      </w:r>
      <w:r>
        <w:t>11</w:t>
      </w:r>
      <w:r>
        <w:fldChar w:fldCharType="end"/>
      </w:r>
    </w:p>
    <w:p w:rsidR="00CB1B48" w:rsidRDefault="00CB1B48" w:rsidP="00C14EEF">
      <w:pPr>
        <w:pStyle w:val="33"/>
        <w:spacing w:before="0" w:after="0"/>
        <w:rPr>
          <w:rFonts w:eastAsiaTheme="minorEastAsia" w:cstheme="minorBidi"/>
          <w:b w:val="0"/>
          <w:iCs w:val="0"/>
          <w:sz w:val="22"/>
          <w:szCs w:val="22"/>
          <w:lang w:eastAsia="uk-UA"/>
        </w:rPr>
      </w:pPr>
      <w:r>
        <w:t>3.2.4</w:t>
      </w:r>
      <w:r>
        <w:rPr>
          <w:rFonts w:eastAsiaTheme="minorEastAsia" w:cstheme="minorBidi"/>
          <w:b w:val="0"/>
          <w:iCs w:val="0"/>
          <w:sz w:val="22"/>
          <w:szCs w:val="22"/>
          <w:lang w:eastAsia="uk-UA"/>
        </w:rPr>
        <w:tab/>
      </w:r>
      <w:r>
        <w:t>Операційні витрати</w:t>
      </w:r>
      <w:r>
        <w:tab/>
      </w:r>
      <w:r>
        <w:fldChar w:fldCharType="begin"/>
      </w:r>
      <w:r>
        <w:instrText xml:space="preserve"> PAGEREF _Toc48392534 \h </w:instrText>
      </w:r>
      <w:r>
        <w:fldChar w:fldCharType="separate"/>
      </w:r>
      <w:r>
        <w:t>12</w:t>
      </w:r>
      <w:r>
        <w:fldChar w:fldCharType="end"/>
      </w:r>
    </w:p>
    <w:p w:rsidR="00CB1B48" w:rsidRDefault="00CB1B48" w:rsidP="00C14EEF">
      <w:pPr>
        <w:pStyle w:val="33"/>
        <w:spacing w:before="0" w:after="0"/>
        <w:rPr>
          <w:rFonts w:eastAsiaTheme="minorEastAsia" w:cstheme="minorBidi"/>
          <w:b w:val="0"/>
          <w:iCs w:val="0"/>
          <w:sz w:val="22"/>
          <w:szCs w:val="22"/>
          <w:lang w:eastAsia="uk-UA"/>
        </w:rPr>
      </w:pPr>
      <w:r>
        <w:t>3.2.5</w:t>
      </w:r>
      <w:r>
        <w:rPr>
          <w:rFonts w:eastAsiaTheme="minorEastAsia" w:cstheme="minorBidi"/>
          <w:b w:val="0"/>
          <w:iCs w:val="0"/>
          <w:sz w:val="22"/>
          <w:szCs w:val="22"/>
          <w:lang w:eastAsia="uk-UA"/>
        </w:rPr>
        <w:tab/>
      </w:r>
      <w:r>
        <w:t>Операційний прибуток (або збиток)</w:t>
      </w:r>
      <w:r>
        <w:tab/>
      </w:r>
      <w:r>
        <w:fldChar w:fldCharType="begin"/>
      </w:r>
      <w:r>
        <w:instrText xml:space="preserve"> PAGEREF _Toc48392535 \h </w:instrText>
      </w:r>
      <w:r>
        <w:fldChar w:fldCharType="separate"/>
      </w:r>
      <w:r>
        <w:t>12</w:t>
      </w:r>
      <w:r>
        <w:fldChar w:fldCharType="end"/>
      </w:r>
    </w:p>
    <w:p w:rsidR="00CB1B48" w:rsidRDefault="00CB1B48" w:rsidP="00C14EEF">
      <w:pPr>
        <w:pStyle w:val="33"/>
        <w:spacing w:before="0" w:after="0"/>
        <w:rPr>
          <w:rFonts w:eastAsiaTheme="minorEastAsia" w:cstheme="minorBidi"/>
          <w:b w:val="0"/>
          <w:iCs w:val="0"/>
          <w:sz w:val="22"/>
          <w:szCs w:val="22"/>
          <w:lang w:eastAsia="uk-UA"/>
        </w:rPr>
      </w:pPr>
      <w:r>
        <w:t>3.2.6</w:t>
      </w:r>
      <w:r>
        <w:rPr>
          <w:rFonts w:eastAsiaTheme="minorEastAsia" w:cstheme="minorBidi"/>
          <w:b w:val="0"/>
          <w:iCs w:val="0"/>
          <w:sz w:val="22"/>
          <w:szCs w:val="22"/>
          <w:lang w:eastAsia="uk-UA"/>
        </w:rPr>
        <w:tab/>
      </w:r>
      <w:r>
        <w:t>EBITDA, EBIT та EBT</w:t>
      </w:r>
      <w:r>
        <w:tab/>
      </w:r>
      <w:r>
        <w:fldChar w:fldCharType="begin"/>
      </w:r>
      <w:r>
        <w:instrText xml:space="preserve"> PAGEREF _Toc48392536 \h </w:instrText>
      </w:r>
      <w:r>
        <w:fldChar w:fldCharType="separate"/>
      </w:r>
      <w:r>
        <w:t>12</w:t>
      </w:r>
      <w:r>
        <w:fldChar w:fldCharType="end"/>
      </w:r>
    </w:p>
    <w:p w:rsidR="00CB1B48" w:rsidRDefault="00CB1B48" w:rsidP="00C14EEF">
      <w:pPr>
        <w:pStyle w:val="33"/>
        <w:spacing w:before="0" w:after="0"/>
        <w:rPr>
          <w:rFonts w:eastAsiaTheme="minorEastAsia" w:cstheme="minorBidi"/>
          <w:b w:val="0"/>
          <w:iCs w:val="0"/>
          <w:sz w:val="22"/>
          <w:szCs w:val="22"/>
          <w:lang w:eastAsia="uk-UA"/>
        </w:rPr>
      </w:pPr>
      <w:r>
        <w:t>3.2.7</w:t>
      </w:r>
      <w:r>
        <w:rPr>
          <w:rFonts w:eastAsiaTheme="minorEastAsia" w:cstheme="minorBidi"/>
          <w:b w:val="0"/>
          <w:iCs w:val="0"/>
          <w:sz w:val="22"/>
          <w:szCs w:val="22"/>
          <w:lang w:eastAsia="uk-UA"/>
        </w:rPr>
        <w:tab/>
      </w:r>
      <w:r>
        <w:t>Чистий дохід</w:t>
      </w:r>
      <w:r>
        <w:tab/>
      </w:r>
      <w:r>
        <w:fldChar w:fldCharType="begin"/>
      </w:r>
      <w:r>
        <w:instrText xml:space="preserve"> PAGEREF _Toc48392537 \h </w:instrText>
      </w:r>
      <w:r>
        <w:fldChar w:fldCharType="separate"/>
      </w:r>
      <w:r>
        <w:t>12</w:t>
      </w:r>
      <w:r>
        <w:fldChar w:fldCharType="end"/>
      </w:r>
    </w:p>
    <w:p w:rsidR="00CB1B48" w:rsidRDefault="00CB1B48" w:rsidP="00C14EEF">
      <w:pPr>
        <w:pStyle w:val="22"/>
        <w:spacing w:before="0" w:after="0"/>
        <w:rPr>
          <w:rFonts w:eastAsiaTheme="minorEastAsia" w:cstheme="minorBidi"/>
          <w:b w:val="0"/>
          <w:smallCaps w:val="0"/>
          <w:sz w:val="22"/>
          <w:szCs w:val="22"/>
          <w:lang w:eastAsia="uk-UA"/>
        </w:rPr>
      </w:pPr>
      <w:r>
        <w:t>3.3</w:t>
      </w:r>
      <w:r>
        <w:rPr>
          <w:rFonts w:eastAsiaTheme="minorEastAsia" w:cstheme="minorBidi"/>
          <w:b w:val="0"/>
          <w:smallCaps w:val="0"/>
          <w:sz w:val="22"/>
          <w:szCs w:val="22"/>
          <w:lang w:eastAsia="uk-UA"/>
        </w:rPr>
        <w:tab/>
      </w:r>
      <w:r>
        <w:t>Звіт про рух грошових коштів</w:t>
      </w:r>
      <w:r>
        <w:tab/>
      </w:r>
      <w:r>
        <w:fldChar w:fldCharType="begin"/>
      </w:r>
      <w:r>
        <w:instrText xml:space="preserve"> PAGEREF _Toc48392538 \h </w:instrText>
      </w:r>
      <w:r>
        <w:fldChar w:fldCharType="separate"/>
      </w:r>
      <w:r>
        <w:t>13</w:t>
      </w:r>
      <w:r>
        <w:fldChar w:fldCharType="end"/>
      </w:r>
    </w:p>
    <w:p w:rsidR="00CB1B48" w:rsidRDefault="00CB1B48" w:rsidP="00C14EEF">
      <w:pPr>
        <w:pStyle w:val="12"/>
        <w:tabs>
          <w:tab w:val="left" w:pos="442"/>
          <w:tab w:val="right" w:leader="dot" w:pos="9627"/>
        </w:tabs>
        <w:spacing w:before="0" w:after="0"/>
        <w:rPr>
          <w:rFonts w:eastAsiaTheme="minorEastAsia" w:cstheme="minorBidi"/>
          <w:b w:val="0"/>
          <w:bCs w:val="0"/>
          <w:caps w:val="0"/>
          <w:noProof/>
          <w:sz w:val="22"/>
          <w:szCs w:val="22"/>
          <w:lang w:eastAsia="uk-UA"/>
        </w:rPr>
      </w:pPr>
      <w:r>
        <w:rPr>
          <w:noProof/>
        </w:rPr>
        <w:t>4</w:t>
      </w:r>
      <w:r>
        <w:rPr>
          <w:rFonts w:eastAsiaTheme="minorEastAsia" w:cstheme="minorBidi"/>
          <w:b w:val="0"/>
          <w:bCs w:val="0"/>
          <w:caps w:val="0"/>
          <w:noProof/>
          <w:sz w:val="22"/>
          <w:szCs w:val="22"/>
          <w:lang w:eastAsia="uk-UA"/>
        </w:rPr>
        <w:tab/>
      </w:r>
      <w:r>
        <w:rPr>
          <w:noProof/>
        </w:rPr>
        <w:t>ОСНОВНІ ФІНАНСОВІ ПОКАЗНИКИ</w:t>
      </w:r>
      <w:r>
        <w:rPr>
          <w:noProof/>
        </w:rPr>
        <w:tab/>
      </w:r>
      <w:r>
        <w:rPr>
          <w:noProof/>
        </w:rPr>
        <w:fldChar w:fldCharType="begin"/>
      </w:r>
      <w:r>
        <w:rPr>
          <w:noProof/>
        </w:rPr>
        <w:instrText xml:space="preserve"> PAGEREF _Toc48392539 \h </w:instrText>
      </w:r>
      <w:r>
        <w:rPr>
          <w:noProof/>
        </w:rPr>
      </w:r>
      <w:r>
        <w:rPr>
          <w:noProof/>
        </w:rPr>
        <w:fldChar w:fldCharType="separate"/>
      </w:r>
      <w:r>
        <w:rPr>
          <w:noProof/>
        </w:rPr>
        <w:t>14</w:t>
      </w:r>
      <w:r>
        <w:rPr>
          <w:noProof/>
        </w:rPr>
        <w:fldChar w:fldCharType="end"/>
      </w:r>
    </w:p>
    <w:p w:rsidR="00CB1B48" w:rsidRDefault="00CB1B48" w:rsidP="00C14EEF">
      <w:pPr>
        <w:pStyle w:val="22"/>
        <w:spacing w:before="0" w:after="0"/>
        <w:rPr>
          <w:rFonts w:eastAsiaTheme="minorEastAsia" w:cstheme="minorBidi"/>
          <w:b w:val="0"/>
          <w:smallCaps w:val="0"/>
          <w:sz w:val="22"/>
          <w:szCs w:val="22"/>
          <w:lang w:eastAsia="uk-UA"/>
        </w:rPr>
      </w:pPr>
      <w:r>
        <w:t>4.1</w:t>
      </w:r>
      <w:r>
        <w:rPr>
          <w:rFonts w:eastAsiaTheme="minorEastAsia" w:cstheme="minorBidi"/>
          <w:b w:val="0"/>
          <w:smallCaps w:val="0"/>
          <w:sz w:val="22"/>
          <w:szCs w:val="22"/>
          <w:lang w:eastAsia="uk-UA"/>
        </w:rPr>
        <w:tab/>
      </w:r>
      <w:r>
        <w:t>Коефіцієнти ліквідності</w:t>
      </w:r>
      <w:r>
        <w:tab/>
      </w:r>
      <w:r>
        <w:fldChar w:fldCharType="begin"/>
      </w:r>
      <w:r>
        <w:instrText xml:space="preserve"> PAGEREF _Toc48392540 \h </w:instrText>
      </w:r>
      <w:r>
        <w:fldChar w:fldCharType="separate"/>
      </w:r>
      <w:r>
        <w:t>15</w:t>
      </w:r>
      <w:r>
        <w:fldChar w:fldCharType="end"/>
      </w:r>
    </w:p>
    <w:p w:rsidR="00CB1B48" w:rsidRDefault="00CB1B48" w:rsidP="00C14EEF">
      <w:pPr>
        <w:pStyle w:val="22"/>
        <w:spacing w:before="0" w:after="0"/>
        <w:rPr>
          <w:rFonts w:eastAsiaTheme="minorEastAsia" w:cstheme="minorBidi"/>
          <w:b w:val="0"/>
          <w:smallCaps w:val="0"/>
          <w:sz w:val="22"/>
          <w:szCs w:val="22"/>
          <w:lang w:eastAsia="uk-UA"/>
        </w:rPr>
      </w:pPr>
      <w:r>
        <w:t>4.2</w:t>
      </w:r>
      <w:r>
        <w:rPr>
          <w:rFonts w:eastAsiaTheme="minorEastAsia" w:cstheme="minorBidi"/>
          <w:b w:val="0"/>
          <w:smallCaps w:val="0"/>
          <w:sz w:val="22"/>
          <w:szCs w:val="22"/>
          <w:lang w:eastAsia="uk-UA"/>
        </w:rPr>
        <w:tab/>
      </w:r>
      <w:r>
        <w:t>Коефіцієнти ефективності</w:t>
      </w:r>
      <w:r>
        <w:tab/>
      </w:r>
      <w:r>
        <w:fldChar w:fldCharType="begin"/>
      </w:r>
      <w:r>
        <w:instrText xml:space="preserve"> PAGEREF _Toc48392541 \h </w:instrText>
      </w:r>
      <w:r>
        <w:fldChar w:fldCharType="separate"/>
      </w:r>
      <w:r>
        <w:t>17</w:t>
      </w:r>
      <w:r>
        <w:fldChar w:fldCharType="end"/>
      </w:r>
    </w:p>
    <w:p w:rsidR="00CB1B48" w:rsidRDefault="00CB1B48" w:rsidP="00C14EEF">
      <w:pPr>
        <w:pStyle w:val="22"/>
        <w:spacing w:before="0" w:after="0"/>
        <w:rPr>
          <w:rFonts w:eastAsiaTheme="minorEastAsia" w:cstheme="minorBidi"/>
          <w:b w:val="0"/>
          <w:smallCaps w:val="0"/>
          <w:sz w:val="22"/>
          <w:szCs w:val="22"/>
          <w:lang w:eastAsia="uk-UA"/>
        </w:rPr>
      </w:pPr>
      <w:r>
        <w:t>4.3</w:t>
      </w:r>
      <w:r>
        <w:rPr>
          <w:rFonts w:eastAsiaTheme="minorEastAsia" w:cstheme="minorBidi"/>
          <w:b w:val="0"/>
          <w:smallCaps w:val="0"/>
          <w:sz w:val="22"/>
          <w:szCs w:val="22"/>
          <w:lang w:eastAsia="uk-UA"/>
        </w:rPr>
        <w:tab/>
      </w:r>
      <w:r>
        <w:t>Коефіцієнти прибутковості</w:t>
      </w:r>
      <w:r>
        <w:tab/>
      </w:r>
      <w:r>
        <w:fldChar w:fldCharType="begin"/>
      </w:r>
      <w:r>
        <w:instrText xml:space="preserve"> PAGEREF _Toc48392542 \h </w:instrText>
      </w:r>
      <w:r>
        <w:fldChar w:fldCharType="separate"/>
      </w:r>
      <w:r>
        <w:t>17</w:t>
      </w:r>
      <w:r>
        <w:fldChar w:fldCharType="end"/>
      </w:r>
    </w:p>
    <w:p w:rsidR="00CB1B48" w:rsidRDefault="00CB1B48" w:rsidP="00C14EEF">
      <w:pPr>
        <w:pStyle w:val="22"/>
        <w:spacing w:before="0" w:after="0"/>
        <w:rPr>
          <w:rFonts w:eastAsiaTheme="minorEastAsia" w:cstheme="minorBidi"/>
          <w:b w:val="0"/>
          <w:smallCaps w:val="0"/>
          <w:sz w:val="22"/>
          <w:szCs w:val="22"/>
          <w:lang w:eastAsia="uk-UA"/>
        </w:rPr>
      </w:pPr>
      <w:r>
        <w:t>4.4</w:t>
      </w:r>
      <w:r>
        <w:rPr>
          <w:rFonts w:eastAsiaTheme="minorEastAsia" w:cstheme="minorBidi"/>
          <w:b w:val="0"/>
          <w:smallCaps w:val="0"/>
          <w:sz w:val="22"/>
          <w:szCs w:val="22"/>
          <w:lang w:eastAsia="uk-UA"/>
        </w:rPr>
        <w:tab/>
      </w:r>
      <w:r>
        <w:t>Коефіцієнти фінансової стійкості</w:t>
      </w:r>
      <w:r>
        <w:tab/>
      </w:r>
      <w:r>
        <w:fldChar w:fldCharType="begin"/>
      </w:r>
      <w:r>
        <w:instrText xml:space="preserve"> PAGEREF _Toc48392543 \h </w:instrText>
      </w:r>
      <w:r>
        <w:fldChar w:fldCharType="separate"/>
      </w:r>
      <w:r>
        <w:t>18</w:t>
      </w:r>
      <w:r>
        <w:fldChar w:fldCharType="end"/>
      </w:r>
    </w:p>
    <w:p w:rsidR="00CB1B48" w:rsidRDefault="00CB1B48" w:rsidP="00C14EEF">
      <w:pPr>
        <w:pStyle w:val="12"/>
        <w:tabs>
          <w:tab w:val="left" w:pos="442"/>
          <w:tab w:val="right" w:leader="dot" w:pos="9627"/>
        </w:tabs>
        <w:spacing w:before="0" w:after="0"/>
        <w:rPr>
          <w:rFonts w:eastAsiaTheme="minorEastAsia" w:cstheme="minorBidi"/>
          <w:b w:val="0"/>
          <w:bCs w:val="0"/>
          <w:caps w:val="0"/>
          <w:noProof/>
          <w:sz w:val="22"/>
          <w:szCs w:val="22"/>
          <w:lang w:eastAsia="uk-UA"/>
        </w:rPr>
      </w:pPr>
      <w:r>
        <w:rPr>
          <w:noProof/>
        </w:rPr>
        <w:t>5</w:t>
      </w:r>
      <w:r>
        <w:rPr>
          <w:rFonts w:eastAsiaTheme="minorEastAsia" w:cstheme="minorBidi"/>
          <w:b w:val="0"/>
          <w:bCs w:val="0"/>
          <w:caps w:val="0"/>
          <w:noProof/>
          <w:sz w:val="22"/>
          <w:szCs w:val="22"/>
          <w:lang w:eastAsia="uk-UA"/>
        </w:rPr>
        <w:tab/>
      </w:r>
      <w:r>
        <w:rPr>
          <w:noProof/>
        </w:rPr>
        <w:t>АНАЛІЗ ТАРИФІВ ТА ВИТРАТ</w:t>
      </w:r>
      <w:r>
        <w:rPr>
          <w:noProof/>
        </w:rPr>
        <w:tab/>
      </w:r>
      <w:r>
        <w:rPr>
          <w:noProof/>
        </w:rPr>
        <w:fldChar w:fldCharType="begin"/>
      </w:r>
      <w:r>
        <w:rPr>
          <w:noProof/>
        </w:rPr>
        <w:instrText xml:space="preserve"> PAGEREF _Toc48392544 \h </w:instrText>
      </w:r>
      <w:r>
        <w:rPr>
          <w:noProof/>
        </w:rPr>
      </w:r>
      <w:r>
        <w:rPr>
          <w:noProof/>
        </w:rPr>
        <w:fldChar w:fldCharType="separate"/>
      </w:r>
      <w:r>
        <w:rPr>
          <w:noProof/>
        </w:rPr>
        <w:t>20</w:t>
      </w:r>
      <w:r>
        <w:rPr>
          <w:noProof/>
        </w:rPr>
        <w:fldChar w:fldCharType="end"/>
      </w:r>
    </w:p>
    <w:p w:rsidR="00CB1B48" w:rsidRDefault="00CB1B48" w:rsidP="00C14EEF">
      <w:pPr>
        <w:pStyle w:val="12"/>
        <w:tabs>
          <w:tab w:val="left" w:pos="442"/>
          <w:tab w:val="right" w:leader="dot" w:pos="9627"/>
        </w:tabs>
        <w:spacing w:before="0" w:after="0"/>
        <w:rPr>
          <w:rFonts w:eastAsiaTheme="minorEastAsia" w:cstheme="minorBidi"/>
          <w:b w:val="0"/>
          <w:bCs w:val="0"/>
          <w:caps w:val="0"/>
          <w:noProof/>
          <w:sz w:val="22"/>
          <w:szCs w:val="22"/>
          <w:lang w:eastAsia="uk-UA"/>
        </w:rPr>
      </w:pPr>
      <w:r>
        <w:rPr>
          <w:noProof/>
        </w:rPr>
        <w:t>6</w:t>
      </w:r>
      <w:r>
        <w:rPr>
          <w:rFonts w:eastAsiaTheme="minorEastAsia" w:cstheme="minorBidi"/>
          <w:b w:val="0"/>
          <w:bCs w:val="0"/>
          <w:caps w:val="0"/>
          <w:noProof/>
          <w:sz w:val="22"/>
          <w:szCs w:val="22"/>
          <w:lang w:eastAsia="uk-UA"/>
        </w:rPr>
        <w:tab/>
      </w:r>
      <w:r>
        <w:rPr>
          <w:noProof/>
        </w:rPr>
        <w:t>ОЦІНКА ДОСТУПНОСТІ ТАРИФІВ</w:t>
      </w:r>
      <w:r>
        <w:rPr>
          <w:noProof/>
        </w:rPr>
        <w:tab/>
      </w:r>
      <w:r>
        <w:rPr>
          <w:noProof/>
        </w:rPr>
        <w:fldChar w:fldCharType="begin"/>
      </w:r>
      <w:r>
        <w:rPr>
          <w:noProof/>
        </w:rPr>
        <w:instrText xml:space="preserve"> PAGEREF _Toc48392545 \h </w:instrText>
      </w:r>
      <w:r>
        <w:rPr>
          <w:noProof/>
        </w:rPr>
      </w:r>
      <w:r>
        <w:rPr>
          <w:noProof/>
        </w:rPr>
        <w:fldChar w:fldCharType="separate"/>
      </w:r>
      <w:r>
        <w:rPr>
          <w:noProof/>
        </w:rPr>
        <w:t>24</w:t>
      </w:r>
      <w:r>
        <w:rPr>
          <w:noProof/>
        </w:rPr>
        <w:fldChar w:fldCharType="end"/>
      </w:r>
    </w:p>
    <w:p w:rsidR="00CB1B48" w:rsidRDefault="00CB1B48" w:rsidP="00C14EEF">
      <w:pPr>
        <w:pStyle w:val="12"/>
        <w:tabs>
          <w:tab w:val="left" w:pos="442"/>
          <w:tab w:val="right" w:leader="dot" w:pos="9627"/>
        </w:tabs>
        <w:spacing w:before="0" w:after="0"/>
        <w:rPr>
          <w:rFonts w:eastAsiaTheme="minorEastAsia" w:cstheme="minorBidi"/>
          <w:b w:val="0"/>
          <w:bCs w:val="0"/>
          <w:caps w:val="0"/>
          <w:noProof/>
          <w:sz w:val="22"/>
          <w:szCs w:val="22"/>
          <w:lang w:eastAsia="uk-UA"/>
        </w:rPr>
      </w:pPr>
      <w:r>
        <w:rPr>
          <w:noProof/>
        </w:rPr>
        <w:t>7</w:t>
      </w:r>
      <w:r>
        <w:rPr>
          <w:rFonts w:eastAsiaTheme="minorEastAsia" w:cstheme="minorBidi"/>
          <w:b w:val="0"/>
          <w:bCs w:val="0"/>
          <w:caps w:val="0"/>
          <w:noProof/>
          <w:sz w:val="22"/>
          <w:szCs w:val="22"/>
          <w:lang w:eastAsia="uk-UA"/>
        </w:rPr>
        <w:tab/>
      </w:r>
      <w:r>
        <w:rPr>
          <w:noProof/>
        </w:rPr>
        <w:t>ОПЛАТА ПДВ</w:t>
      </w:r>
      <w:r>
        <w:rPr>
          <w:noProof/>
        </w:rPr>
        <w:tab/>
      </w:r>
      <w:r>
        <w:rPr>
          <w:noProof/>
        </w:rPr>
        <w:fldChar w:fldCharType="begin"/>
      </w:r>
      <w:r>
        <w:rPr>
          <w:noProof/>
        </w:rPr>
        <w:instrText xml:space="preserve"> PAGEREF _Toc48392546 \h </w:instrText>
      </w:r>
      <w:r>
        <w:rPr>
          <w:noProof/>
        </w:rPr>
      </w:r>
      <w:r>
        <w:rPr>
          <w:noProof/>
        </w:rPr>
        <w:fldChar w:fldCharType="separate"/>
      </w:r>
      <w:r>
        <w:rPr>
          <w:noProof/>
        </w:rPr>
        <w:t>26</w:t>
      </w:r>
      <w:r>
        <w:rPr>
          <w:noProof/>
        </w:rPr>
        <w:fldChar w:fldCharType="end"/>
      </w:r>
    </w:p>
    <w:p w:rsidR="00CB1B48" w:rsidRDefault="003578B6" w:rsidP="00C14EEF">
      <w:pPr>
        <w:pStyle w:val="12"/>
        <w:tabs>
          <w:tab w:val="left" w:pos="442"/>
          <w:tab w:val="right" w:leader="dot" w:pos="9627"/>
        </w:tabs>
        <w:spacing w:before="0" w:after="0"/>
        <w:rPr>
          <w:rFonts w:eastAsiaTheme="minorEastAsia" w:cstheme="minorBidi"/>
          <w:b w:val="0"/>
          <w:bCs w:val="0"/>
          <w:caps w:val="0"/>
          <w:noProof/>
          <w:sz w:val="22"/>
          <w:szCs w:val="22"/>
          <w:lang w:eastAsia="uk-UA"/>
        </w:rPr>
      </w:pPr>
      <w:r w:rsidRPr="0064329D">
        <w:fldChar w:fldCharType="end"/>
      </w:r>
      <w:r w:rsidR="0042520B" w:rsidRPr="0064329D">
        <w:fldChar w:fldCharType="begin"/>
      </w:r>
      <w:r w:rsidR="0042520B" w:rsidRPr="0064329D">
        <w:instrText xml:space="preserve"> TOC \b"Annexe"\u </w:instrText>
      </w:r>
      <w:r w:rsidR="0042520B" w:rsidRPr="0064329D">
        <w:fldChar w:fldCharType="separate"/>
      </w:r>
      <w:r w:rsidR="00CB1B48">
        <w:rPr>
          <w:noProof/>
        </w:rPr>
        <w:t>8</w:t>
      </w:r>
      <w:r w:rsidR="00CB1B48">
        <w:rPr>
          <w:rFonts w:eastAsiaTheme="minorEastAsia" w:cstheme="minorBidi"/>
          <w:b w:val="0"/>
          <w:bCs w:val="0"/>
          <w:caps w:val="0"/>
          <w:noProof/>
          <w:sz w:val="22"/>
          <w:szCs w:val="22"/>
          <w:lang w:eastAsia="uk-UA"/>
        </w:rPr>
        <w:tab/>
      </w:r>
      <w:r w:rsidR="00CB1B48">
        <w:rPr>
          <w:noProof/>
        </w:rPr>
        <w:t>Аналіз вигід та витрат</w:t>
      </w:r>
      <w:r w:rsidR="00CB1B48">
        <w:rPr>
          <w:noProof/>
        </w:rPr>
        <w:tab/>
      </w:r>
      <w:r w:rsidR="00CB1B48">
        <w:rPr>
          <w:noProof/>
        </w:rPr>
        <w:fldChar w:fldCharType="begin"/>
      </w:r>
      <w:r w:rsidR="00CB1B48">
        <w:rPr>
          <w:noProof/>
        </w:rPr>
        <w:instrText xml:space="preserve"> PAGEREF _Toc48392547 \h </w:instrText>
      </w:r>
      <w:r w:rsidR="00CB1B48">
        <w:rPr>
          <w:noProof/>
        </w:rPr>
      </w:r>
      <w:r w:rsidR="00CB1B48">
        <w:rPr>
          <w:noProof/>
        </w:rPr>
        <w:fldChar w:fldCharType="separate"/>
      </w:r>
      <w:r w:rsidR="00CB1B48">
        <w:rPr>
          <w:noProof/>
        </w:rPr>
        <w:t>29</w:t>
      </w:r>
      <w:r w:rsidR="00CB1B48">
        <w:rPr>
          <w:noProof/>
        </w:rPr>
        <w:fldChar w:fldCharType="end"/>
      </w:r>
    </w:p>
    <w:p w:rsidR="00CB1B48" w:rsidRDefault="00CB1B48" w:rsidP="00C14EEF">
      <w:pPr>
        <w:pStyle w:val="22"/>
        <w:spacing w:before="0" w:after="0"/>
        <w:rPr>
          <w:rFonts w:eastAsiaTheme="minorEastAsia" w:cstheme="minorBidi"/>
          <w:b w:val="0"/>
          <w:smallCaps w:val="0"/>
          <w:sz w:val="22"/>
          <w:szCs w:val="22"/>
          <w:lang w:eastAsia="uk-UA"/>
        </w:rPr>
      </w:pPr>
      <w:r>
        <w:t>8.1</w:t>
      </w:r>
      <w:r>
        <w:rPr>
          <w:rFonts w:eastAsiaTheme="minorEastAsia" w:cstheme="minorBidi"/>
          <w:b w:val="0"/>
          <w:smallCaps w:val="0"/>
          <w:sz w:val="22"/>
          <w:szCs w:val="22"/>
          <w:lang w:eastAsia="uk-UA"/>
        </w:rPr>
        <w:tab/>
      </w:r>
      <w:r>
        <w:t>Підхід</w:t>
      </w:r>
      <w:r>
        <w:tab/>
      </w:r>
      <w:r>
        <w:fldChar w:fldCharType="begin"/>
      </w:r>
      <w:r>
        <w:instrText xml:space="preserve"> PAGEREF _Toc48392548 \h </w:instrText>
      </w:r>
      <w:r>
        <w:fldChar w:fldCharType="separate"/>
      </w:r>
      <w:r>
        <w:t>29</w:t>
      </w:r>
      <w:r>
        <w:fldChar w:fldCharType="end"/>
      </w:r>
    </w:p>
    <w:p w:rsidR="00CB1B48" w:rsidRDefault="00CB1B48" w:rsidP="00C14EEF">
      <w:pPr>
        <w:pStyle w:val="22"/>
        <w:spacing w:before="0" w:after="0"/>
        <w:rPr>
          <w:rFonts w:eastAsiaTheme="minorEastAsia" w:cstheme="minorBidi"/>
          <w:b w:val="0"/>
          <w:smallCaps w:val="0"/>
          <w:sz w:val="22"/>
          <w:szCs w:val="22"/>
          <w:lang w:eastAsia="uk-UA"/>
        </w:rPr>
      </w:pPr>
      <w:r>
        <w:t>8.2</w:t>
      </w:r>
      <w:r>
        <w:rPr>
          <w:rFonts w:eastAsiaTheme="minorEastAsia" w:cstheme="minorBidi"/>
          <w:b w:val="0"/>
          <w:smallCaps w:val="0"/>
          <w:sz w:val="22"/>
          <w:szCs w:val="22"/>
          <w:lang w:eastAsia="uk-UA"/>
        </w:rPr>
        <w:tab/>
      </w:r>
      <w:r>
        <w:t>Методика</w:t>
      </w:r>
      <w:r>
        <w:tab/>
      </w:r>
      <w:r>
        <w:fldChar w:fldCharType="begin"/>
      </w:r>
      <w:r>
        <w:instrText xml:space="preserve"> PAGEREF _Toc48392549 \h </w:instrText>
      </w:r>
      <w:r>
        <w:fldChar w:fldCharType="separate"/>
      </w:r>
      <w:r>
        <w:t>29</w:t>
      </w:r>
      <w:r>
        <w:fldChar w:fldCharType="end"/>
      </w:r>
    </w:p>
    <w:p w:rsidR="00CB1B48" w:rsidRDefault="00CB1B48" w:rsidP="00C14EEF">
      <w:pPr>
        <w:pStyle w:val="22"/>
        <w:spacing w:before="0" w:after="0"/>
        <w:rPr>
          <w:rFonts w:eastAsiaTheme="minorEastAsia" w:cstheme="minorBidi"/>
          <w:b w:val="0"/>
          <w:smallCaps w:val="0"/>
          <w:sz w:val="22"/>
          <w:szCs w:val="22"/>
          <w:lang w:eastAsia="uk-UA"/>
        </w:rPr>
      </w:pPr>
      <w:r>
        <w:t>8.3</w:t>
      </w:r>
      <w:r>
        <w:rPr>
          <w:rFonts w:eastAsiaTheme="minorEastAsia" w:cstheme="minorBidi"/>
          <w:b w:val="0"/>
          <w:smallCaps w:val="0"/>
          <w:sz w:val="22"/>
          <w:szCs w:val="22"/>
          <w:lang w:eastAsia="uk-UA"/>
        </w:rPr>
        <w:tab/>
      </w:r>
      <w:r w:rsidRPr="006868F5">
        <w:rPr>
          <w:rFonts w:eastAsia="Calibri" w:cs="Calibri"/>
          <w:lang w:eastAsia="en-US" w:bidi="en-US"/>
        </w:rPr>
        <w:t>Опис проекту</w:t>
      </w:r>
      <w:r>
        <w:tab/>
      </w:r>
      <w:r>
        <w:fldChar w:fldCharType="begin"/>
      </w:r>
      <w:r>
        <w:instrText xml:space="preserve"> PAGEREF _Toc48392550 \h </w:instrText>
      </w:r>
      <w:r>
        <w:fldChar w:fldCharType="separate"/>
      </w:r>
      <w:r>
        <w:t>29</w:t>
      </w:r>
      <w:r>
        <w:fldChar w:fldCharType="end"/>
      </w:r>
    </w:p>
    <w:p w:rsidR="00CB1B48" w:rsidRDefault="00CB1B48" w:rsidP="00C14EEF">
      <w:pPr>
        <w:pStyle w:val="22"/>
        <w:spacing w:before="0" w:after="0"/>
        <w:rPr>
          <w:rFonts w:eastAsiaTheme="minorEastAsia" w:cstheme="minorBidi"/>
          <w:b w:val="0"/>
          <w:smallCaps w:val="0"/>
          <w:sz w:val="22"/>
          <w:szCs w:val="22"/>
          <w:lang w:eastAsia="uk-UA"/>
        </w:rPr>
      </w:pPr>
      <w:r>
        <w:t>8.4</w:t>
      </w:r>
      <w:r>
        <w:rPr>
          <w:rFonts w:eastAsiaTheme="minorEastAsia" w:cstheme="minorBidi"/>
          <w:b w:val="0"/>
          <w:smallCaps w:val="0"/>
          <w:sz w:val="22"/>
          <w:szCs w:val="22"/>
          <w:lang w:eastAsia="uk-UA"/>
        </w:rPr>
        <w:tab/>
      </w:r>
      <w:r w:rsidRPr="006868F5">
        <w:rPr>
          <w:rFonts w:eastAsia="Calibri" w:cs="Calibri"/>
          <w:lang w:eastAsia="en-US" w:bidi="en-US"/>
        </w:rPr>
        <w:t>Цілі проекту</w:t>
      </w:r>
      <w:r>
        <w:tab/>
      </w:r>
      <w:r>
        <w:fldChar w:fldCharType="begin"/>
      </w:r>
      <w:r>
        <w:instrText xml:space="preserve"> PAGEREF _Toc48392551 \h </w:instrText>
      </w:r>
      <w:r>
        <w:fldChar w:fldCharType="separate"/>
      </w:r>
      <w:r>
        <w:t>30</w:t>
      </w:r>
      <w:r>
        <w:fldChar w:fldCharType="end"/>
      </w:r>
    </w:p>
    <w:p w:rsidR="00CB1B48" w:rsidRDefault="00CB1B48" w:rsidP="00C14EEF">
      <w:pPr>
        <w:pStyle w:val="22"/>
        <w:spacing w:before="0" w:after="0"/>
        <w:rPr>
          <w:rFonts w:eastAsiaTheme="minorEastAsia" w:cstheme="minorBidi"/>
          <w:b w:val="0"/>
          <w:smallCaps w:val="0"/>
          <w:sz w:val="22"/>
          <w:szCs w:val="22"/>
          <w:lang w:eastAsia="uk-UA"/>
        </w:rPr>
      </w:pPr>
      <w:r>
        <w:t>8.5</w:t>
      </w:r>
      <w:r>
        <w:rPr>
          <w:rFonts w:eastAsiaTheme="minorEastAsia" w:cstheme="minorBidi"/>
          <w:b w:val="0"/>
          <w:smallCaps w:val="0"/>
          <w:sz w:val="22"/>
          <w:szCs w:val="22"/>
          <w:lang w:eastAsia="uk-UA"/>
        </w:rPr>
        <w:tab/>
      </w:r>
      <w:r>
        <w:t>Аналіз попиту</w:t>
      </w:r>
      <w:r>
        <w:tab/>
      </w:r>
      <w:r>
        <w:fldChar w:fldCharType="begin"/>
      </w:r>
      <w:r>
        <w:instrText xml:space="preserve"> PAGEREF _Toc48392552 \h </w:instrText>
      </w:r>
      <w:r>
        <w:fldChar w:fldCharType="separate"/>
      </w:r>
      <w:r>
        <w:t>30</w:t>
      </w:r>
      <w:r>
        <w:fldChar w:fldCharType="end"/>
      </w:r>
    </w:p>
    <w:p w:rsidR="00CB1B48" w:rsidRDefault="00CB1B48" w:rsidP="00C14EEF">
      <w:pPr>
        <w:pStyle w:val="33"/>
        <w:spacing w:before="0" w:after="0"/>
        <w:rPr>
          <w:rFonts w:eastAsiaTheme="minorEastAsia" w:cstheme="minorBidi"/>
          <w:b w:val="0"/>
          <w:iCs w:val="0"/>
          <w:sz w:val="22"/>
          <w:szCs w:val="22"/>
          <w:lang w:eastAsia="uk-UA"/>
        </w:rPr>
      </w:pPr>
      <w:r>
        <w:t>8.5.1</w:t>
      </w:r>
      <w:r>
        <w:rPr>
          <w:rFonts w:eastAsiaTheme="minorEastAsia" w:cstheme="minorBidi"/>
          <w:b w:val="0"/>
          <w:iCs w:val="0"/>
          <w:sz w:val="22"/>
          <w:szCs w:val="22"/>
          <w:lang w:eastAsia="uk-UA"/>
        </w:rPr>
        <w:tab/>
      </w:r>
      <w:r>
        <w:t>Аналіз поточного та майбутнього попиту на воду.</w:t>
      </w:r>
      <w:r>
        <w:tab/>
      </w:r>
      <w:r>
        <w:fldChar w:fldCharType="begin"/>
      </w:r>
      <w:r>
        <w:instrText xml:space="preserve"> PAGEREF _Toc48392553 \h </w:instrText>
      </w:r>
      <w:r>
        <w:fldChar w:fldCharType="separate"/>
      </w:r>
      <w:r>
        <w:t>30</w:t>
      </w:r>
      <w:r>
        <w:fldChar w:fldCharType="end"/>
      </w:r>
    </w:p>
    <w:p w:rsidR="00CB1B48" w:rsidRDefault="00CB1B48" w:rsidP="00C14EEF">
      <w:pPr>
        <w:pStyle w:val="33"/>
        <w:spacing w:before="0" w:after="0"/>
        <w:rPr>
          <w:rFonts w:eastAsiaTheme="minorEastAsia" w:cstheme="minorBidi"/>
          <w:b w:val="0"/>
          <w:iCs w:val="0"/>
          <w:sz w:val="22"/>
          <w:szCs w:val="22"/>
          <w:lang w:eastAsia="uk-UA"/>
        </w:rPr>
      </w:pPr>
      <w:r>
        <w:t>8.5.2</w:t>
      </w:r>
      <w:r>
        <w:rPr>
          <w:rFonts w:eastAsiaTheme="minorEastAsia" w:cstheme="minorBidi"/>
          <w:b w:val="0"/>
          <w:iCs w:val="0"/>
          <w:sz w:val="22"/>
          <w:szCs w:val="22"/>
          <w:lang w:eastAsia="uk-UA"/>
        </w:rPr>
        <w:tab/>
      </w:r>
      <w:r>
        <w:t>Обслуговуване Населення</w:t>
      </w:r>
      <w:r>
        <w:tab/>
      </w:r>
      <w:r>
        <w:fldChar w:fldCharType="begin"/>
      </w:r>
      <w:r>
        <w:instrText xml:space="preserve"> PAGEREF _Toc48392554 \h </w:instrText>
      </w:r>
      <w:r>
        <w:fldChar w:fldCharType="separate"/>
      </w:r>
      <w:r>
        <w:t>30</w:t>
      </w:r>
      <w:r>
        <w:fldChar w:fldCharType="end"/>
      </w:r>
    </w:p>
    <w:p w:rsidR="00CB1B48" w:rsidRDefault="00CB1B48" w:rsidP="00C14EEF">
      <w:pPr>
        <w:pStyle w:val="33"/>
        <w:spacing w:before="0" w:after="0"/>
        <w:rPr>
          <w:rFonts w:eastAsiaTheme="minorEastAsia" w:cstheme="minorBidi"/>
          <w:b w:val="0"/>
          <w:iCs w:val="0"/>
          <w:sz w:val="22"/>
          <w:szCs w:val="22"/>
          <w:lang w:eastAsia="uk-UA"/>
        </w:rPr>
      </w:pPr>
      <w:r>
        <w:t>8.5.3</w:t>
      </w:r>
      <w:r>
        <w:rPr>
          <w:rFonts w:eastAsiaTheme="minorEastAsia" w:cstheme="minorBidi"/>
          <w:b w:val="0"/>
          <w:iCs w:val="0"/>
          <w:sz w:val="22"/>
          <w:szCs w:val="22"/>
          <w:lang w:eastAsia="uk-UA"/>
        </w:rPr>
        <w:tab/>
      </w:r>
      <w:r>
        <w:t>Прогноз Водяного балансу</w:t>
      </w:r>
      <w:r>
        <w:tab/>
      </w:r>
      <w:r>
        <w:fldChar w:fldCharType="begin"/>
      </w:r>
      <w:r>
        <w:instrText xml:space="preserve"> PAGEREF _Toc48392555 \h </w:instrText>
      </w:r>
      <w:r>
        <w:fldChar w:fldCharType="separate"/>
      </w:r>
      <w:r>
        <w:t>32</w:t>
      </w:r>
      <w:r>
        <w:fldChar w:fldCharType="end"/>
      </w:r>
    </w:p>
    <w:p w:rsidR="00CB1B48" w:rsidRDefault="00CB1B48" w:rsidP="00C14EEF">
      <w:pPr>
        <w:pStyle w:val="22"/>
        <w:spacing w:before="0" w:after="0"/>
        <w:rPr>
          <w:rFonts w:eastAsiaTheme="minorEastAsia" w:cstheme="minorBidi"/>
          <w:b w:val="0"/>
          <w:smallCaps w:val="0"/>
          <w:sz w:val="22"/>
          <w:szCs w:val="22"/>
          <w:lang w:eastAsia="uk-UA"/>
        </w:rPr>
      </w:pPr>
      <w:r>
        <w:t>8.6</w:t>
      </w:r>
      <w:r>
        <w:rPr>
          <w:rFonts w:eastAsiaTheme="minorEastAsia" w:cstheme="minorBidi"/>
          <w:b w:val="0"/>
          <w:smallCaps w:val="0"/>
          <w:sz w:val="22"/>
          <w:szCs w:val="22"/>
          <w:lang w:eastAsia="uk-UA"/>
        </w:rPr>
        <w:tab/>
      </w:r>
      <w:r>
        <w:t>Аналіз варіантів</w:t>
      </w:r>
      <w:r>
        <w:tab/>
      </w:r>
      <w:r>
        <w:fldChar w:fldCharType="begin"/>
      </w:r>
      <w:r>
        <w:instrText xml:space="preserve"> PAGEREF _Toc48392556 \h </w:instrText>
      </w:r>
      <w:r>
        <w:fldChar w:fldCharType="separate"/>
      </w:r>
      <w:r>
        <w:t>33</w:t>
      </w:r>
      <w:r>
        <w:fldChar w:fldCharType="end"/>
      </w:r>
    </w:p>
    <w:p w:rsidR="00CB1B48" w:rsidRDefault="00CB1B48" w:rsidP="00C14EEF">
      <w:pPr>
        <w:pStyle w:val="22"/>
        <w:spacing w:before="0" w:after="0"/>
        <w:rPr>
          <w:rFonts w:eastAsiaTheme="minorEastAsia" w:cstheme="minorBidi"/>
          <w:b w:val="0"/>
          <w:smallCaps w:val="0"/>
          <w:sz w:val="22"/>
          <w:szCs w:val="22"/>
          <w:lang w:eastAsia="uk-UA"/>
        </w:rPr>
      </w:pPr>
      <w:r>
        <w:t>8.7</w:t>
      </w:r>
      <w:r>
        <w:rPr>
          <w:rFonts w:eastAsiaTheme="minorEastAsia" w:cstheme="minorBidi"/>
          <w:b w:val="0"/>
          <w:smallCaps w:val="0"/>
          <w:sz w:val="22"/>
          <w:szCs w:val="22"/>
          <w:lang w:eastAsia="uk-UA"/>
        </w:rPr>
        <w:tab/>
      </w:r>
      <w:r>
        <w:t>Витрати та доходи за проектом від обраних варіантів</w:t>
      </w:r>
      <w:r>
        <w:tab/>
      </w:r>
      <w:r>
        <w:fldChar w:fldCharType="begin"/>
      </w:r>
      <w:r>
        <w:instrText xml:space="preserve"> PAGEREF _Toc48392557 \h </w:instrText>
      </w:r>
      <w:r>
        <w:fldChar w:fldCharType="separate"/>
      </w:r>
      <w:r>
        <w:t>34</w:t>
      </w:r>
      <w:r>
        <w:fldChar w:fldCharType="end"/>
      </w:r>
    </w:p>
    <w:p w:rsidR="00CB1B48" w:rsidRDefault="00CB1B48" w:rsidP="00C14EEF">
      <w:pPr>
        <w:pStyle w:val="22"/>
        <w:spacing w:before="0" w:after="0"/>
        <w:rPr>
          <w:rFonts w:eastAsiaTheme="minorEastAsia" w:cstheme="minorBidi"/>
          <w:b w:val="0"/>
          <w:smallCaps w:val="0"/>
          <w:sz w:val="22"/>
          <w:szCs w:val="22"/>
          <w:lang w:eastAsia="uk-UA"/>
        </w:rPr>
      </w:pPr>
      <w:r>
        <w:t>8.8</w:t>
      </w:r>
      <w:r>
        <w:rPr>
          <w:rFonts w:eastAsiaTheme="minorEastAsia" w:cstheme="minorBidi"/>
          <w:b w:val="0"/>
          <w:smallCaps w:val="0"/>
          <w:sz w:val="22"/>
          <w:szCs w:val="22"/>
          <w:lang w:eastAsia="uk-UA"/>
        </w:rPr>
        <w:tab/>
      </w:r>
      <w:r>
        <w:t>Фінансово-економічний аналіз</w:t>
      </w:r>
      <w:r>
        <w:tab/>
      </w:r>
      <w:r>
        <w:fldChar w:fldCharType="begin"/>
      </w:r>
      <w:r>
        <w:instrText xml:space="preserve"> PAGEREF _Toc48392558 \h </w:instrText>
      </w:r>
      <w:r>
        <w:fldChar w:fldCharType="separate"/>
      </w:r>
      <w:r>
        <w:t>36</w:t>
      </w:r>
      <w:r>
        <w:fldChar w:fldCharType="end"/>
      </w:r>
    </w:p>
    <w:p w:rsidR="00CB1B48" w:rsidRDefault="00CB1B48" w:rsidP="00C14EEF">
      <w:pPr>
        <w:pStyle w:val="33"/>
        <w:spacing w:before="0" w:after="0"/>
        <w:rPr>
          <w:rFonts w:eastAsiaTheme="minorEastAsia" w:cstheme="minorBidi"/>
          <w:b w:val="0"/>
          <w:iCs w:val="0"/>
          <w:sz w:val="22"/>
          <w:szCs w:val="22"/>
          <w:lang w:eastAsia="uk-UA"/>
        </w:rPr>
      </w:pPr>
      <w:r>
        <w:t>8.8.1</w:t>
      </w:r>
      <w:r>
        <w:rPr>
          <w:rFonts w:eastAsiaTheme="minorEastAsia" w:cstheme="minorBidi"/>
          <w:b w:val="0"/>
          <w:iCs w:val="0"/>
          <w:sz w:val="22"/>
          <w:szCs w:val="22"/>
          <w:lang w:eastAsia="uk-UA"/>
        </w:rPr>
        <w:tab/>
      </w:r>
      <w:r>
        <w:t>Фінансовий аналіз</w:t>
      </w:r>
      <w:r>
        <w:tab/>
      </w:r>
      <w:r>
        <w:fldChar w:fldCharType="begin"/>
      </w:r>
      <w:r>
        <w:instrText xml:space="preserve"> PAGEREF _Toc48392559 \h </w:instrText>
      </w:r>
      <w:r>
        <w:fldChar w:fldCharType="separate"/>
      </w:r>
      <w:r>
        <w:t>36</w:t>
      </w:r>
      <w:r>
        <w:fldChar w:fldCharType="end"/>
      </w:r>
    </w:p>
    <w:p w:rsidR="00CB1B48" w:rsidRDefault="00CB1B48" w:rsidP="00C14EEF">
      <w:pPr>
        <w:pStyle w:val="33"/>
        <w:spacing w:before="0" w:after="0"/>
        <w:rPr>
          <w:rFonts w:eastAsiaTheme="minorEastAsia" w:cstheme="minorBidi"/>
          <w:b w:val="0"/>
          <w:iCs w:val="0"/>
          <w:sz w:val="22"/>
          <w:szCs w:val="22"/>
          <w:lang w:eastAsia="uk-UA"/>
        </w:rPr>
      </w:pPr>
      <w:r>
        <w:t>8.8.2</w:t>
      </w:r>
      <w:r>
        <w:rPr>
          <w:rFonts w:eastAsiaTheme="minorEastAsia" w:cstheme="minorBidi"/>
          <w:b w:val="0"/>
          <w:iCs w:val="0"/>
          <w:sz w:val="22"/>
          <w:szCs w:val="22"/>
          <w:lang w:eastAsia="uk-UA"/>
        </w:rPr>
        <w:tab/>
      </w:r>
      <w:r>
        <w:t>Коефіцієнт покриття платежів за позикою</w:t>
      </w:r>
      <w:r>
        <w:tab/>
      </w:r>
      <w:r>
        <w:fldChar w:fldCharType="begin"/>
      </w:r>
      <w:r>
        <w:instrText xml:space="preserve"> PAGEREF _Toc48392560 \h </w:instrText>
      </w:r>
      <w:r>
        <w:fldChar w:fldCharType="separate"/>
      </w:r>
      <w:r>
        <w:t>37</w:t>
      </w:r>
      <w:r>
        <w:fldChar w:fldCharType="end"/>
      </w:r>
    </w:p>
    <w:p w:rsidR="00CB1B48" w:rsidRDefault="00CB1B48" w:rsidP="00C14EEF">
      <w:pPr>
        <w:pStyle w:val="33"/>
        <w:spacing w:before="0" w:after="0"/>
        <w:rPr>
          <w:rFonts w:eastAsiaTheme="minorEastAsia" w:cstheme="minorBidi"/>
          <w:b w:val="0"/>
          <w:iCs w:val="0"/>
          <w:sz w:val="22"/>
          <w:szCs w:val="22"/>
          <w:lang w:eastAsia="uk-UA"/>
        </w:rPr>
      </w:pPr>
      <w:r>
        <w:t>8.8.3</w:t>
      </w:r>
      <w:r>
        <w:rPr>
          <w:rFonts w:eastAsiaTheme="minorEastAsia" w:cstheme="minorBidi"/>
          <w:b w:val="0"/>
          <w:iCs w:val="0"/>
          <w:sz w:val="22"/>
          <w:szCs w:val="22"/>
          <w:lang w:eastAsia="uk-UA"/>
        </w:rPr>
        <w:tab/>
      </w:r>
      <w:r>
        <w:t>Економічний аналіз</w:t>
      </w:r>
      <w:r>
        <w:tab/>
      </w:r>
      <w:r>
        <w:fldChar w:fldCharType="begin"/>
      </w:r>
      <w:r>
        <w:instrText xml:space="preserve"> PAGEREF _Toc48392561 \h </w:instrText>
      </w:r>
      <w:r>
        <w:fldChar w:fldCharType="separate"/>
      </w:r>
      <w:r>
        <w:t>38</w:t>
      </w:r>
      <w:r>
        <w:fldChar w:fldCharType="end"/>
      </w:r>
    </w:p>
    <w:p w:rsidR="00CB1B48" w:rsidRDefault="00CB1B48" w:rsidP="00C14EEF">
      <w:pPr>
        <w:pStyle w:val="22"/>
        <w:spacing w:before="0" w:after="0"/>
        <w:rPr>
          <w:rFonts w:eastAsiaTheme="minorEastAsia" w:cstheme="minorBidi"/>
          <w:b w:val="0"/>
          <w:smallCaps w:val="0"/>
          <w:sz w:val="22"/>
          <w:szCs w:val="22"/>
          <w:lang w:eastAsia="uk-UA"/>
        </w:rPr>
      </w:pPr>
      <w:r>
        <w:t>8.9</w:t>
      </w:r>
      <w:r>
        <w:rPr>
          <w:rFonts w:eastAsiaTheme="minorEastAsia" w:cstheme="minorBidi"/>
          <w:b w:val="0"/>
          <w:smallCaps w:val="0"/>
          <w:sz w:val="22"/>
          <w:szCs w:val="22"/>
          <w:lang w:eastAsia="uk-UA"/>
        </w:rPr>
        <w:tab/>
      </w:r>
      <w:r>
        <w:t>Оцінка ризику</w:t>
      </w:r>
      <w:r>
        <w:tab/>
      </w:r>
      <w:r>
        <w:fldChar w:fldCharType="begin"/>
      </w:r>
      <w:r>
        <w:instrText xml:space="preserve"> PAGEREF _Toc48392562 \h </w:instrText>
      </w:r>
      <w:r>
        <w:fldChar w:fldCharType="separate"/>
      </w:r>
      <w:r>
        <w:t>40</w:t>
      </w:r>
      <w:r>
        <w:fldChar w:fldCharType="end"/>
      </w:r>
    </w:p>
    <w:p w:rsidR="00CB1B48" w:rsidRDefault="00CB1B48" w:rsidP="00C14EEF">
      <w:pPr>
        <w:pStyle w:val="33"/>
        <w:spacing w:before="0" w:after="0"/>
        <w:rPr>
          <w:rFonts w:eastAsiaTheme="minorEastAsia" w:cstheme="minorBidi"/>
          <w:b w:val="0"/>
          <w:iCs w:val="0"/>
          <w:sz w:val="22"/>
          <w:szCs w:val="22"/>
          <w:lang w:eastAsia="uk-UA"/>
        </w:rPr>
      </w:pPr>
      <w:r>
        <w:t>8.9.1</w:t>
      </w:r>
      <w:r>
        <w:rPr>
          <w:rFonts w:eastAsiaTheme="minorEastAsia" w:cstheme="minorBidi"/>
          <w:b w:val="0"/>
          <w:iCs w:val="0"/>
          <w:sz w:val="22"/>
          <w:szCs w:val="22"/>
          <w:lang w:eastAsia="uk-UA"/>
        </w:rPr>
        <w:tab/>
      </w:r>
      <w:r>
        <w:t>Аналіз чутливості</w:t>
      </w:r>
      <w:r>
        <w:tab/>
      </w:r>
      <w:r>
        <w:fldChar w:fldCharType="begin"/>
      </w:r>
      <w:r>
        <w:instrText xml:space="preserve"> PAGEREF _Toc48392563 \h </w:instrText>
      </w:r>
      <w:r>
        <w:fldChar w:fldCharType="separate"/>
      </w:r>
      <w:r>
        <w:t>40</w:t>
      </w:r>
      <w:r>
        <w:fldChar w:fldCharType="end"/>
      </w:r>
    </w:p>
    <w:p w:rsidR="00CB1B48" w:rsidRDefault="00CB1B48" w:rsidP="00C14EEF">
      <w:pPr>
        <w:pStyle w:val="33"/>
        <w:spacing w:before="0" w:after="0"/>
        <w:rPr>
          <w:rFonts w:eastAsiaTheme="minorEastAsia" w:cstheme="minorBidi"/>
          <w:b w:val="0"/>
          <w:iCs w:val="0"/>
          <w:sz w:val="22"/>
          <w:szCs w:val="22"/>
          <w:lang w:eastAsia="uk-UA"/>
        </w:rPr>
      </w:pPr>
      <w:r>
        <w:t>8.9.2</w:t>
      </w:r>
      <w:r>
        <w:rPr>
          <w:rFonts w:eastAsiaTheme="minorEastAsia" w:cstheme="minorBidi"/>
          <w:b w:val="0"/>
          <w:iCs w:val="0"/>
          <w:sz w:val="22"/>
          <w:szCs w:val="22"/>
          <w:lang w:eastAsia="uk-UA"/>
        </w:rPr>
        <w:tab/>
      </w:r>
      <w:r>
        <w:t>Аналіз ризиків</w:t>
      </w:r>
      <w:r>
        <w:tab/>
      </w:r>
      <w:r>
        <w:fldChar w:fldCharType="begin"/>
      </w:r>
      <w:r>
        <w:instrText xml:space="preserve"> PAGEREF _Toc48392564 \h </w:instrText>
      </w:r>
      <w:r>
        <w:fldChar w:fldCharType="separate"/>
      </w:r>
      <w:r>
        <w:t>40</w:t>
      </w:r>
      <w:r>
        <w:fldChar w:fldCharType="end"/>
      </w:r>
    </w:p>
    <w:p w:rsidR="00CB1B48" w:rsidRDefault="00CB1B48" w:rsidP="00C14EEF">
      <w:pPr>
        <w:pStyle w:val="12"/>
        <w:tabs>
          <w:tab w:val="left" w:pos="442"/>
          <w:tab w:val="right" w:leader="dot" w:pos="9627"/>
        </w:tabs>
        <w:spacing w:before="0" w:after="0"/>
        <w:rPr>
          <w:rFonts w:eastAsiaTheme="minorEastAsia" w:cstheme="minorBidi"/>
          <w:b w:val="0"/>
          <w:bCs w:val="0"/>
          <w:caps w:val="0"/>
          <w:noProof/>
          <w:sz w:val="22"/>
          <w:szCs w:val="22"/>
          <w:lang w:eastAsia="uk-UA"/>
        </w:rPr>
      </w:pPr>
      <w:r>
        <w:rPr>
          <w:noProof/>
        </w:rPr>
        <w:t>9</w:t>
      </w:r>
      <w:r>
        <w:rPr>
          <w:rFonts w:eastAsiaTheme="minorEastAsia" w:cstheme="minorBidi"/>
          <w:b w:val="0"/>
          <w:bCs w:val="0"/>
          <w:caps w:val="0"/>
          <w:noProof/>
          <w:sz w:val="22"/>
          <w:szCs w:val="22"/>
          <w:lang w:eastAsia="uk-UA"/>
        </w:rPr>
        <w:tab/>
      </w:r>
      <w:r>
        <w:rPr>
          <w:noProof/>
        </w:rPr>
        <w:t>Пояснення Консультанта по представленій моделі</w:t>
      </w:r>
      <w:r>
        <w:rPr>
          <w:noProof/>
        </w:rPr>
        <w:tab/>
      </w:r>
      <w:r>
        <w:rPr>
          <w:noProof/>
        </w:rPr>
        <w:fldChar w:fldCharType="begin"/>
      </w:r>
      <w:r>
        <w:rPr>
          <w:noProof/>
        </w:rPr>
        <w:instrText xml:space="preserve"> PAGEREF _Toc48392565 \h </w:instrText>
      </w:r>
      <w:r>
        <w:rPr>
          <w:noProof/>
        </w:rPr>
      </w:r>
      <w:r>
        <w:rPr>
          <w:noProof/>
        </w:rPr>
        <w:fldChar w:fldCharType="separate"/>
      </w:r>
      <w:r>
        <w:rPr>
          <w:noProof/>
        </w:rPr>
        <w:t>45</w:t>
      </w:r>
      <w:r>
        <w:rPr>
          <w:noProof/>
        </w:rPr>
        <w:fldChar w:fldCharType="end"/>
      </w:r>
    </w:p>
    <w:p w:rsidR="00497A25" w:rsidRDefault="00497A25" w:rsidP="00C14EEF">
      <w:pPr>
        <w:pStyle w:val="12"/>
        <w:tabs>
          <w:tab w:val="right" w:leader="dot" w:pos="9627"/>
        </w:tabs>
        <w:spacing w:before="0" w:after="0"/>
        <w:rPr>
          <w:noProof/>
        </w:rPr>
      </w:pPr>
      <w:r>
        <w:t>ДОДАТКИ</w:t>
      </w:r>
      <w:r>
        <w:rPr>
          <w:noProof/>
        </w:rPr>
        <w:t xml:space="preserve"> </w:t>
      </w:r>
    </w:p>
    <w:p w:rsidR="00CB1B48" w:rsidRDefault="00CB1B48" w:rsidP="00C14EEF">
      <w:pPr>
        <w:pStyle w:val="12"/>
        <w:tabs>
          <w:tab w:val="right" w:leader="dot" w:pos="9627"/>
        </w:tabs>
        <w:spacing w:before="0" w:after="0"/>
        <w:rPr>
          <w:rFonts w:eastAsiaTheme="minorEastAsia" w:cstheme="minorBidi"/>
          <w:b w:val="0"/>
          <w:bCs w:val="0"/>
          <w:caps w:val="0"/>
          <w:noProof/>
          <w:sz w:val="22"/>
          <w:szCs w:val="22"/>
          <w:lang w:eastAsia="uk-UA"/>
        </w:rPr>
      </w:pPr>
      <w:r>
        <w:rPr>
          <w:noProof/>
        </w:rPr>
        <w:t>Додаток 1: Прогнози щодо попиту води, водяного балансу та фізичних втрат</w:t>
      </w:r>
      <w:r>
        <w:rPr>
          <w:noProof/>
        </w:rPr>
        <w:tab/>
      </w:r>
      <w:r>
        <w:rPr>
          <w:noProof/>
        </w:rPr>
        <w:fldChar w:fldCharType="begin"/>
      </w:r>
      <w:r>
        <w:rPr>
          <w:noProof/>
        </w:rPr>
        <w:instrText xml:space="preserve"> PAGEREF _Toc48392566 \h </w:instrText>
      </w:r>
      <w:r>
        <w:rPr>
          <w:noProof/>
        </w:rPr>
      </w:r>
      <w:r>
        <w:rPr>
          <w:noProof/>
        </w:rPr>
        <w:fldChar w:fldCharType="separate"/>
      </w:r>
      <w:r>
        <w:rPr>
          <w:noProof/>
        </w:rPr>
        <w:t>47</w:t>
      </w:r>
      <w:r>
        <w:rPr>
          <w:noProof/>
        </w:rPr>
        <w:fldChar w:fldCharType="end"/>
      </w:r>
    </w:p>
    <w:p w:rsidR="00CB1B48" w:rsidRDefault="00CB1B48" w:rsidP="00C14EEF">
      <w:pPr>
        <w:pStyle w:val="12"/>
        <w:tabs>
          <w:tab w:val="right" w:leader="dot" w:pos="9627"/>
        </w:tabs>
        <w:spacing w:before="0" w:after="0"/>
        <w:rPr>
          <w:rFonts w:eastAsiaTheme="minorEastAsia" w:cstheme="minorBidi"/>
          <w:b w:val="0"/>
          <w:bCs w:val="0"/>
          <w:caps w:val="0"/>
          <w:noProof/>
          <w:sz w:val="22"/>
          <w:szCs w:val="22"/>
          <w:lang w:eastAsia="uk-UA"/>
        </w:rPr>
      </w:pPr>
      <w:r>
        <w:rPr>
          <w:noProof/>
        </w:rPr>
        <w:t>Додаток 2: Розрахунок зниження вартості інвестиційних складових</w:t>
      </w:r>
      <w:r>
        <w:rPr>
          <w:noProof/>
        </w:rPr>
        <w:tab/>
      </w:r>
      <w:r>
        <w:rPr>
          <w:noProof/>
        </w:rPr>
        <w:fldChar w:fldCharType="begin"/>
      </w:r>
      <w:r>
        <w:rPr>
          <w:noProof/>
        </w:rPr>
        <w:instrText xml:space="preserve"> PAGEREF _Toc48392567 \h </w:instrText>
      </w:r>
      <w:r>
        <w:rPr>
          <w:noProof/>
        </w:rPr>
      </w:r>
      <w:r>
        <w:rPr>
          <w:noProof/>
        </w:rPr>
        <w:fldChar w:fldCharType="separate"/>
      </w:r>
      <w:r>
        <w:rPr>
          <w:noProof/>
        </w:rPr>
        <w:t>53</w:t>
      </w:r>
      <w:r>
        <w:rPr>
          <w:noProof/>
        </w:rPr>
        <w:fldChar w:fldCharType="end"/>
      </w:r>
    </w:p>
    <w:p w:rsidR="00CB1B48" w:rsidRDefault="00CB1B48" w:rsidP="00C14EEF">
      <w:pPr>
        <w:pStyle w:val="12"/>
        <w:tabs>
          <w:tab w:val="right" w:leader="dot" w:pos="9627"/>
        </w:tabs>
        <w:spacing w:before="0" w:after="0"/>
        <w:rPr>
          <w:rFonts w:eastAsiaTheme="minorEastAsia" w:cstheme="minorBidi"/>
          <w:b w:val="0"/>
          <w:bCs w:val="0"/>
          <w:caps w:val="0"/>
          <w:noProof/>
          <w:sz w:val="22"/>
          <w:szCs w:val="22"/>
          <w:lang w:eastAsia="uk-UA"/>
        </w:rPr>
      </w:pPr>
      <w:r>
        <w:rPr>
          <w:noProof/>
        </w:rPr>
        <w:t>Додаток 3: Розрахунок додаткових витрат та отриманого вхідного потоку інвестицій</w:t>
      </w:r>
      <w:r>
        <w:rPr>
          <w:noProof/>
        </w:rPr>
        <w:tab/>
      </w:r>
      <w:r>
        <w:rPr>
          <w:noProof/>
        </w:rPr>
        <w:fldChar w:fldCharType="begin"/>
      </w:r>
      <w:r>
        <w:rPr>
          <w:noProof/>
        </w:rPr>
        <w:instrText xml:space="preserve"> PAGEREF _Toc48392568 \h </w:instrText>
      </w:r>
      <w:r>
        <w:rPr>
          <w:noProof/>
        </w:rPr>
      </w:r>
      <w:r>
        <w:rPr>
          <w:noProof/>
        </w:rPr>
        <w:fldChar w:fldCharType="separate"/>
      </w:r>
      <w:r>
        <w:rPr>
          <w:noProof/>
        </w:rPr>
        <w:t>56</w:t>
      </w:r>
      <w:r>
        <w:rPr>
          <w:noProof/>
        </w:rPr>
        <w:fldChar w:fldCharType="end"/>
      </w:r>
    </w:p>
    <w:p w:rsidR="00CB1B48" w:rsidRDefault="00CB1B48" w:rsidP="00C14EEF">
      <w:pPr>
        <w:pStyle w:val="12"/>
        <w:tabs>
          <w:tab w:val="right" w:leader="dot" w:pos="9627"/>
        </w:tabs>
        <w:spacing w:before="0" w:after="0"/>
        <w:rPr>
          <w:rFonts w:eastAsiaTheme="minorEastAsia" w:cstheme="minorBidi"/>
          <w:b w:val="0"/>
          <w:bCs w:val="0"/>
          <w:caps w:val="0"/>
          <w:noProof/>
          <w:sz w:val="22"/>
          <w:szCs w:val="22"/>
          <w:lang w:eastAsia="uk-UA"/>
        </w:rPr>
      </w:pPr>
      <w:r>
        <w:rPr>
          <w:noProof/>
        </w:rPr>
        <w:t>Додаток 4: Аналіз доступності тарифів</w:t>
      </w:r>
      <w:r>
        <w:rPr>
          <w:noProof/>
        </w:rPr>
        <w:tab/>
      </w:r>
      <w:r>
        <w:rPr>
          <w:noProof/>
        </w:rPr>
        <w:fldChar w:fldCharType="begin"/>
      </w:r>
      <w:r>
        <w:rPr>
          <w:noProof/>
        </w:rPr>
        <w:instrText xml:space="preserve"> PAGEREF _Toc48392569 \h </w:instrText>
      </w:r>
      <w:r>
        <w:rPr>
          <w:noProof/>
        </w:rPr>
      </w:r>
      <w:r>
        <w:rPr>
          <w:noProof/>
        </w:rPr>
        <w:fldChar w:fldCharType="separate"/>
      </w:r>
      <w:r>
        <w:rPr>
          <w:noProof/>
        </w:rPr>
        <w:t>59</w:t>
      </w:r>
      <w:r>
        <w:rPr>
          <w:noProof/>
        </w:rPr>
        <w:fldChar w:fldCharType="end"/>
      </w:r>
    </w:p>
    <w:p w:rsidR="00CB1B48" w:rsidRDefault="00CB1B48" w:rsidP="00C14EEF">
      <w:pPr>
        <w:pStyle w:val="12"/>
        <w:tabs>
          <w:tab w:val="right" w:leader="dot" w:pos="9627"/>
        </w:tabs>
        <w:spacing w:before="0" w:after="0"/>
        <w:rPr>
          <w:rFonts w:eastAsiaTheme="minorEastAsia" w:cstheme="minorBidi"/>
          <w:b w:val="0"/>
          <w:bCs w:val="0"/>
          <w:caps w:val="0"/>
          <w:noProof/>
          <w:sz w:val="22"/>
          <w:szCs w:val="22"/>
          <w:lang w:eastAsia="uk-UA"/>
        </w:rPr>
      </w:pPr>
      <w:r>
        <w:rPr>
          <w:noProof/>
        </w:rPr>
        <w:t>Додаток 5: Розрахунок рентабельності інвестицій (FNPV, FRR)</w:t>
      </w:r>
      <w:r>
        <w:rPr>
          <w:noProof/>
        </w:rPr>
        <w:tab/>
      </w:r>
      <w:r>
        <w:rPr>
          <w:noProof/>
        </w:rPr>
        <w:fldChar w:fldCharType="begin"/>
      </w:r>
      <w:r>
        <w:rPr>
          <w:noProof/>
        </w:rPr>
        <w:instrText xml:space="preserve"> PAGEREF _Toc48392570 \h </w:instrText>
      </w:r>
      <w:r>
        <w:rPr>
          <w:noProof/>
        </w:rPr>
      </w:r>
      <w:r>
        <w:rPr>
          <w:noProof/>
        </w:rPr>
        <w:fldChar w:fldCharType="separate"/>
      </w:r>
      <w:r>
        <w:rPr>
          <w:noProof/>
        </w:rPr>
        <w:t>62</w:t>
      </w:r>
      <w:r>
        <w:rPr>
          <w:noProof/>
        </w:rPr>
        <w:fldChar w:fldCharType="end"/>
      </w:r>
    </w:p>
    <w:p w:rsidR="00CB1B48" w:rsidRDefault="00CB1B48" w:rsidP="00C14EEF">
      <w:pPr>
        <w:pStyle w:val="12"/>
        <w:tabs>
          <w:tab w:val="right" w:leader="dot" w:pos="9627"/>
        </w:tabs>
        <w:spacing w:before="0" w:after="0"/>
        <w:rPr>
          <w:rFonts w:eastAsiaTheme="minorEastAsia" w:cstheme="minorBidi"/>
          <w:b w:val="0"/>
          <w:bCs w:val="0"/>
          <w:caps w:val="0"/>
          <w:noProof/>
          <w:sz w:val="22"/>
          <w:szCs w:val="22"/>
          <w:lang w:eastAsia="uk-UA"/>
        </w:rPr>
      </w:pPr>
      <w:r>
        <w:rPr>
          <w:noProof/>
        </w:rPr>
        <w:t>Додаток 6: Розрахунок рентабельності інвестицій (FNPV, FRR, Співвідношення вигід та витрат)</w:t>
      </w:r>
      <w:r>
        <w:rPr>
          <w:noProof/>
        </w:rPr>
        <w:tab/>
      </w:r>
      <w:r>
        <w:rPr>
          <w:noProof/>
        </w:rPr>
        <w:fldChar w:fldCharType="begin"/>
      </w:r>
      <w:r>
        <w:rPr>
          <w:noProof/>
        </w:rPr>
        <w:instrText xml:space="preserve"> PAGEREF _Toc48392571 \h </w:instrText>
      </w:r>
      <w:r>
        <w:rPr>
          <w:noProof/>
        </w:rPr>
      </w:r>
      <w:r>
        <w:rPr>
          <w:noProof/>
        </w:rPr>
        <w:fldChar w:fldCharType="separate"/>
      </w:r>
      <w:r>
        <w:rPr>
          <w:noProof/>
        </w:rPr>
        <w:t>63</w:t>
      </w:r>
      <w:r>
        <w:rPr>
          <w:noProof/>
        </w:rPr>
        <w:fldChar w:fldCharType="end"/>
      </w:r>
    </w:p>
    <w:p w:rsidR="00CB1B48" w:rsidRDefault="00CB1B48" w:rsidP="00C14EEF">
      <w:pPr>
        <w:pStyle w:val="12"/>
        <w:tabs>
          <w:tab w:val="right" w:leader="dot" w:pos="9627"/>
        </w:tabs>
        <w:spacing w:before="0" w:after="0"/>
        <w:rPr>
          <w:rFonts w:eastAsiaTheme="minorEastAsia" w:cstheme="minorBidi"/>
          <w:b w:val="0"/>
          <w:bCs w:val="0"/>
          <w:caps w:val="0"/>
          <w:noProof/>
          <w:sz w:val="22"/>
          <w:szCs w:val="22"/>
          <w:lang w:eastAsia="uk-UA"/>
        </w:rPr>
      </w:pPr>
      <w:r>
        <w:rPr>
          <w:noProof/>
        </w:rPr>
        <w:t>Додаток 7: Фінансова стійкість</w:t>
      </w:r>
      <w:r>
        <w:rPr>
          <w:noProof/>
        </w:rPr>
        <w:tab/>
      </w:r>
      <w:r>
        <w:rPr>
          <w:noProof/>
        </w:rPr>
        <w:fldChar w:fldCharType="begin"/>
      </w:r>
      <w:r>
        <w:rPr>
          <w:noProof/>
        </w:rPr>
        <w:instrText xml:space="preserve"> PAGEREF _Toc48392572 \h </w:instrText>
      </w:r>
      <w:r>
        <w:rPr>
          <w:noProof/>
        </w:rPr>
      </w:r>
      <w:r>
        <w:rPr>
          <w:noProof/>
        </w:rPr>
        <w:fldChar w:fldCharType="separate"/>
      </w:r>
      <w:r>
        <w:rPr>
          <w:noProof/>
        </w:rPr>
        <w:t>63</w:t>
      </w:r>
      <w:r>
        <w:rPr>
          <w:noProof/>
        </w:rPr>
        <w:fldChar w:fldCharType="end"/>
      </w:r>
    </w:p>
    <w:p w:rsidR="00CB1B48" w:rsidRDefault="00CB1B48" w:rsidP="00C14EEF">
      <w:pPr>
        <w:pStyle w:val="12"/>
        <w:tabs>
          <w:tab w:val="right" w:leader="dot" w:pos="9627"/>
        </w:tabs>
        <w:spacing w:before="0" w:after="0"/>
        <w:rPr>
          <w:rFonts w:eastAsiaTheme="minorEastAsia" w:cstheme="minorBidi"/>
          <w:b w:val="0"/>
          <w:bCs w:val="0"/>
          <w:caps w:val="0"/>
          <w:noProof/>
          <w:sz w:val="22"/>
          <w:szCs w:val="22"/>
          <w:lang w:eastAsia="uk-UA"/>
        </w:rPr>
      </w:pPr>
      <w:r>
        <w:rPr>
          <w:noProof/>
        </w:rPr>
        <w:t>Додаток 8: Розрахунок повернення позики ЄІБ</w:t>
      </w:r>
      <w:r>
        <w:rPr>
          <w:noProof/>
        </w:rPr>
        <w:tab/>
      </w:r>
      <w:r>
        <w:rPr>
          <w:noProof/>
        </w:rPr>
        <w:fldChar w:fldCharType="begin"/>
      </w:r>
      <w:r>
        <w:rPr>
          <w:noProof/>
        </w:rPr>
        <w:instrText xml:space="preserve"> PAGEREF _Toc48392573 \h </w:instrText>
      </w:r>
      <w:r>
        <w:rPr>
          <w:noProof/>
        </w:rPr>
      </w:r>
      <w:r>
        <w:rPr>
          <w:noProof/>
        </w:rPr>
        <w:fldChar w:fldCharType="separate"/>
      </w:r>
      <w:r>
        <w:rPr>
          <w:noProof/>
        </w:rPr>
        <w:t>63</w:t>
      </w:r>
      <w:r>
        <w:rPr>
          <w:noProof/>
        </w:rPr>
        <w:fldChar w:fldCharType="end"/>
      </w:r>
    </w:p>
    <w:p w:rsidR="00CB1B48" w:rsidRDefault="00CB1B48" w:rsidP="00C14EEF">
      <w:pPr>
        <w:pStyle w:val="12"/>
        <w:tabs>
          <w:tab w:val="right" w:leader="dot" w:pos="9627"/>
        </w:tabs>
        <w:spacing w:before="0" w:after="0"/>
        <w:rPr>
          <w:rFonts w:eastAsiaTheme="minorEastAsia" w:cstheme="minorBidi"/>
          <w:b w:val="0"/>
          <w:bCs w:val="0"/>
          <w:caps w:val="0"/>
          <w:noProof/>
          <w:sz w:val="22"/>
          <w:szCs w:val="22"/>
          <w:lang w:eastAsia="uk-UA"/>
        </w:rPr>
      </w:pPr>
      <w:r>
        <w:rPr>
          <w:noProof/>
        </w:rPr>
        <w:t>Додаток 9: Коефіцієнт покриття платежів за позикою (DSCR)</w:t>
      </w:r>
      <w:r>
        <w:rPr>
          <w:noProof/>
        </w:rPr>
        <w:tab/>
      </w:r>
      <w:r>
        <w:rPr>
          <w:noProof/>
        </w:rPr>
        <w:fldChar w:fldCharType="begin"/>
      </w:r>
      <w:r>
        <w:rPr>
          <w:noProof/>
        </w:rPr>
        <w:instrText xml:space="preserve"> PAGEREF _Toc48392574 \h </w:instrText>
      </w:r>
      <w:r>
        <w:rPr>
          <w:noProof/>
        </w:rPr>
      </w:r>
      <w:r>
        <w:rPr>
          <w:noProof/>
        </w:rPr>
        <w:fldChar w:fldCharType="separate"/>
      </w:r>
      <w:r>
        <w:rPr>
          <w:noProof/>
        </w:rPr>
        <w:t>63</w:t>
      </w:r>
      <w:r>
        <w:rPr>
          <w:noProof/>
        </w:rPr>
        <w:fldChar w:fldCharType="end"/>
      </w:r>
    </w:p>
    <w:p w:rsidR="001C025B" w:rsidRPr="0064329D" w:rsidRDefault="0042520B" w:rsidP="00C14EEF">
      <w:r w:rsidRPr="0064329D">
        <w:fldChar w:fldCharType="end"/>
      </w:r>
    </w:p>
    <w:p w:rsidR="00385103" w:rsidRPr="0064329D" w:rsidRDefault="00385103" w:rsidP="00C14EEF">
      <w:pPr>
        <w:pStyle w:val="HydrophilStandard"/>
        <w:spacing w:after="0"/>
        <w:contextualSpacing w:val="0"/>
        <w:rPr>
          <w:noProof w:val="0"/>
          <w:lang w:val="en-GB"/>
        </w:rPr>
      </w:pPr>
    </w:p>
    <w:p w:rsidR="00DC73E2" w:rsidRDefault="00DC73E2">
      <w:pPr>
        <w:jc w:val="left"/>
        <w:rPr>
          <w:rFonts w:asciiTheme="minorHAnsi" w:hAnsiTheme="minorHAnsi"/>
          <w:b/>
          <w:noProof/>
          <w:lang w:eastAsia="en-GB"/>
        </w:rPr>
      </w:pPr>
      <w:r>
        <w:br w:type="page"/>
      </w:r>
    </w:p>
    <w:p w:rsidR="00B655FF" w:rsidRPr="0064329D" w:rsidRDefault="001E212A" w:rsidP="00C14EEF">
      <w:pPr>
        <w:pStyle w:val="HydrophilStandardFett"/>
        <w:spacing w:before="0" w:after="0"/>
        <w:contextualSpacing w:val="0"/>
        <w:rPr>
          <w:noProof w:val="0"/>
        </w:rPr>
      </w:pPr>
      <w:r>
        <w:lastRenderedPageBreak/>
        <w:t>ТАБЛИЦІ</w:t>
      </w:r>
    </w:p>
    <w:p w:rsidR="00497A25" w:rsidRDefault="006F7D73">
      <w:pPr>
        <w:pStyle w:val="ac"/>
        <w:rPr>
          <w:rFonts w:eastAsiaTheme="minorEastAsia" w:cstheme="minorBidi"/>
          <w:sz w:val="22"/>
          <w:szCs w:val="22"/>
          <w:lang w:eastAsia="uk-UA"/>
        </w:rPr>
      </w:pPr>
      <w:r w:rsidRPr="0064329D">
        <w:rPr>
          <w:rFonts w:eastAsiaTheme="minorEastAsia"/>
        </w:rPr>
        <w:fldChar w:fldCharType="begin"/>
      </w:r>
      <w:r w:rsidRPr="0064329D">
        <w:rPr>
          <w:rFonts w:eastAsiaTheme="minorEastAsia"/>
        </w:rPr>
        <w:instrText xml:space="preserve"> TOC \c "Table" </w:instrText>
      </w:r>
      <w:r w:rsidRPr="0064329D">
        <w:rPr>
          <w:rFonts w:eastAsiaTheme="minorEastAsia"/>
        </w:rPr>
        <w:fldChar w:fldCharType="separate"/>
      </w:r>
      <w:r w:rsidR="00497A25">
        <w:t>Таблиця 1: Короткий опис консолідованих балансових звітів за Фіскальні роки 2014-2019</w:t>
      </w:r>
      <w:r w:rsidR="00497A25">
        <w:tab/>
      </w:r>
      <w:r w:rsidR="00497A25">
        <w:fldChar w:fldCharType="begin"/>
      </w:r>
      <w:r w:rsidR="00497A25">
        <w:instrText xml:space="preserve"> PAGEREF _Toc48643441 \h </w:instrText>
      </w:r>
      <w:r w:rsidR="00497A25">
        <w:fldChar w:fldCharType="separate"/>
      </w:r>
      <w:r w:rsidR="00497A25">
        <w:t>8</w:t>
      </w:r>
      <w:r w:rsidR="00497A25">
        <w:fldChar w:fldCharType="end"/>
      </w:r>
    </w:p>
    <w:p w:rsidR="00497A25" w:rsidRDefault="00497A25">
      <w:pPr>
        <w:pStyle w:val="ac"/>
        <w:rPr>
          <w:rFonts w:eastAsiaTheme="minorEastAsia" w:cstheme="minorBidi"/>
          <w:sz w:val="22"/>
          <w:szCs w:val="22"/>
          <w:lang w:eastAsia="uk-UA"/>
        </w:rPr>
      </w:pPr>
      <w:r>
        <w:t xml:space="preserve">Таблиця </w:t>
      </w:r>
      <w:r w:rsidRPr="00890BF3">
        <w:rPr>
          <w:rFonts w:ascii="Arial" w:hAnsi="Arial" w:cs="Arial"/>
        </w:rPr>
        <w:t>2</w:t>
      </w:r>
      <w:r>
        <w:t>:</w:t>
      </w:r>
      <w:r w:rsidRPr="00890BF3">
        <w:rPr>
          <w:rFonts w:ascii="Arial" w:hAnsi="Arial"/>
        </w:rPr>
        <w:t xml:space="preserve"> </w:t>
      </w:r>
      <w:r>
        <w:t>Середня ступінь зносу основних активів підприємства за 2016-2019 рр</w:t>
      </w:r>
      <w:r>
        <w:tab/>
      </w:r>
      <w:r>
        <w:fldChar w:fldCharType="begin"/>
      </w:r>
      <w:r>
        <w:instrText xml:space="preserve"> PAGEREF _Toc48643442 \h </w:instrText>
      </w:r>
      <w:r>
        <w:fldChar w:fldCharType="separate"/>
      </w:r>
      <w:r>
        <w:t>9</w:t>
      </w:r>
      <w:r>
        <w:fldChar w:fldCharType="end"/>
      </w:r>
    </w:p>
    <w:p w:rsidR="00497A25" w:rsidRDefault="00497A25">
      <w:pPr>
        <w:pStyle w:val="ac"/>
        <w:rPr>
          <w:rFonts w:eastAsiaTheme="minorEastAsia" w:cstheme="minorBidi"/>
          <w:sz w:val="22"/>
          <w:szCs w:val="22"/>
          <w:lang w:eastAsia="uk-UA"/>
        </w:rPr>
      </w:pPr>
      <w:r>
        <w:t xml:space="preserve">Таблиця </w:t>
      </w:r>
      <w:r w:rsidRPr="00890BF3">
        <w:rPr>
          <w:rFonts w:ascii="Arial" w:hAnsi="Arial" w:cs="Arial"/>
        </w:rPr>
        <w:t>3</w:t>
      </w:r>
      <w:r>
        <w:t>:</w:t>
      </w:r>
      <w:r w:rsidRPr="00890BF3">
        <w:rPr>
          <w:rFonts w:ascii="Arial" w:hAnsi="Arial"/>
        </w:rPr>
        <w:t xml:space="preserve"> Прострочена дебіторська заборгованість за 2019 р.</w:t>
      </w:r>
      <w:r>
        <w:tab/>
      </w:r>
      <w:r>
        <w:fldChar w:fldCharType="begin"/>
      </w:r>
      <w:r>
        <w:instrText xml:space="preserve"> PAGEREF _Toc48643443 \h </w:instrText>
      </w:r>
      <w:r>
        <w:fldChar w:fldCharType="separate"/>
      </w:r>
      <w:r>
        <w:t>10</w:t>
      </w:r>
      <w:r>
        <w:fldChar w:fldCharType="end"/>
      </w:r>
    </w:p>
    <w:p w:rsidR="00497A25" w:rsidRDefault="00497A25">
      <w:pPr>
        <w:pStyle w:val="ac"/>
        <w:rPr>
          <w:rFonts w:eastAsiaTheme="minorEastAsia" w:cstheme="minorBidi"/>
          <w:sz w:val="22"/>
          <w:szCs w:val="22"/>
          <w:lang w:eastAsia="uk-UA"/>
        </w:rPr>
      </w:pPr>
      <w:r>
        <w:t xml:space="preserve">Таблиця </w:t>
      </w:r>
      <w:r w:rsidRPr="00890BF3">
        <w:rPr>
          <w:rFonts w:ascii="Arial" w:hAnsi="Arial" w:cs="Arial"/>
        </w:rPr>
        <w:t>4</w:t>
      </w:r>
      <w:r>
        <w:t>:</w:t>
      </w:r>
      <w:r w:rsidRPr="00890BF3">
        <w:rPr>
          <w:rFonts w:ascii="Arial" w:hAnsi="Arial"/>
        </w:rPr>
        <w:t xml:space="preserve"> </w:t>
      </w:r>
      <w:r>
        <w:t>Короткий огляд консолідованого Звіту про фінансові результат за 2014-2019 фіскальні роки</w:t>
      </w:r>
      <w:r>
        <w:tab/>
      </w:r>
      <w:r>
        <w:fldChar w:fldCharType="begin"/>
      </w:r>
      <w:r>
        <w:instrText xml:space="preserve"> PAGEREF _Toc48643444 \h </w:instrText>
      </w:r>
      <w:r>
        <w:fldChar w:fldCharType="separate"/>
      </w:r>
      <w:r>
        <w:t>11</w:t>
      </w:r>
      <w:r>
        <w:fldChar w:fldCharType="end"/>
      </w:r>
    </w:p>
    <w:p w:rsidR="00497A25" w:rsidRDefault="00497A25">
      <w:pPr>
        <w:pStyle w:val="ac"/>
        <w:rPr>
          <w:rFonts w:eastAsiaTheme="minorEastAsia" w:cstheme="minorBidi"/>
          <w:sz w:val="22"/>
          <w:szCs w:val="22"/>
          <w:lang w:eastAsia="uk-UA"/>
        </w:rPr>
      </w:pPr>
      <w:r>
        <w:t xml:space="preserve">Таблиця </w:t>
      </w:r>
      <w:r w:rsidRPr="00890BF3">
        <w:rPr>
          <w:rFonts w:ascii="Arial" w:hAnsi="Arial" w:cs="Arial"/>
        </w:rPr>
        <w:t>5</w:t>
      </w:r>
      <w:r>
        <w:t>:</w:t>
      </w:r>
      <w:r w:rsidRPr="00890BF3">
        <w:rPr>
          <w:rFonts w:ascii="Arial" w:hAnsi="Arial"/>
        </w:rPr>
        <w:t xml:space="preserve"> Короткий огляд звітів про рух грошових коштів за 2014-2019 фінансові роки</w:t>
      </w:r>
      <w:r>
        <w:tab/>
      </w:r>
      <w:r>
        <w:fldChar w:fldCharType="begin"/>
      </w:r>
      <w:r>
        <w:instrText xml:space="preserve"> PAGEREF _Toc48643445 \h </w:instrText>
      </w:r>
      <w:r>
        <w:fldChar w:fldCharType="separate"/>
      </w:r>
      <w:r>
        <w:t>13</w:t>
      </w:r>
      <w:r>
        <w:fldChar w:fldCharType="end"/>
      </w:r>
    </w:p>
    <w:p w:rsidR="00497A25" w:rsidRDefault="00497A25">
      <w:pPr>
        <w:pStyle w:val="ac"/>
        <w:rPr>
          <w:rFonts w:eastAsiaTheme="minorEastAsia" w:cstheme="minorBidi"/>
          <w:sz w:val="22"/>
          <w:szCs w:val="22"/>
          <w:lang w:eastAsia="uk-UA"/>
        </w:rPr>
      </w:pPr>
      <w:r>
        <w:t xml:space="preserve">Таблиця </w:t>
      </w:r>
      <w:r w:rsidRPr="00890BF3">
        <w:rPr>
          <w:rFonts w:ascii="Arial" w:hAnsi="Arial" w:cs="Arial"/>
        </w:rPr>
        <w:t>6</w:t>
      </w:r>
      <w:r>
        <w:t>:</w:t>
      </w:r>
      <w:r w:rsidRPr="00890BF3">
        <w:rPr>
          <w:rFonts w:ascii="Arial" w:hAnsi="Arial"/>
        </w:rPr>
        <w:t xml:space="preserve"> </w:t>
      </w:r>
      <w:r>
        <w:t>Короткий опис ключових фінансових коефіцієнтів за 2014-2019 фіскальні роки</w:t>
      </w:r>
      <w:r>
        <w:tab/>
      </w:r>
      <w:r>
        <w:fldChar w:fldCharType="begin"/>
      </w:r>
      <w:r>
        <w:instrText xml:space="preserve"> PAGEREF _Toc48643446 \h </w:instrText>
      </w:r>
      <w:r>
        <w:fldChar w:fldCharType="separate"/>
      </w:r>
      <w:r>
        <w:t>15</w:t>
      </w:r>
      <w:r>
        <w:fldChar w:fldCharType="end"/>
      </w:r>
    </w:p>
    <w:p w:rsidR="00497A25" w:rsidRDefault="00497A25">
      <w:pPr>
        <w:pStyle w:val="ac"/>
        <w:rPr>
          <w:rFonts w:eastAsiaTheme="minorEastAsia" w:cstheme="minorBidi"/>
          <w:sz w:val="22"/>
          <w:szCs w:val="22"/>
          <w:lang w:eastAsia="uk-UA"/>
        </w:rPr>
      </w:pPr>
      <w:r>
        <w:t>Таблиця 7: Покриття фактичних витрат тарифом (у %) за минулі періоди</w:t>
      </w:r>
      <w:r>
        <w:tab/>
      </w:r>
      <w:r>
        <w:fldChar w:fldCharType="begin"/>
      </w:r>
      <w:r>
        <w:instrText xml:space="preserve"> PAGEREF _Toc48643447 \h </w:instrText>
      </w:r>
      <w:r>
        <w:fldChar w:fldCharType="separate"/>
      </w:r>
      <w:r>
        <w:t>19</w:t>
      </w:r>
      <w:r>
        <w:fldChar w:fldCharType="end"/>
      </w:r>
    </w:p>
    <w:p w:rsidR="00497A25" w:rsidRDefault="00497A25">
      <w:pPr>
        <w:pStyle w:val="ac"/>
        <w:rPr>
          <w:rFonts w:eastAsiaTheme="minorEastAsia" w:cstheme="minorBidi"/>
          <w:sz w:val="22"/>
          <w:szCs w:val="22"/>
          <w:lang w:eastAsia="uk-UA"/>
        </w:rPr>
      </w:pPr>
      <w:r>
        <w:t>Таблиця 8: Тариф на водопостачання та водовідведення (грн/м</w:t>
      </w:r>
      <w:r w:rsidRPr="00890BF3">
        <w:rPr>
          <w:vertAlign w:val="superscript"/>
        </w:rPr>
        <w:t>3</w:t>
      </w:r>
      <w:r>
        <w:t>), 2014-2019 рр</w:t>
      </w:r>
      <w:r>
        <w:tab/>
      </w:r>
      <w:r>
        <w:fldChar w:fldCharType="begin"/>
      </w:r>
      <w:r>
        <w:instrText xml:space="preserve"> PAGEREF _Toc48643448 \h </w:instrText>
      </w:r>
      <w:r>
        <w:fldChar w:fldCharType="separate"/>
      </w:r>
      <w:r>
        <w:t>19</w:t>
      </w:r>
      <w:r>
        <w:fldChar w:fldCharType="end"/>
      </w:r>
    </w:p>
    <w:p w:rsidR="00497A25" w:rsidRDefault="00497A25">
      <w:pPr>
        <w:pStyle w:val="ac"/>
        <w:rPr>
          <w:rFonts w:eastAsiaTheme="minorEastAsia" w:cstheme="minorBidi"/>
          <w:sz w:val="22"/>
          <w:szCs w:val="22"/>
          <w:lang w:eastAsia="uk-UA"/>
        </w:rPr>
      </w:pPr>
      <w:r>
        <w:t>Таблиця 9: Класифікація та аналіз витрат (багатоквартирні будинки) (діють з 28.05.2019)</w:t>
      </w:r>
      <w:r>
        <w:tab/>
      </w:r>
      <w:r>
        <w:fldChar w:fldCharType="begin"/>
      </w:r>
      <w:r>
        <w:instrText xml:space="preserve"> PAGEREF _Toc48643449 \h </w:instrText>
      </w:r>
      <w:r>
        <w:fldChar w:fldCharType="separate"/>
      </w:r>
      <w:r>
        <w:t>20</w:t>
      </w:r>
      <w:r>
        <w:fldChar w:fldCharType="end"/>
      </w:r>
    </w:p>
    <w:p w:rsidR="00497A25" w:rsidRDefault="00497A25">
      <w:pPr>
        <w:pStyle w:val="ac"/>
        <w:rPr>
          <w:rFonts w:eastAsiaTheme="minorEastAsia" w:cstheme="minorBidi"/>
          <w:sz w:val="22"/>
          <w:szCs w:val="22"/>
          <w:lang w:eastAsia="uk-UA"/>
        </w:rPr>
      </w:pPr>
      <w:r>
        <w:t xml:space="preserve">Таблиця 10: </w:t>
      </w:r>
      <w:r w:rsidRPr="00890BF3">
        <w:rPr>
          <w:rFonts w:ascii="Arial" w:hAnsi="Arial"/>
        </w:rPr>
        <w:t>Розбивка виробничих витрат за складовими, % (2019, централізоване водопостачання/водовідведення)</w:t>
      </w:r>
      <w:r>
        <w:tab/>
      </w:r>
      <w:r>
        <w:fldChar w:fldCharType="begin"/>
      </w:r>
      <w:r>
        <w:instrText xml:space="preserve"> PAGEREF _Toc48643450 \h </w:instrText>
      </w:r>
      <w:r>
        <w:fldChar w:fldCharType="separate"/>
      </w:r>
      <w:r>
        <w:t>22</w:t>
      </w:r>
      <w:r>
        <w:fldChar w:fldCharType="end"/>
      </w:r>
    </w:p>
    <w:p w:rsidR="00497A25" w:rsidRDefault="00497A25">
      <w:pPr>
        <w:pStyle w:val="ac"/>
        <w:rPr>
          <w:rFonts w:eastAsiaTheme="minorEastAsia" w:cstheme="minorBidi"/>
          <w:sz w:val="22"/>
          <w:szCs w:val="22"/>
          <w:lang w:eastAsia="uk-UA"/>
        </w:rPr>
      </w:pPr>
      <w:r>
        <w:t>Таблиця 11: Доступність тарифів</w:t>
      </w:r>
      <w:r>
        <w:tab/>
      </w:r>
      <w:r>
        <w:fldChar w:fldCharType="begin"/>
      </w:r>
      <w:r>
        <w:instrText xml:space="preserve"> PAGEREF _Toc48643451 \h </w:instrText>
      </w:r>
      <w:r>
        <w:fldChar w:fldCharType="separate"/>
      </w:r>
      <w:r>
        <w:t>24</w:t>
      </w:r>
      <w:r>
        <w:fldChar w:fldCharType="end"/>
      </w:r>
    </w:p>
    <w:p w:rsidR="00497A25" w:rsidRDefault="00497A25">
      <w:pPr>
        <w:pStyle w:val="ac"/>
        <w:rPr>
          <w:rFonts w:eastAsiaTheme="minorEastAsia" w:cstheme="minorBidi"/>
          <w:sz w:val="22"/>
          <w:szCs w:val="22"/>
          <w:lang w:eastAsia="uk-UA"/>
        </w:rPr>
      </w:pPr>
      <w:r>
        <w:t xml:space="preserve">Таблиця </w:t>
      </w:r>
      <w:r w:rsidRPr="00890BF3">
        <w:rPr>
          <w:rFonts w:ascii="Arial" w:hAnsi="Arial" w:cs="Arial"/>
        </w:rPr>
        <w:t>12</w:t>
      </w:r>
      <w:r>
        <w:t>:</w:t>
      </w:r>
      <w:r w:rsidRPr="00890BF3">
        <w:rPr>
          <w:rFonts w:ascii="Arial" w:hAnsi="Arial"/>
        </w:rPr>
        <w:t xml:space="preserve"> </w:t>
      </w:r>
      <w:r w:rsidRPr="00890BF3">
        <w:rPr>
          <w:rFonts w:ascii="Arial" w:hAnsi="Arial"/>
          <w:color w:val="000000"/>
        </w:rPr>
        <w:t>Щомісячні виплати ПДВ до бюджету (2014-2019 фіскальні роки), грн</w:t>
      </w:r>
      <w:r>
        <w:tab/>
      </w:r>
      <w:r>
        <w:fldChar w:fldCharType="begin"/>
      </w:r>
      <w:r>
        <w:instrText xml:space="preserve"> PAGEREF _Toc48643452 \h </w:instrText>
      </w:r>
      <w:r>
        <w:fldChar w:fldCharType="separate"/>
      </w:r>
      <w:r>
        <w:t>26</w:t>
      </w:r>
      <w:r>
        <w:fldChar w:fldCharType="end"/>
      </w:r>
    </w:p>
    <w:p w:rsidR="00497A25" w:rsidRDefault="00497A25">
      <w:pPr>
        <w:pStyle w:val="ac"/>
        <w:rPr>
          <w:rFonts w:eastAsiaTheme="minorEastAsia" w:cstheme="minorBidi"/>
          <w:sz w:val="22"/>
          <w:szCs w:val="22"/>
          <w:lang w:eastAsia="uk-UA"/>
        </w:rPr>
      </w:pPr>
      <w:r>
        <w:t xml:space="preserve">Таблиця </w:t>
      </w:r>
      <w:r w:rsidRPr="00890BF3">
        <w:rPr>
          <w:rFonts w:ascii="Arial" w:hAnsi="Arial" w:cs="Arial"/>
        </w:rPr>
        <w:t>13</w:t>
      </w:r>
      <w:r>
        <w:t>:</w:t>
      </w:r>
      <w:r w:rsidRPr="00890BF3">
        <w:rPr>
          <w:rFonts w:ascii="Arial" w:hAnsi="Arial"/>
        </w:rPr>
        <w:t xml:space="preserve"> Інвестиційна складова, що фінансується із позики ЄІБ</w:t>
      </w:r>
      <w:r>
        <w:tab/>
      </w:r>
      <w:r>
        <w:fldChar w:fldCharType="begin"/>
      </w:r>
      <w:r>
        <w:instrText xml:space="preserve"> PAGEREF _Toc48643453 \h </w:instrText>
      </w:r>
      <w:r>
        <w:fldChar w:fldCharType="separate"/>
      </w:r>
      <w:r>
        <w:t>28</w:t>
      </w:r>
      <w:r>
        <w:fldChar w:fldCharType="end"/>
      </w:r>
    </w:p>
    <w:p w:rsidR="00497A25" w:rsidRDefault="00497A25">
      <w:pPr>
        <w:pStyle w:val="ac"/>
        <w:rPr>
          <w:rFonts w:eastAsiaTheme="minorEastAsia" w:cstheme="minorBidi"/>
          <w:sz w:val="22"/>
          <w:szCs w:val="22"/>
          <w:lang w:eastAsia="uk-UA"/>
        </w:rPr>
      </w:pPr>
      <w:r>
        <w:t>Таблиця 14: Витрати за проектом</w:t>
      </w:r>
      <w:r>
        <w:tab/>
      </w:r>
      <w:r>
        <w:fldChar w:fldCharType="begin"/>
      </w:r>
      <w:r>
        <w:instrText xml:space="preserve"> PAGEREF _Toc48643454 \h </w:instrText>
      </w:r>
      <w:r>
        <w:fldChar w:fldCharType="separate"/>
      </w:r>
      <w:r>
        <w:t>32</w:t>
      </w:r>
      <w:r>
        <w:fldChar w:fldCharType="end"/>
      </w:r>
    </w:p>
    <w:p w:rsidR="00497A25" w:rsidRDefault="00497A25">
      <w:pPr>
        <w:pStyle w:val="ac"/>
        <w:rPr>
          <w:rFonts w:eastAsiaTheme="minorEastAsia" w:cstheme="minorBidi"/>
          <w:sz w:val="22"/>
          <w:szCs w:val="22"/>
          <w:lang w:eastAsia="uk-UA"/>
        </w:rPr>
      </w:pPr>
      <w:r>
        <w:t>Таблиця 15: Підсумок приростних витрат та заощаджень</w:t>
      </w:r>
      <w:r>
        <w:tab/>
      </w:r>
      <w:r>
        <w:fldChar w:fldCharType="begin"/>
      </w:r>
      <w:r>
        <w:instrText xml:space="preserve"> PAGEREF _Toc48643455 \h </w:instrText>
      </w:r>
      <w:r>
        <w:fldChar w:fldCharType="separate"/>
      </w:r>
      <w:r>
        <w:t>32</w:t>
      </w:r>
      <w:r>
        <w:fldChar w:fldCharType="end"/>
      </w:r>
    </w:p>
    <w:p w:rsidR="00497A25" w:rsidRDefault="00497A25">
      <w:pPr>
        <w:pStyle w:val="ac"/>
        <w:rPr>
          <w:rFonts w:eastAsiaTheme="minorEastAsia" w:cstheme="minorBidi"/>
          <w:sz w:val="22"/>
          <w:szCs w:val="22"/>
          <w:lang w:eastAsia="uk-UA"/>
        </w:rPr>
      </w:pPr>
      <w:r>
        <w:t>Таблиця 16: Фінансовий план проекту</w:t>
      </w:r>
      <w:r>
        <w:tab/>
      </w:r>
      <w:r>
        <w:fldChar w:fldCharType="begin"/>
      </w:r>
      <w:r>
        <w:instrText xml:space="preserve"> PAGEREF _Toc48643456 \h </w:instrText>
      </w:r>
      <w:r>
        <w:fldChar w:fldCharType="separate"/>
      </w:r>
      <w:r>
        <w:t>33</w:t>
      </w:r>
      <w:r>
        <w:fldChar w:fldCharType="end"/>
      </w:r>
    </w:p>
    <w:p w:rsidR="00497A25" w:rsidRDefault="00497A25">
      <w:pPr>
        <w:pStyle w:val="ac"/>
        <w:rPr>
          <w:rFonts w:eastAsiaTheme="minorEastAsia" w:cstheme="minorBidi"/>
          <w:sz w:val="22"/>
          <w:szCs w:val="22"/>
          <w:lang w:eastAsia="uk-UA"/>
        </w:rPr>
      </w:pPr>
      <w:r>
        <w:t xml:space="preserve">Таблиця 17: </w:t>
      </w:r>
      <w:r w:rsidRPr="00890BF3">
        <w:rPr>
          <w:rFonts w:ascii="Arial" w:hAnsi="Arial"/>
        </w:rPr>
        <w:t>Вигоди за проектом</w:t>
      </w:r>
      <w:r>
        <w:tab/>
      </w:r>
      <w:r>
        <w:fldChar w:fldCharType="begin"/>
      </w:r>
      <w:r>
        <w:instrText xml:space="preserve"> PAGEREF _Toc48643457 \h </w:instrText>
      </w:r>
      <w:r>
        <w:fldChar w:fldCharType="separate"/>
      </w:r>
      <w:r>
        <w:t>36</w:t>
      </w:r>
      <w:r>
        <w:fldChar w:fldCharType="end"/>
      </w:r>
    </w:p>
    <w:p w:rsidR="00497A25" w:rsidRDefault="00497A25">
      <w:pPr>
        <w:pStyle w:val="ac"/>
        <w:rPr>
          <w:rFonts w:eastAsiaTheme="minorEastAsia" w:cstheme="minorBidi"/>
          <w:sz w:val="22"/>
          <w:szCs w:val="22"/>
          <w:lang w:eastAsia="uk-UA"/>
        </w:rPr>
      </w:pPr>
      <w:r>
        <w:t>Таблиця 18: Економічні показники</w:t>
      </w:r>
      <w:r>
        <w:tab/>
      </w:r>
      <w:r>
        <w:fldChar w:fldCharType="begin"/>
      </w:r>
      <w:r>
        <w:instrText xml:space="preserve"> PAGEREF _Toc48643458 \h </w:instrText>
      </w:r>
      <w:r>
        <w:fldChar w:fldCharType="separate"/>
      </w:r>
      <w:r>
        <w:t>36</w:t>
      </w:r>
      <w:r>
        <w:fldChar w:fldCharType="end"/>
      </w:r>
    </w:p>
    <w:p w:rsidR="00497A25" w:rsidRDefault="00497A25">
      <w:pPr>
        <w:pStyle w:val="ac"/>
        <w:rPr>
          <w:rFonts w:eastAsiaTheme="minorEastAsia" w:cstheme="minorBidi"/>
          <w:sz w:val="22"/>
          <w:szCs w:val="22"/>
          <w:lang w:eastAsia="uk-UA"/>
        </w:rPr>
      </w:pPr>
      <w:r>
        <w:t>Таблиця 19: Аналіз чутливості</w:t>
      </w:r>
      <w:r>
        <w:tab/>
      </w:r>
      <w:r>
        <w:fldChar w:fldCharType="begin"/>
      </w:r>
      <w:r>
        <w:instrText xml:space="preserve"> PAGEREF _Toc48643459 \h </w:instrText>
      </w:r>
      <w:r>
        <w:fldChar w:fldCharType="separate"/>
      </w:r>
      <w:r>
        <w:t>37</w:t>
      </w:r>
      <w:r>
        <w:fldChar w:fldCharType="end"/>
      </w:r>
    </w:p>
    <w:p w:rsidR="00497A25" w:rsidRDefault="00497A25">
      <w:pPr>
        <w:pStyle w:val="ac"/>
        <w:rPr>
          <w:rFonts w:eastAsiaTheme="minorEastAsia" w:cstheme="minorBidi"/>
          <w:sz w:val="22"/>
          <w:szCs w:val="22"/>
          <w:lang w:eastAsia="uk-UA"/>
        </w:rPr>
      </w:pPr>
      <w:r>
        <w:t>Таблиця 20: Оцінка ризику</w:t>
      </w:r>
      <w:r>
        <w:tab/>
      </w:r>
      <w:r>
        <w:fldChar w:fldCharType="begin"/>
      </w:r>
      <w:r>
        <w:instrText xml:space="preserve"> PAGEREF _Toc48643460 \h </w:instrText>
      </w:r>
      <w:r>
        <w:fldChar w:fldCharType="separate"/>
      </w:r>
      <w:r>
        <w:t>38</w:t>
      </w:r>
      <w:r>
        <w:fldChar w:fldCharType="end"/>
      </w:r>
    </w:p>
    <w:p w:rsidR="00B655FF" w:rsidRPr="0064329D" w:rsidRDefault="006F7D73" w:rsidP="00C14EEF">
      <w:pPr>
        <w:pStyle w:val="ac"/>
      </w:pPr>
      <w:r w:rsidRPr="0064329D">
        <w:rPr>
          <w:rFonts w:eastAsiaTheme="minorEastAsia"/>
        </w:rPr>
        <w:fldChar w:fldCharType="end"/>
      </w:r>
    </w:p>
    <w:p w:rsidR="000F2DB7" w:rsidRPr="0064329D" w:rsidRDefault="000F2DB7" w:rsidP="00C14EEF"/>
    <w:p w:rsidR="00B655FF" w:rsidRPr="0064329D" w:rsidRDefault="001E212A" w:rsidP="00C14EEF">
      <w:pPr>
        <w:pStyle w:val="HydrophilStandardFett"/>
        <w:spacing w:before="0" w:after="0"/>
        <w:contextualSpacing w:val="0"/>
        <w:rPr>
          <w:noProof w:val="0"/>
        </w:rPr>
      </w:pPr>
      <w:r>
        <w:t>ЗОБРАЖЕННЯ</w:t>
      </w:r>
    </w:p>
    <w:p w:rsidR="00497A25" w:rsidRDefault="006F7D73">
      <w:pPr>
        <w:pStyle w:val="ac"/>
        <w:rPr>
          <w:rFonts w:eastAsiaTheme="minorEastAsia" w:cstheme="minorBidi"/>
          <w:sz w:val="22"/>
          <w:szCs w:val="22"/>
          <w:lang w:eastAsia="uk-UA"/>
        </w:rPr>
      </w:pPr>
      <w:r w:rsidRPr="0064329D">
        <w:fldChar w:fldCharType="begin"/>
      </w:r>
      <w:r w:rsidRPr="0064329D">
        <w:instrText xml:space="preserve"> TOC \c "Figure" </w:instrText>
      </w:r>
      <w:r w:rsidRPr="0064329D">
        <w:fldChar w:fldCharType="separate"/>
      </w:r>
      <w:r w:rsidR="00497A25">
        <w:t>Малюнок 1: Склад необоротних активів комунального підприємства (у % від загальних необоротних активів) 2019 фіскальний рік</w:t>
      </w:r>
      <w:r w:rsidR="00497A25">
        <w:tab/>
      </w:r>
      <w:r w:rsidR="00497A25">
        <w:fldChar w:fldCharType="begin"/>
      </w:r>
      <w:r w:rsidR="00497A25">
        <w:instrText xml:space="preserve"> PAGEREF _Toc48643461 \h </w:instrText>
      </w:r>
      <w:r w:rsidR="00497A25">
        <w:fldChar w:fldCharType="separate"/>
      </w:r>
      <w:r w:rsidR="00497A25">
        <w:t>9</w:t>
      </w:r>
      <w:r w:rsidR="00497A25">
        <w:fldChar w:fldCharType="end"/>
      </w:r>
    </w:p>
    <w:p w:rsidR="00497A25" w:rsidRDefault="00497A25">
      <w:pPr>
        <w:pStyle w:val="ac"/>
        <w:rPr>
          <w:rFonts w:eastAsiaTheme="minorEastAsia" w:cstheme="minorBidi"/>
          <w:sz w:val="22"/>
          <w:szCs w:val="22"/>
          <w:lang w:eastAsia="uk-UA"/>
        </w:rPr>
      </w:pPr>
      <w:r>
        <w:t>Малюнок 2: Склад оборотник активів підприємства (у % від загальних необоротних активів) 2019 фіскальний рік</w:t>
      </w:r>
      <w:r>
        <w:tab/>
      </w:r>
      <w:r>
        <w:fldChar w:fldCharType="begin"/>
      </w:r>
      <w:r>
        <w:instrText xml:space="preserve"> PAGEREF _Toc48643462 \h </w:instrText>
      </w:r>
      <w:r>
        <w:fldChar w:fldCharType="separate"/>
      </w:r>
      <w:r>
        <w:t>9</w:t>
      </w:r>
      <w:r>
        <w:fldChar w:fldCharType="end"/>
      </w:r>
    </w:p>
    <w:p w:rsidR="00497A25" w:rsidRDefault="00497A25">
      <w:pPr>
        <w:pStyle w:val="ac"/>
        <w:rPr>
          <w:rFonts w:eastAsiaTheme="minorEastAsia" w:cstheme="minorBidi"/>
          <w:sz w:val="22"/>
          <w:szCs w:val="22"/>
          <w:lang w:eastAsia="uk-UA"/>
        </w:rPr>
      </w:pPr>
      <w:r>
        <w:t xml:space="preserve">Малюнок </w:t>
      </w:r>
      <w:r w:rsidRPr="00D93DAA">
        <w:rPr>
          <w:rFonts w:ascii="Arial" w:hAnsi="Arial" w:cs="Arial"/>
        </w:rPr>
        <w:t>3</w:t>
      </w:r>
      <w:r>
        <w:t>:</w:t>
      </w:r>
      <w:r w:rsidRPr="00D93DAA">
        <w:rPr>
          <w:rFonts w:ascii="Arial" w:hAnsi="Arial"/>
        </w:rPr>
        <w:t xml:space="preserve"> Частка субвенцій у доходах комунального підприємства (у % від загального доходу)</w:t>
      </w:r>
      <w:r>
        <w:tab/>
      </w:r>
      <w:r>
        <w:fldChar w:fldCharType="begin"/>
      </w:r>
      <w:r>
        <w:instrText xml:space="preserve"> PAGEREF _Toc48643463 \h </w:instrText>
      </w:r>
      <w:r>
        <w:fldChar w:fldCharType="separate"/>
      </w:r>
      <w:r>
        <w:t>14</w:t>
      </w:r>
      <w:r>
        <w:fldChar w:fldCharType="end"/>
      </w:r>
    </w:p>
    <w:p w:rsidR="00497A25" w:rsidRDefault="00497A25">
      <w:pPr>
        <w:pStyle w:val="ac"/>
        <w:rPr>
          <w:rFonts w:eastAsiaTheme="minorEastAsia" w:cstheme="minorBidi"/>
          <w:sz w:val="22"/>
          <w:szCs w:val="22"/>
          <w:lang w:eastAsia="uk-UA"/>
        </w:rPr>
      </w:pPr>
      <w:r>
        <w:t xml:space="preserve">Малюнок </w:t>
      </w:r>
      <w:r w:rsidRPr="00D93DAA">
        <w:rPr>
          <w:rFonts w:ascii="Arial" w:hAnsi="Arial" w:cs="Arial"/>
        </w:rPr>
        <w:t>4</w:t>
      </w:r>
      <w:r>
        <w:t>:</w:t>
      </w:r>
      <w:r w:rsidRPr="00D93DAA">
        <w:rPr>
          <w:rFonts w:ascii="Arial" w:hAnsi="Arial"/>
        </w:rPr>
        <w:t xml:space="preserve"> </w:t>
      </w:r>
      <w:r>
        <w:t>Розбивка вартості виробничих витрат за тарифом на воду 2019 р</w:t>
      </w:r>
      <w:r>
        <w:tab/>
      </w:r>
      <w:r>
        <w:fldChar w:fldCharType="begin"/>
      </w:r>
      <w:r>
        <w:instrText xml:space="preserve"> PAGEREF _Toc48643464 \h </w:instrText>
      </w:r>
      <w:r>
        <w:fldChar w:fldCharType="separate"/>
      </w:r>
      <w:r>
        <w:t>21</w:t>
      </w:r>
      <w:r>
        <w:fldChar w:fldCharType="end"/>
      </w:r>
    </w:p>
    <w:p w:rsidR="00497A25" w:rsidRDefault="00497A25">
      <w:pPr>
        <w:pStyle w:val="ac"/>
        <w:rPr>
          <w:rFonts w:eastAsiaTheme="minorEastAsia" w:cstheme="minorBidi"/>
          <w:sz w:val="22"/>
          <w:szCs w:val="22"/>
          <w:lang w:eastAsia="uk-UA"/>
        </w:rPr>
      </w:pPr>
      <w:r>
        <w:t xml:space="preserve">Малюнок </w:t>
      </w:r>
      <w:r w:rsidRPr="00D93DAA">
        <w:rPr>
          <w:rFonts w:ascii="Arial" w:hAnsi="Arial" w:cs="Arial"/>
        </w:rPr>
        <w:t>5</w:t>
      </w:r>
      <w:r>
        <w:t>:</w:t>
      </w:r>
      <w:r w:rsidRPr="00D93DAA">
        <w:rPr>
          <w:rFonts w:ascii="Arial" w:hAnsi="Arial"/>
        </w:rPr>
        <w:t xml:space="preserve"> Розбивка вартості виробничих витрат за тарифом на водовідведення 2018 р (багатоквартирні будинки)</w:t>
      </w:r>
      <w:r>
        <w:tab/>
      </w:r>
      <w:r>
        <w:fldChar w:fldCharType="begin"/>
      </w:r>
      <w:r>
        <w:instrText xml:space="preserve"> PAGEREF _Toc48643465 \h </w:instrText>
      </w:r>
      <w:r>
        <w:fldChar w:fldCharType="separate"/>
      </w:r>
      <w:r>
        <w:t>22</w:t>
      </w:r>
      <w:r>
        <w:fldChar w:fldCharType="end"/>
      </w:r>
    </w:p>
    <w:p w:rsidR="00497A25" w:rsidRDefault="00497A25">
      <w:pPr>
        <w:pStyle w:val="ac"/>
        <w:rPr>
          <w:rFonts w:eastAsiaTheme="minorEastAsia" w:cstheme="minorBidi"/>
          <w:sz w:val="22"/>
          <w:szCs w:val="22"/>
          <w:lang w:eastAsia="uk-UA"/>
        </w:rPr>
      </w:pPr>
      <w:r>
        <w:t xml:space="preserve">Малюнок </w:t>
      </w:r>
      <w:r w:rsidRPr="00D93DAA">
        <w:rPr>
          <w:rFonts w:ascii="Arial" w:hAnsi="Arial" w:cs="Arial"/>
        </w:rPr>
        <w:t>6</w:t>
      </w:r>
      <w:r>
        <w:t>:</w:t>
      </w:r>
      <w:r w:rsidRPr="00D93DAA">
        <w:rPr>
          <w:rFonts w:ascii="Arial" w:hAnsi="Arial"/>
        </w:rPr>
        <w:t xml:space="preserve"> </w:t>
      </w:r>
      <w:r>
        <w:t>Прогнози щодо населення міста Луцьк, 2020-2040 рр</w:t>
      </w:r>
      <w:r>
        <w:tab/>
      </w:r>
      <w:r>
        <w:fldChar w:fldCharType="begin"/>
      </w:r>
      <w:r>
        <w:instrText xml:space="preserve"> PAGEREF _Toc48643466 \h </w:instrText>
      </w:r>
      <w:r>
        <w:fldChar w:fldCharType="separate"/>
      </w:r>
      <w:r>
        <w:t>29</w:t>
      </w:r>
      <w:r>
        <w:fldChar w:fldCharType="end"/>
      </w:r>
    </w:p>
    <w:p w:rsidR="00497A25" w:rsidRDefault="00497A25">
      <w:pPr>
        <w:pStyle w:val="ac"/>
        <w:rPr>
          <w:rFonts w:eastAsiaTheme="minorEastAsia" w:cstheme="minorBidi"/>
          <w:sz w:val="22"/>
          <w:szCs w:val="22"/>
          <w:lang w:eastAsia="uk-UA"/>
        </w:rPr>
      </w:pPr>
      <w:r>
        <w:t xml:space="preserve">Малюнок </w:t>
      </w:r>
      <w:r w:rsidRPr="00D93DAA">
        <w:rPr>
          <w:rFonts w:ascii="Arial" w:hAnsi="Arial" w:cs="Arial"/>
        </w:rPr>
        <w:t>7</w:t>
      </w:r>
      <w:r>
        <w:t>: Прогнози щодо населення прилеглих до міста Луцьк населених пунктів, 2020-2040 рр</w:t>
      </w:r>
      <w:r>
        <w:tab/>
      </w:r>
      <w:r>
        <w:fldChar w:fldCharType="begin"/>
      </w:r>
      <w:r>
        <w:instrText xml:space="preserve"> PAGEREF _Toc48643467 \h </w:instrText>
      </w:r>
      <w:r>
        <w:fldChar w:fldCharType="separate"/>
      </w:r>
      <w:r>
        <w:t>29</w:t>
      </w:r>
      <w:r>
        <w:fldChar w:fldCharType="end"/>
      </w:r>
    </w:p>
    <w:p w:rsidR="00497A25" w:rsidRDefault="00497A25">
      <w:pPr>
        <w:pStyle w:val="ac"/>
        <w:rPr>
          <w:rFonts w:eastAsiaTheme="minorEastAsia" w:cstheme="minorBidi"/>
          <w:sz w:val="22"/>
          <w:szCs w:val="22"/>
          <w:lang w:eastAsia="uk-UA"/>
        </w:rPr>
      </w:pPr>
      <w:r>
        <w:t xml:space="preserve">Малюнок </w:t>
      </w:r>
      <w:r w:rsidRPr="00D93DAA">
        <w:rPr>
          <w:rFonts w:ascii="Arial" w:hAnsi="Arial" w:cs="Arial"/>
        </w:rPr>
        <w:t>8</w:t>
      </w:r>
      <w:r>
        <w:t>: Прогноз попиту</w:t>
      </w:r>
      <w:r>
        <w:tab/>
      </w:r>
      <w:r>
        <w:fldChar w:fldCharType="begin"/>
      </w:r>
      <w:r>
        <w:instrText xml:space="preserve"> PAGEREF _Toc48643468 \h </w:instrText>
      </w:r>
      <w:r>
        <w:fldChar w:fldCharType="separate"/>
      </w:r>
      <w:r>
        <w:t>30</w:t>
      </w:r>
      <w:r>
        <w:fldChar w:fldCharType="end"/>
      </w:r>
    </w:p>
    <w:p w:rsidR="00497A25" w:rsidRDefault="00497A25">
      <w:pPr>
        <w:pStyle w:val="ac"/>
        <w:rPr>
          <w:rFonts w:eastAsiaTheme="minorEastAsia" w:cstheme="minorBidi"/>
          <w:sz w:val="22"/>
          <w:szCs w:val="22"/>
          <w:lang w:eastAsia="uk-UA"/>
        </w:rPr>
      </w:pPr>
      <w:r>
        <w:t xml:space="preserve">Малюнок </w:t>
      </w:r>
      <w:r w:rsidRPr="00D93DAA">
        <w:rPr>
          <w:rFonts w:ascii="Arial" w:hAnsi="Arial" w:cs="Arial"/>
        </w:rPr>
        <w:t>9</w:t>
      </w:r>
      <w:r>
        <w:t>: Прогноз Водяного балансу</w:t>
      </w:r>
      <w:r>
        <w:tab/>
      </w:r>
      <w:r>
        <w:fldChar w:fldCharType="begin"/>
      </w:r>
      <w:r>
        <w:instrText xml:space="preserve"> PAGEREF _Toc48643469 \h </w:instrText>
      </w:r>
      <w:r>
        <w:fldChar w:fldCharType="separate"/>
      </w:r>
      <w:r>
        <w:t>30</w:t>
      </w:r>
      <w:r>
        <w:fldChar w:fldCharType="end"/>
      </w:r>
    </w:p>
    <w:p w:rsidR="00497A25" w:rsidRDefault="00497A25">
      <w:pPr>
        <w:pStyle w:val="ac"/>
        <w:rPr>
          <w:rFonts w:eastAsiaTheme="minorEastAsia" w:cstheme="minorBidi"/>
          <w:sz w:val="22"/>
          <w:szCs w:val="22"/>
          <w:lang w:eastAsia="uk-UA"/>
        </w:rPr>
      </w:pPr>
      <w:r>
        <w:t>Малюнок 10: Коефіцієнт покриття платежів за позикою</w:t>
      </w:r>
      <w:r>
        <w:tab/>
      </w:r>
      <w:r>
        <w:fldChar w:fldCharType="begin"/>
      </w:r>
      <w:r>
        <w:instrText xml:space="preserve"> PAGEREF _Toc48643470 \h </w:instrText>
      </w:r>
      <w:r>
        <w:fldChar w:fldCharType="separate"/>
      </w:r>
      <w:r>
        <w:t>34</w:t>
      </w:r>
      <w:r>
        <w:fldChar w:fldCharType="end"/>
      </w:r>
    </w:p>
    <w:p w:rsidR="00E60D4A" w:rsidRDefault="006F7D73" w:rsidP="00C14EEF">
      <w:pPr>
        <w:pStyle w:val="ac"/>
      </w:pPr>
      <w:r w:rsidRPr="0064329D">
        <w:fldChar w:fldCharType="end"/>
      </w:r>
    </w:p>
    <w:p w:rsidR="001F7C1E" w:rsidRDefault="001F7C1E" w:rsidP="00C14EEF">
      <w:pPr>
        <w:pStyle w:val="HydrophilStandard"/>
        <w:spacing w:after="0"/>
        <w:contextualSpacing w:val="0"/>
      </w:pPr>
      <w:r>
        <w:br w:type="page"/>
      </w:r>
    </w:p>
    <w:p w:rsidR="001F7C1E" w:rsidRDefault="001F7C1E" w:rsidP="00C14EEF">
      <w:pPr>
        <w:pStyle w:val="HydrophilStandard"/>
        <w:spacing w:after="0"/>
        <w:contextualSpacing w:val="0"/>
        <w:rPr>
          <w:lang w:val="en-GB"/>
        </w:rPr>
      </w:pPr>
    </w:p>
    <w:p w:rsidR="001F7C1E" w:rsidRDefault="001F7C1E" w:rsidP="00C14EEF">
      <w:pPr>
        <w:pStyle w:val="HydrophilStandardFett"/>
        <w:spacing w:before="0" w:after="0"/>
        <w:contextualSpacing w:val="0"/>
        <w:rPr>
          <w:noProof w:val="0"/>
        </w:rPr>
      </w:pPr>
      <w:r>
        <w:t xml:space="preserve">СПИСОК АБРЕВІАЦІЙ </w:t>
      </w:r>
    </w:p>
    <w:p w:rsidR="001F7C1E" w:rsidRPr="001F7C1E" w:rsidRDefault="001F7C1E" w:rsidP="00C14EEF">
      <w:pPr>
        <w:pStyle w:val="HydrophilStandardFett"/>
        <w:spacing w:before="0" w:after="0"/>
        <w:contextualSpacing w:val="0"/>
        <w:rPr>
          <w:noProof w:val="0"/>
          <w:lang w:val="en-GB"/>
        </w:rPr>
      </w:pPr>
    </w:p>
    <w:tbl>
      <w:tblPr>
        <w:tblW w:w="0" w:type="auto"/>
        <w:tblLayout w:type="fixed"/>
        <w:tblLook w:val="04A0" w:firstRow="1" w:lastRow="0" w:firstColumn="1" w:lastColumn="0" w:noHBand="0" w:noVBand="1"/>
      </w:tblPr>
      <w:tblGrid>
        <w:gridCol w:w="1951"/>
        <w:gridCol w:w="6833"/>
      </w:tblGrid>
      <w:tr w:rsidR="009C6272" w:rsidRPr="00D31578" w:rsidTr="0062536F">
        <w:tc>
          <w:tcPr>
            <w:tcW w:w="1951" w:type="dxa"/>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НКС</w:t>
            </w:r>
          </w:p>
        </w:tc>
        <w:tc>
          <w:tcPr>
            <w:tcW w:w="6833" w:type="dxa"/>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Насосно-компресорна станція</w:t>
            </w:r>
          </w:p>
        </w:tc>
      </w:tr>
      <w:tr w:rsidR="009C6272" w:rsidRPr="00D31578" w:rsidTr="0062536F">
        <w:tc>
          <w:tcPr>
            <w:tcW w:w="1951" w:type="dxa"/>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БК</w:t>
            </w:r>
          </w:p>
        </w:tc>
        <w:tc>
          <w:tcPr>
            <w:tcW w:w="6833" w:type="dxa"/>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Буровий колодязь</w:t>
            </w:r>
          </w:p>
        </w:tc>
      </w:tr>
      <w:tr w:rsidR="009C6272" w:rsidRPr="00D31578" w:rsidTr="0062536F">
        <w:tc>
          <w:tcPr>
            <w:tcW w:w="1951" w:type="dxa"/>
            <w:hideMark/>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CA</w:t>
            </w:r>
          </w:p>
        </w:tc>
        <w:tc>
          <w:tcPr>
            <w:tcW w:w="6833" w:type="dxa"/>
            <w:hideMark/>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Організатор</w:t>
            </w:r>
          </w:p>
        </w:tc>
      </w:tr>
      <w:tr w:rsidR="009C6272" w:rsidRPr="00D31578" w:rsidTr="0062536F">
        <w:tc>
          <w:tcPr>
            <w:tcW w:w="1951" w:type="dxa"/>
          </w:tcPr>
          <w:p w:rsidR="009C6272" w:rsidRPr="00497A25" w:rsidRDefault="009C6272" w:rsidP="00497A25">
            <w:pPr>
              <w:rPr>
                <w:rFonts w:asciiTheme="minorHAnsi" w:hAnsiTheme="minorHAnsi" w:cstheme="minorHAnsi"/>
                <w:szCs w:val="22"/>
              </w:rPr>
            </w:pPr>
            <w:r w:rsidRPr="00497A25">
              <w:rPr>
                <w:rStyle w:val="210pt"/>
                <w:rFonts w:asciiTheme="minorHAnsi" w:hAnsiTheme="minorHAnsi"/>
                <w:b w:val="0"/>
                <w:szCs w:val="22"/>
              </w:rPr>
              <w:t>А</w:t>
            </w:r>
            <w:r w:rsidR="00497A25">
              <w:rPr>
                <w:rStyle w:val="210pt"/>
                <w:rFonts w:asciiTheme="minorHAnsi" w:hAnsiTheme="minorHAnsi"/>
                <w:b w:val="0"/>
                <w:szCs w:val="22"/>
              </w:rPr>
              <w:t>В</w:t>
            </w:r>
            <w:r w:rsidRPr="00497A25">
              <w:rPr>
                <w:rStyle w:val="210pt"/>
                <w:rFonts w:asciiTheme="minorHAnsi" w:hAnsiTheme="minorHAnsi"/>
                <w:b w:val="0"/>
                <w:szCs w:val="22"/>
              </w:rPr>
              <w:t>В</w:t>
            </w:r>
          </w:p>
        </w:tc>
        <w:tc>
          <w:tcPr>
            <w:tcW w:w="6833" w:type="dxa"/>
          </w:tcPr>
          <w:p w:rsidR="009C6272" w:rsidRPr="00497A25" w:rsidRDefault="009C6272" w:rsidP="00C14EEF">
            <w:pPr>
              <w:pStyle w:val="27"/>
              <w:shd w:val="clear" w:color="auto" w:fill="auto"/>
              <w:spacing w:before="0" w:after="0" w:line="240" w:lineRule="auto"/>
              <w:ind w:firstLine="0"/>
              <w:jc w:val="both"/>
              <w:rPr>
                <w:rFonts w:asciiTheme="minorHAnsi" w:hAnsiTheme="minorHAnsi" w:cstheme="minorHAnsi"/>
                <w:sz w:val="22"/>
                <w:szCs w:val="22"/>
              </w:rPr>
            </w:pPr>
            <w:r w:rsidRPr="00497A25">
              <w:rPr>
                <w:rFonts w:asciiTheme="minorHAnsi" w:hAnsiTheme="minorHAnsi"/>
                <w:sz w:val="22"/>
                <w:szCs w:val="22"/>
              </w:rPr>
              <w:t xml:space="preserve">Аналіз </w:t>
            </w:r>
            <w:r w:rsidR="00CB1B48" w:rsidRPr="00497A25">
              <w:rPr>
                <w:rFonts w:asciiTheme="minorHAnsi" w:hAnsiTheme="minorHAnsi"/>
                <w:sz w:val="22"/>
                <w:szCs w:val="22"/>
              </w:rPr>
              <w:t xml:space="preserve">вигід </w:t>
            </w:r>
            <w:r w:rsidRPr="00497A25">
              <w:rPr>
                <w:rFonts w:asciiTheme="minorHAnsi" w:hAnsiTheme="minorHAnsi"/>
                <w:sz w:val="22"/>
                <w:szCs w:val="22"/>
              </w:rPr>
              <w:t>та витрат</w:t>
            </w:r>
          </w:p>
        </w:tc>
      </w:tr>
      <w:tr w:rsidR="009C6272" w:rsidRPr="00D31578" w:rsidTr="0062536F">
        <w:tc>
          <w:tcPr>
            <w:tcW w:w="1951" w:type="dxa"/>
          </w:tcPr>
          <w:p w:rsidR="009C6272" w:rsidRPr="00497A25" w:rsidRDefault="009C6272" w:rsidP="00C14EEF">
            <w:pPr>
              <w:rPr>
                <w:rFonts w:asciiTheme="minorHAnsi" w:hAnsiTheme="minorHAnsi" w:cstheme="minorHAnsi"/>
                <w:szCs w:val="22"/>
              </w:rPr>
            </w:pPr>
            <w:r w:rsidRPr="00497A25">
              <w:rPr>
                <w:rStyle w:val="210pt"/>
                <w:rFonts w:asciiTheme="minorHAnsi" w:hAnsiTheme="minorHAnsi"/>
                <w:b w:val="0"/>
                <w:szCs w:val="22"/>
              </w:rPr>
              <w:t>КП</w:t>
            </w:r>
          </w:p>
        </w:tc>
        <w:tc>
          <w:tcPr>
            <w:tcW w:w="6833" w:type="dxa"/>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Коефіцієнт перерахунку</w:t>
            </w:r>
          </w:p>
        </w:tc>
      </w:tr>
      <w:tr w:rsidR="009C6272" w:rsidRPr="00D31578" w:rsidTr="0062536F">
        <w:tc>
          <w:tcPr>
            <w:tcW w:w="1951" w:type="dxa"/>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СВПТ</w:t>
            </w:r>
          </w:p>
        </w:tc>
        <w:tc>
          <w:tcPr>
            <w:tcW w:w="6833" w:type="dxa"/>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Собівартість проданих товарів</w:t>
            </w:r>
          </w:p>
        </w:tc>
      </w:tr>
      <w:tr w:rsidR="009C6272" w:rsidRPr="00D31578" w:rsidTr="0062536F">
        <w:tc>
          <w:tcPr>
            <w:tcW w:w="1951" w:type="dxa"/>
            <w:hideMark/>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CPCM</w:t>
            </w:r>
          </w:p>
        </w:tc>
        <w:tc>
          <w:tcPr>
            <w:tcW w:w="6833" w:type="dxa"/>
            <w:hideMark/>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Контроль виконання контракту та закупівель консультантом</w:t>
            </w:r>
          </w:p>
        </w:tc>
      </w:tr>
      <w:tr w:rsidR="009C6272" w:rsidRPr="00D31578" w:rsidTr="0062536F">
        <w:tc>
          <w:tcPr>
            <w:tcW w:w="1951" w:type="dxa"/>
            <w:hideMark/>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CRVA</w:t>
            </w:r>
          </w:p>
        </w:tc>
        <w:tc>
          <w:tcPr>
            <w:tcW w:w="6833" w:type="dxa"/>
            <w:hideMark/>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Оцінювання ризиків та уразливості клімату</w:t>
            </w:r>
          </w:p>
        </w:tc>
      </w:tr>
      <w:tr w:rsidR="009C6272" w:rsidRPr="00D31578" w:rsidTr="0062536F">
        <w:tc>
          <w:tcPr>
            <w:tcW w:w="1951" w:type="dxa"/>
            <w:hideMark/>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DA</w:t>
            </w:r>
          </w:p>
        </w:tc>
        <w:tc>
          <w:tcPr>
            <w:tcW w:w="6833" w:type="dxa"/>
            <w:hideMark/>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Договір про передачу</w:t>
            </w:r>
          </w:p>
        </w:tc>
      </w:tr>
      <w:tr w:rsidR="009C6272" w:rsidRPr="00D31578" w:rsidTr="0062536F">
        <w:tc>
          <w:tcPr>
            <w:tcW w:w="1951" w:type="dxa"/>
          </w:tcPr>
          <w:p w:rsidR="009C6272" w:rsidRPr="00497A25" w:rsidRDefault="009C6272" w:rsidP="00C14EEF">
            <w:pPr>
              <w:rPr>
                <w:rFonts w:asciiTheme="minorHAnsi" w:hAnsiTheme="minorHAnsi" w:cstheme="minorHAnsi"/>
                <w:szCs w:val="22"/>
              </w:rPr>
            </w:pPr>
            <w:r w:rsidRPr="00497A25">
              <w:rPr>
                <w:rStyle w:val="210pt"/>
                <w:rFonts w:asciiTheme="minorHAnsi" w:hAnsiTheme="minorHAnsi"/>
                <w:b w:val="0"/>
                <w:szCs w:val="22"/>
              </w:rPr>
              <w:t>ДПГК</w:t>
            </w:r>
          </w:p>
        </w:tc>
        <w:tc>
          <w:tcPr>
            <w:tcW w:w="6833" w:type="dxa"/>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Дисконтований потік грошових коштів</w:t>
            </w:r>
          </w:p>
        </w:tc>
      </w:tr>
      <w:tr w:rsidR="009C6272" w:rsidRPr="00D31578" w:rsidTr="0062536F">
        <w:tc>
          <w:tcPr>
            <w:tcW w:w="1951" w:type="dxa"/>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ЕК</w:t>
            </w:r>
          </w:p>
        </w:tc>
        <w:tc>
          <w:tcPr>
            <w:tcW w:w="6833" w:type="dxa"/>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Європейська комісія</w:t>
            </w:r>
          </w:p>
        </w:tc>
      </w:tr>
      <w:tr w:rsidR="009C6272" w:rsidRPr="00D31578" w:rsidTr="0062536F">
        <w:tc>
          <w:tcPr>
            <w:tcW w:w="1951" w:type="dxa"/>
            <w:hideMark/>
          </w:tcPr>
          <w:p w:rsidR="009C6272" w:rsidRPr="00497A25" w:rsidRDefault="009C6272" w:rsidP="00C14EEF">
            <w:pPr>
              <w:rPr>
                <w:rFonts w:asciiTheme="minorHAnsi" w:hAnsiTheme="minorHAnsi" w:cstheme="minorHAnsi"/>
                <w:color w:val="000000"/>
                <w:szCs w:val="22"/>
              </w:rPr>
            </w:pPr>
            <w:r w:rsidRPr="00497A25">
              <w:rPr>
                <w:rFonts w:asciiTheme="minorHAnsi" w:hAnsiTheme="minorHAnsi"/>
                <w:szCs w:val="22"/>
              </w:rPr>
              <w:t>ЄІБ або Банк</w:t>
            </w:r>
          </w:p>
        </w:tc>
        <w:tc>
          <w:tcPr>
            <w:tcW w:w="6833" w:type="dxa"/>
            <w:hideMark/>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Європейський Інвестиційний Банк</w:t>
            </w:r>
          </w:p>
        </w:tc>
      </w:tr>
      <w:tr w:rsidR="009C6272" w:rsidRPr="00D31578" w:rsidTr="0062536F">
        <w:tc>
          <w:tcPr>
            <w:tcW w:w="1951" w:type="dxa"/>
            <w:hideMark/>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EPTATF</w:t>
            </w:r>
          </w:p>
        </w:tc>
        <w:tc>
          <w:tcPr>
            <w:tcW w:w="6833" w:type="dxa"/>
            <w:hideMark/>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Цільовий фонд технічної співпраці Східного Партнерства</w:t>
            </w:r>
          </w:p>
        </w:tc>
      </w:tr>
      <w:tr w:rsidR="009C6272" w:rsidRPr="00D31578" w:rsidTr="0062536F">
        <w:tc>
          <w:tcPr>
            <w:tcW w:w="1951" w:type="dxa"/>
            <w:hideMark/>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ОВНС</w:t>
            </w:r>
          </w:p>
        </w:tc>
        <w:tc>
          <w:tcPr>
            <w:tcW w:w="6833" w:type="dxa"/>
            <w:hideMark/>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 xml:space="preserve">Оцінювання впливу на </w:t>
            </w:r>
            <w:r w:rsidR="00CB1B48" w:rsidRPr="00497A25">
              <w:rPr>
                <w:rFonts w:asciiTheme="minorHAnsi" w:hAnsiTheme="minorHAnsi"/>
                <w:szCs w:val="22"/>
              </w:rPr>
              <w:t>довкілля</w:t>
            </w:r>
          </w:p>
        </w:tc>
      </w:tr>
      <w:tr w:rsidR="009C6272" w:rsidRPr="00D31578" w:rsidTr="0062536F">
        <w:tc>
          <w:tcPr>
            <w:tcW w:w="1951" w:type="dxa"/>
          </w:tcPr>
          <w:p w:rsidR="009C6272" w:rsidRPr="00497A25" w:rsidRDefault="009C6272" w:rsidP="00C14EEF">
            <w:pPr>
              <w:rPr>
                <w:rFonts w:asciiTheme="minorHAnsi" w:hAnsiTheme="minorHAnsi" w:cstheme="minorHAnsi"/>
                <w:szCs w:val="22"/>
              </w:rPr>
            </w:pPr>
            <w:r w:rsidRPr="00497A25">
              <w:rPr>
                <w:rStyle w:val="210pt"/>
                <w:rFonts w:asciiTheme="minorHAnsi" w:hAnsiTheme="minorHAnsi"/>
                <w:b w:val="0"/>
                <w:szCs w:val="22"/>
              </w:rPr>
              <w:t>ERR</w:t>
            </w:r>
          </w:p>
        </w:tc>
        <w:tc>
          <w:tcPr>
            <w:tcW w:w="6833" w:type="dxa"/>
          </w:tcPr>
          <w:p w:rsidR="009C6272" w:rsidRPr="00497A25" w:rsidRDefault="009C6272" w:rsidP="00C14EEF">
            <w:pPr>
              <w:pStyle w:val="27"/>
              <w:shd w:val="clear" w:color="auto" w:fill="auto"/>
              <w:tabs>
                <w:tab w:val="left" w:pos="686"/>
                <w:tab w:val="left" w:pos="1630"/>
              </w:tabs>
              <w:spacing w:before="0" w:after="0" w:line="240" w:lineRule="auto"/>
              <w:ind w:firstLine="0"/>
              <w:jc w:val="both"/>
              <w:rPr>
                <w:rFonts w:asciiTheme="minorHAnsi" w:hAnsiTheme="minorHAnsi" w:cstheme="minorHAnsi"/>
                <w:sz w:val="22"/>
                <w:szCs w:val="22"/>
              </w:rPr>
            </w:pPr>
            <w:r w:rsidRPr="00497A25">
              <w:rPr>
                <w:rFonts w:asciiTheme="minorHAnsi" w:hAnsiTheme="minorHAnsi"/>
                <w:sz w:val="22"/>
                <w:szCs w:val="22"/>
              </w:rPr>
              <w:t>Економічна ставка доходу</w:t>
            </w:r>
          </w:p>
        </w:tc>
      </w:tr>
      <w:tr w:rsidR="009C6272" w:rsidRPr="00D31578" w:rsidTr="0062536F">
        <w:tc>
          <w:tcPr>
            <w:tcW w:w="1951" w:type="dxa"/>
            <w:hideMark/>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ОВНС</w:t>
            </w:r>
          </w:p>
        </w:tc>
        <w:tc>
          <w:tcPr>
            <w:tcW w:w="6833" w:type="dxa"/>
            <w:hideMark/>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 xml:space="preserve">Оцінка впливу на </w:t>
            </w:r>
            <w:r w:rsidR="00CB1B48" w:rsidRPr="00497A25">
              <w:rPr>
                <w:rFonts w:asciiTheme="minorHAnsi" w:hAnsiTheme="minorHAnsi"/>
                <w:szCs w:val="22"/>
              </w:rPr>
              <w:t>довкілля</w:t>
            </w:r>
            <w:r w:rsidRPr="00497A25">
              <w:rPr>
                <w:rFonts w:asciiTheme="minorHAnsi" w:hAnsiTheme="minorHAnsi"/>
                <w:szCs w:val="22"/>
              </w:rPr>
              <w:t xml:space="preserve"> та населення</w:t>
            </w:r>
          </w:p>
        </w:tc>
      </w:tr>
      <w:tr w:rsidR="009C6272" w:rsidRPr="00D31578" w:rsidTr="0062536F">
        <w:tc>
          <w:tcPr>
            <w:tcW w:w="1951" w:type="dxa"/>
            <w:hideMark/>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ПСЕУМ</w:t>
            </w:r>
          </w:p>
        </w:tc>
        <w:tc>
          <w:tcPr>
            <w:tcW w:w="6833" w:type="dxa"/>
            <w:hideMark/>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План соціально-екологічного управління та моніторингу</w:t>
            </w:r>
          </w:p>
        </w:tc>
      </w:tr>
      <w:tr w:rsidR="009C6272" w:rsidRPr="00D31578" w:rsidTr="0062536F">
        <w:tc>
          <w:tcPr>
            <w:tcW w:w="1951" w:type="dxa"/>
            <w:hideMark/>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ЄС</w:t>
            </w:r>
          </w:p>
        </w:tc>
        <w:tc>
          <w:tcPr>
            <w:tcW w:w="6833" w:type="dxa"/>
            <w:hideMark/>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Європейський союз</w:t>
            </w:r>
          </w:p>
        </w:tc>
      </w:tr>
      <w:tr w:rsidR="009C6272" w:rsidRPr="00D31578" w:rsidTr="0062536F">
        <w:tc>
          <w:tcPr>
            <w:tcW w:w="1951" w:type="dxa"/>
            <w:hideMark/>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EUCOMM</w:t>
            </w:r>
          </w:p>
        </w:tc>
        <w:tc>
          <w:tcPr>
            <w:tcW w:w="6833" w:type="dxa"/>
            <w:hideMark/>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Європейська комісія</w:t>
            </w:r>
          </w:p>
        </w:tc>
      </w:tr>
      <w:tr w:rsidR="009C6272" w:rsidRPr="00D31578" w:rsidTr="0062536F">
        <w:tc>
          <w:tcPr>
            <w:tcW w:w="1951" w:type="dxa"/>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ПЧ</w:t>
            </w:r>
          </w:p>
        </w:tc>
        <w:tc>
          <w:tcPr>
            <w:tcW w:w="6833" w:type="dxa"/>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Перетворювач частоти</w:t>
            </w:r>
          </w:p>
        </w:tc>
      </w:tr>
      <w:tr w:rsidR="009C6272" w:rsidRPr="00D31578" w:rsidTr="0062536F">
        <w:tc>
          <w:tcPr>
            <w:tcW w:w="1951" w:type="dxa"/>
          </w:tcPr>
          <w:p w:rsidR="009C6272" w:rsidRPr="00497A25" w:rsidRDefault="009C6272" w:rsidP="00C14EEF">
            <w:pPr>
              <w:rPr>
                <w:rFonts w:asciiTheme="minorHAnsi" w:hAnsiTheme="minorHAnsi" w:cstheme="minorHAnsi"/>
                <w:szCs w:val="22"/>
              </w:rPr>
            </w:pPr>
            <w:r w:rsidRPr="00497A25">
              <w:rPr>
                <w:rStyle w:val="210pt"/>
                <w:rFonts w:asciiTheme="minorHAnsi" w:hAnsiTheme="minorHAnsi"/>
                <w:b w:val="0"/>
                <w:szCs w:val="22"/>
              </w:rPr>
              <w:t>FDR</w:t>
            </w:r>
          </w:p>
        </w:tc>
        <w:tc>
          <w:tcPr>
            <w:tcW w:w="6833" w:type="dxa"/>
          </w:tcPr>
          <w:p w:rsidR="009C6272" w:rsidRPr="00497A25" w:rsidRDefault="009C6272" w:rsidP="00C14EEF">
            <w:pPr>
              <w:pStyle w:val="27"/>
              <w:shd w:val="clear" w:color="auto" w:fill="auto"/>
              <w:spacing w:before="0" w:after="0" w:line="240" w:lineRule="auto"/>
              <w:ind w:firstLine="0"/>
              <w:jc w:val="both"/>
              <w:rPr>
                <w:rFonts w:asciiTheme="minorHAnsi" w:hAnsiTheme="minorHAnsi" w:cstheme="minorHAnsi"/>
                <w:sz w:val="22"/>
                <w:szCs w:val="22"/>
              </w:rPr>
            </w:pPr>
            <w:r w:rsidRPr="00497A25">
              <w:rPr>
                <w:rFonts w:asciiTheme="minorHAnsi" w:hAnsiTheme="minorHAnsi"/>
                <w:sz w:val="22"/>
                <w:szCs w:val="22"/>
              </w:rPr>
              <w:t>Фінансова ставка дисконтування</w:t>
            </w:r>
          </w:p>
        </w:tc>
      </w:tr>
      <w:tr w:rsidR="009C6272" w:rsidRPr="00D31578" w:rsidTr="0062536F">
        <w:tc>
          <w:tcPr>
            <w:tcW w:w="1951" w:type="dxa"/>
            <w:hideMark/>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FIDIC</w:t>
            </w:r>
          </w:p>
        </w:tc>
        <w:tc>
          <w:tcPr>
            <w:tcW w:w="6833" w:type="dxa"/>
            <w:hideMark/>
          </w:tcPr>
          <w:p w:rsidR="009C6272" w:rsidRPr="00497A25" w:rsidRDefault="009C6272" w:rsidP="00C14EEF">
            <w:pPr>
              <w:rPr>
                <w:rFonts w:asciiTheme="minorHAnsi" w:hAnsiTheme="minorHAnsi" w:cstheme="minorHAnsi"/>
                <w:szCs w:val="22"/>
              </w:rPr>
            </w:pPr>
            <w:proofErr w:type="spellStart"/>
            <w:r w:rsidRPr="00497A25">
              <w:rPr>
                <w:rFonts w:asciiTheme="minorHAnsi" w:hAnsiTheme="minorHAnsi"/>
                <w:szCs w:val="22"/>
              </w:rPr>
              <w:t>Fédération</w:t>
            </w:r>
            <w:proofErr w:type="spellEnd"/>
            <w:r w:rsidRPr="00497A25">
              <w:rPr>
                <w:rFonts w:asciiTheme="minorHAnsi" w:hAnsiTheme="minorHAnsi"/>
                <w:szCs w:val="22"/>
              </w:rPr>
              <w:t xml:space="preserve"> </w:t>
            </w:r>
            <w:proofErr w:type="spellStart"/>
            <w:r w:rsidRPr="00497A25">
              <w:rPr>
                <w:rFonts w:asciiTheme="minorHAnsi" w:hAnsiTheme="minorHAnsi"/>
                <w:szCs w:val="22"/>
              </w:rPr>
              <w:t>Internationale</w:t>
            </w:r>
            <w:proofErr w:type="spellEnd"/>
            <w:r w:rsidRPr="00497A25">
              <w:rPr>
                <w:rFonts w:asciiTheme="minorHAnsi" w:hAnsiTheme="minorHAnsi"/>
                <w:szCs w:val="22"/>
              </w:rPr>
              <w:t xml:space="preserve"> </w:t>
            </w:r>
            <w:proofErr w:type="spellStart"/>
            <w:r w:rsidRPr="00497A25">
              <w:rPr>
                <w:rFonts w:asciiTheme="minorHAnsi" w:hAnsiTheme="minorHAnsi"/>
                <w:szCs w:val="22"/>
              </w:rPr>
              <w:t>Des</w:t>
            </w:r>
            <w:proofErr w:type="spellEnd"/>
            <w:r w:rsidRPr="00497A25">
              <w:rPr>
                <w:rFonts w:asciiTheme="minorHAnsi" w:hAnsiTheme="minorHAnsi"/>
                <w:szCs w:val="22"/>
              </w:rPr>
              <w:t xml:space="preserve"> </w:t>
            </w:r>
            <w:proofErr w:type="spellStart"/>
            <w:r w:rsidRPr="00497A25">
              <w:rPr>
                <w:rFonts w:asciiTheme="minorHAnsi" w:hAnsiTheme="minorHAnsi"/>
                <w:szCs w:val="22"/>
              </w:rPr>
              <w:t>Ingénieurs</w:t>
            </w:r>
            <w:proofErr w:type="spellEnd"/>
            <w:r w:rsidRPr="00497A25">
              <w:rPr>
                <w:rFonts w:asciiTheme="minorHAnsi" w:hAnsiTheme="minorHAnsi"/>
                <w:szCs w:val="22"/>
              </w:rPr>
              <w:t xml:space="preserve"> – </w:t>
            </w:r>
            <w:proofErr w:type="spellStart"/>
            <w:r w:rsidRPr="00497A25">
              <w:rPr>
                <w:rFonts w:asciiTheme="minorHAnsi" w:hAnsiTheme="minorHAnsi"/>
                <w:szCs w:val="22"/>
              </w:rPr>
              <w:t>Conseils</w:t>
            </w:r>
            <w:proofErr w:type="spellEnd"/>
            <w:r w:rsidRPr="00497A25">
              <w:rPr>
                <w:rFonts w:asciiTheme="minorHAnsi" w:hAnsiTheme="minorHAnsi"/>
                <w:szCs w:val="22"/>
              </w:rPr>
              <w:t xml:space="preserve"> (з французької, Міжнародна федерація інженерів-консультантів)</w:t>
            </w:r>
          </w:p>
        </w:tc>
      </w:tr>
      <w:tr w:rsidR="009C6272" w:rsidRPr="00D31578" w:rsidTr="0062536F">
        <w:tc>
          <w:tcPr>
            <w:tcW w:w="1951" w:type="dxa"/>
          </w:tcPr>
          <w:p w:rsidR="009C6272" w:rsidRPr="00497A25" w:rsidRDefault="009C6272" w:rsidP="00C14EEF">
            <w:pPr>
              <w:rPr>
                <w:rFonts w:asciiTheme="minorHAnsi" w:hAnsiTheme="minorHAnsi" w:cstheme="minorHAnsi"/>
                <w:szCs w:val="22"/>
              </w:rPr>
            </w:pPr>
            <w:r w:rsidRPr="00497A25">
              <w:rPr>
                <w:rStyle w:val="210pt"/>
                <w:rFonts w:asciiTheme="minorHAnsi" w:hAnsiTheme="minorHAnsi"/>
                <w:b w:val="0"/>
                <w:szCs w:val="22"/>
              </w:rPr>
              <w:t>FNPV</w:t>
            </w:r>
          </w:p>
        </w:tc>
        <w:tc>
          <w:tcPr>
            <w:tcW w:w="6833" w:type="dxa"/>
          </w:tcPr>
          <w:p w:rsidR="009C6272" w:rsidRPr="00497A25" w:rsidRDefault="009C6272" w:rsidP="00C14EEF">
            <w:pPr>
              <w:pStyle w:val="27"/>
              <w:shd w:val="clear" w:color="auto" w:fill="auto"/>
              <w:spacing w:before="0" w:after="0" w:line="240" w:lineRule="auto"/>
              <w:ind w:firstLine="0"/>
              <w:jc w:val="both"/>
              <w:rPr>
                <w:rFonts w:asciiTheme="minorHAnsi" w:hAnsiTheme="minorHAnsi" w:cstheme="minorHAnsi"/>
                <w:sz w:val="22"/>
                <w:szCs w:val="22"/>
              </w:rPr>
            </w:pPr>
            <w:r w:rsidRPr="00497A25">
              <w:rPr>
                <w:rFonts w:asciiTheme="minorHAnsi" w:hAnsiTheme="minorHAnsi"/>
                <w:sz w:val="22"/>
                <w:szCs w:val="22"/>
              </w:rPr>
              <w:t>Фінансова чиста поточна вартість</w:t>
            </w:r>
          </w:p>
        </w:tc>
      </w:tr>
      <w:tr w:rsidR="009C6272" w:rsidRPr="00D31578" w:rsidTr="0062536F">
        <w:tc>
          <w:tcPr>
            <w:tcW w:w="1951" w:type="dxa"/>
          </w:tcPr>
          <w:p w:rsidR="009C6272" w:rsidRPr="00497A25" w:rsidRDefault="009C6272" w:rsidP="00C14EEF">
            <w:pPr>
              <w:rPr>
                <w:rFonts w:asciiTheme="minorHAnsi" w:hAnsiTheme="minorHAnsi" w:cstheme="minorHAnsi"/>
                <w:szCs w:val="22"/>
              </w:rPr>
            </w:pPr>
            <w:r w:rsidRPr="00497A25">
              <w:rPr>
                <w:rStyle w:val="210pt"/>
                <w:rFonts w:asciiTheme="minorHAnsi" w:hAnsiTheme="minorHAnsi"/>
                <w:b w:val="0"/>
                <w:szCs w:val="22"/>
              </w:rPr>
              <w:t>FRR(C)</w:t>
            </w:r>
          </w:p>
        </w:tc>
        <w:tc>
          <w:tcPr>
            <w:tcW w:w="6833" w:type="dxa"/>
          </w:tcPr>
          <w:p w:rsidR="009C6272" w:rsidRPr="00497A25" w:rsidRDefault="009C6272" w:rsidP="00C14EEF">
            <w:pPr>
              <w:pStyle w:val="27"/>
              <w:shd w:val="clear" w:color="auto" w:fill="auto"/>
              <w:spacing w:before="0" w:after="0" w:line="240" w:lineRule="auto"/>
              <w:ind w:firstLine="0"/>
              <w:jc w:val="both"/>
              <w:rPr>
                <w:rFonts w:asciiTheme="minorHAnsi" w:hAnsiTheme="minorHAnsi" w:cstheme="minorHAnsi"/>
                <w:sz w:val="22"/>
                <w:szCs w:val="22"/>
              </w:rPr>
            </w:pPr>
            <w:r w:rsidRPr="00497A25">
              <w:rPr>
                <w:rFonts w:asciiTheme="minorHAnsi" w:hAnsiTheme="minorHAnsi"/>
                <w:sz w:val="22"/>
                <w:szCs w:val="22"/>
              </w:rPr>
              <w:t>Фінансова Рентабельність інвестицій</w:t>
            </w:r>
          </w:p>
        </w:tc>
      </w:tr>
      <w:tr w:rsidR="009C6272" w:rsidRPr="00D31578" w:rsidTr="0062536F">
        <w:tc>
          <w:tcPr>
            <w:tcW w:w="1951" w:type="dxa"/>
          </w:tcPr>
          <w:p w:rsidR="009C6272" w:rsidRPr="00497A25" w:rsidRDefault="009C6272" w:rsidP="00C14EEF">
            <w:pPr>
              <w:rPr>
                <w:rFonts w:asciiTheme="minorHAnsi" w:hAnsiTheme="minorHAnsi" w:cstheme="minorHAnsi"/>
                <w:szCs w:val="22"/>
              </w:rPr>
            </w:pPr>
            <w:r w:rsidRPr="00497A25">
              <w:rPr>
                <w:rStyle w:val="210pt"/>
                <w:rFonts w:asciiTheme="minorHAnsi" w:hAnsiTheme="minorHAnsi"/>
                <w:b w:val="0"/>
                <w:szCs w:val="22"/>
              </w:rPr>
              <w:t>FRR(K)</w:t>
            </w:r>
          </w:p>
        </w:tc>
        <w:tc>
          <w:tcPr>
            <w:tcW w:w="6833" w:type="dxa"/>
          </w:tcPr>
          <w:p w:rsidR="009C6272" w:rsidRPr="00497A25" w:rsidRDefault="009C6272" w:rsidP="00C14EEF">
            <w:pPr>
              <w:pStyle w:val="27"/>
              <w:shd w:val="clear" w:color="auto" w:fill="auto"/>
              <w:spacing w:before="0" w:after="0" w:line="240" w:lineRule="auto"/>
              <w:ind w:firstLine="0"/>
              <w:jc w:val="both"/>
              <w:rPr>
                <w:rFonts w:asciiTheme="minorHAnsi" w:hAnsiTheme="minorHAnsi" w:cstheme="minorHAnsi"/>
                <w:sz w:val="22"/>
                <w:szCs w:val="22"/>
              </w:rPr>
            </w:pPr>
            <w:r w:rsidRPr="00497A25">
              <w:rPr>
                <w:rFonts w:asciiTheme="minorHAnsi" w:hAnsiTheme="minorHAnsi"/>
                <w:sz w:val="22"/>
                <w:szCs w:val="22"/>
              </w:rPr>
              <w:t>Фінансова рентабельність національного капіталу</w:t>
            </w:r>
          </w:p>
        </w:tc>
      </w:tr>
      <w:tr w:rsidR="009C6272" w:rsidRPr="00D31578" w:rsidTr="0062536F">
        <w:tc>
          <w:tcPr>
            <w:tcW w:w="1951" w:type="dxa"/>
          </w:tcPr>
          <w:p w:rsidR="009C6272" w:rsidRPr="00497A25" w:rsidRDefault="009C6272" w:rsidP="00C14EEF">
            <w:pPr>
              <w:rPr>
                <w:rFonts w:asciiTheme="minorHAnsi" w:hAnsiTheme="minorHAnsi" w:cstheme="minorHAnsi"/>
                <w:szCs w:val="22"/>
              </w:rPr>
            </w:pPr>
            <w:r w:rsidRPr="00497A25">
              <w:rPr>
                <w:rStyle w:val="210pt"/>
                <w:rFonts w:asciiTheme="minorHAnsi" w:hAnsiTheme="minorHAnsi"/>
                <w:b w:val="0"/>
                <w:szCs w:val="22"/>
              </w:rPr>
              <w:t>ПГ</w:t>
            </w:r>
          </w:p>
        </w:tc>
        <w:tc>
          <w:tcPr>
            <w:tcW w:w="6833" w:type="dxa"/>
          </w:tcPr>
          <w:p w:rsidR="009C6272" w:rsidRPr="00497A25" w:rsidRDefault="009C6272" w:rsidP="00C14EEF">
            <w:pPr>
              <w:pStyle w:val="27"/>
              <w:shd w:val="clear" w:color="auto" w:fill="auto"/>
              <w:spacing w:before="0" w:after="0" w:line="240" w:lineRule="auto"/>
              <w:ind w:firstLine="0"/>
              <w:jc w:val="both"/>
              <w:rPr>
                <w:rFonts w:asciiTheme="minorHAnsi" w:hAnsiTheme="minorHAnsi" w:cstheme="minorHAnsi"/>
                <w:sz w:val="22"/>
                <w:szCs w:val="22"/>
              </w:rPr>
            </w:pPr>
            <w:r w:rsidRPr="00497A25">
              <w:rPr>
                <w:rFonts w:asciiTheme="minorHAnsi" w:hAnsiTheme="minorHAnsi"/>
                <w:sz w:val="22"/>
                <w:szCs w:val="22"/>
              </w:rPr>
              <w:t>Парниковий газ</w:t>
            </w:r>
          </w:p>
        </w:tc>
      </w:tr>
      <w:tr w:rsidR="009C6272" w:rsidRPr="00D31578" w:rsidTr="0062536F">
        <w:tc>
          <w:tcPr>
            <w:tcW w:w="1951" w:type="dxa"/>
            <w:hideMark/>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ВВП</w:t>
            </w:r>
          </w:p>
        </w:tc>
        <w:tc>
          <w:tcPr>
            <w:tcW w:w="6833" w:type="dxa"/>
            <w:hideMark/>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Внутрішній валовий продукт</w:t>
            </w:r>
          </w:p>
        </w:tc>
      </w:tr>
      <w:tr w:rsidR="009C6272" w:rsidRPr="00D31578" w:rsidTr="0062536F">
        <w:tc>
          <w:tcPr>
            <w:tcW w:w="1951" w:type="dxa"/>
            <w:hideMark/>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ОВКП</w:t>
            </w:r>
          </w:p>
        </w:tc>
        <w:tc>
          <w:tcPr>
            <w:tcW w:w="6833" w:type="dxa"/>
            <w:hideMark/>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Опалення, вентиляція та кондиціювання повітря</w:t>
            </w:r>
          </w:p>
        </w:tc>
      </w:tr>
      <w:tr w:rsidR="009C6272" w:rsidRPr="00D31578" w:rsidTr="0062536F">
        <w:tc>
          <w:tcPr>
            <w:tcW w:w="1951" w:type="dxa"/>
            <w:hideMark/>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МВФ</w:t>
            </w:r>
          </w:p>
        </w:tc>
        <w:tc>
          <w:tcPr>
            <w:tcW w:w="6833" w:type="dxa"/>
            <w:hideMark/>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Міжнародний валютний фонд</w:t>
            </w:r>
          </w:p>
        </w:tc>
      </w:tr>
      <w:tr w:rsidR="009C6272" w:rsidRPr="00D31578" w:rsidTr="0062536F">
        <w:tc>
          <w:tcPr>
            <w:tcW w:w="1951" w:type="dxa"/>
            <w:hideMark/>
          </w:tcPr>
          <w:p w:rsidR="009C6272" w:rsidRPr="00497A25" w:rsidRDefault="009C6272" w:rsidP="00C14EEF">
            <w:pPr>
              <w:rPr>
                <w:rFonts w:asciiTheme="minorHAnsi" w:hAnsiTheme="minorHAnsi" w:cstheme="minorHAnsi"/>
                <w:szCs w:val="22"/>
              </w:rPr>
            </w:pPr>
            <w:proofErr w:type="spellStart"/>
            <w:r w:rsidRPr="00497A25">
              <w:rPr>
                <w:rFonts w:asciiTheme="minorHAnsi" w:hAnsiTheme="minorHAnsi"/>
                <w:szCs w:val="22"/>
              </w:rPr>
              <w:t>KfW</w:t>
            </w:r>
            <w:proofErr w:type="spellEnd"/>
          </w:p>
        </w:tc>
        <w:tc>
          <w:tcPr>
            <w:tcW w:w="6833" w:type="dxa"/>
            <w:hideMark/>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 xml:space="preserve">Банк розвитку </w:t>
            </w:r>
            <w:proofErr w:type="spellStart"/>
            <w:r w:rsidRPr="00497A25">
              <w:rPr>
                <w:rFonts w:asciiTheme="minorHAnsi" w:hAnsiTheme="minorHAnsi"/>
                <w:szCs w:val="22"/>
              </w:rPr>
              <w:t>KfW</w:t>
            </w:r>
            <w:proofErr w:type="spellEnd"/>
          </w:p>
        </w:tc>
      </w:tr>
      <w:tr w:rsidR="009C6272" w:rsidRPr="00D31578" w:rsidTr="0062536F">
        <w:tc>
          <w:tcPr>
            <w:tcW w:w="1951" w:type="dxa"/>
            <w:hideMark/>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МФ</w:t>
            </w:r>
          </w:p>
        </w:tc>
        <w:tc>
          <w:tcPr>
            <w:tcW w:w="6833" w:type="dxa"/>
            <w:hideMark/>
          </w:tcPr>
          <w:p w:rsidR="009C6272" w:rsidRPr="00497A25" w:rsidRDefault="00CB1B48" w:rsidP="00C14EEF">
            <w:pPr>
              <w:rPr>
                <w:rFonts w:asciiTheme="minorHAnsi" w:hAnsiTheme="minorHAnsi" w:cstheme="minorHAnsi"/>
                <w:szCs w:val="22"/>
              </w:rPr>
            </w:pPr>
            <w:r w:rsidRPr="00497A25">
              <w:rPr>
                <w:rFonts w:asciiTheme="minorHAnsi" w:hAnsiTheme="minorHAnsi"/>
                <w:szCs w:val="22"/>
              </w:rPr>
              <w:t>Міністерство</w:t>
            </w:r>
            <w:r w:rsidR="009C6272" w:rsidRPr="00497A25">
              <w:rPr>
                <w:rFonts w:asciiTheme="minorHAnsi" w:hAnsiTheme="minorHAnsi"/>
                <w:szCs w:val="22"/>
              </w:rPr>
              <w:t xml:space="preserve"> Фінансів</w:t>
            </w:r>
          </w:p>
        </w:tc>
      </w:tr>
      <w:tr w:rsidR="009C6272" w:rsidRPr="00D31578" w:rsidTr="0062536F">
        <w:tc>
          <w:tcPr>
            <w:tcW w:w="1951" w:type="dxa"/>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LLI</w:t>
            </w:r>
          </w:p>
        </w:tc>
        <w:tc>
          <w:tcPr>
            <w:tcW w:w="6833" w:type="dxa"/>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Лінійний індекс витоку</w:t>
            </w:r>
          </w:p>
        </w:tc>
      </w:tr>
      <w:tr w:rsidR="009C6272" w:rsidRPr="00D31578" w:rsidTr="0062536F">
        <w:tc>
          <w:tcPr>
            <w:tcW w:w="1951" w:type="dxa"/>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ДСІП</w:t>
            </w:r>
          </w:p>
        </w:tc>
        <w:tc>
          <w:tcPr>
            <w:tcW w:w="6833" w:type="dxa"/>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Довгостроковий інвестиційний план</w:t>
            </w:r>
          </w:p>
        </w:tc>
      </w:tr>
      <w:tr w:rsidR="009C6272" w:rsidRPr="00D31578" w:rsidTr="0062536F">
        <w:tc>
          <w:tcPr>
            <w:tcW w:w="1951" w:type="dxa"/>
            <w:hideMark/>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МРР</w:t>
            </w:r>
          </w:p>
        </w:tc>
        <w:tc>
          <w:tcPr>
            <w:tcW w:w="6833" w:type="dxa"/>
            <w:hideMark/>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Міністерство регіонального розвитку та будівництва України</w:t>
            </w:r>
          </w:p>
        </w:tc>
      </w:tr>
      <w:tr w:rsidR="009C6272" w:rsidRPr="00D31578" w:rsidTr="0062536F">
        <w:tc>
          <w:tcPr>
            <w:tcW w:w="1951" w:type="dxa"/>
            <w:hideMark/>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MPSF</w:t>
            </w:r>
          </w:p>
        </w:tc>
        <w:tc>
          <w:tcPr>
            <w:tcW w:w="6833" w:type="dxa"/>
            <w:hideMark/>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Фонд підтримки муніципальних проектів</w:t>
            </w:r>
          </w:p>
        </w:tc>
      </w:tr>
      <w:tr w:rsidR="009C6272" w:rsidRPr="00D31578" w:rsidTr="0062536F">
        <w:tc>
          <w:tcPr>
            <w:tcW w:w="1951" w:type="dxa"/>
          </w:tcPr>
          <w:p w:rsidR="009C6272" w:rsidRPr="00497A25" w:rsidRDefault="009C6272" w:rsidP="00C14EEF">
            <w:pPr>
              <w:rPr>
                <w:rFonts w:asciiTheme="minorHAnsi" w:hAnsiTheme="minorHAnsi" w:cstheme="minorHAnsi"/>
                <w:szCs w:val="22"/>
              </w:rPr>
            </w:pPr>
            <w:r w:rsidRPr="00497A25">
              <w:rPr>
                <w:rFonts w:asciiTheme="minorHAnsi" w:hAnsiTheme="minorHAnsi"/>
                <w:color w:val="202020"/>
                <w:szCs w:val="22"/>
              </w:rPr>
              <w:t xml:space="preserve">NEFCO </w:t>
            </w:r>
          </w:p>
        </w:tc>
        <w:tc>
          <w:tcPr>
            <w:tcW w:w="6833" w:type="dxa"/>
          </w:tcPr>
          <w:p w:rsidR="009C6272" w:rsidRPr="00497A25" w:rsidRDefault="009C6272" w:rsidP="00C14EEF">
            <w:pPr>
              <w:rPr>
                <w:rFonts w:asciiTheme="minorHAnsi" w:hAnsiTheme="minorHAnsi" w:cstheme="minorHAnsi"/>
                <w:szCs w:val="22"/>
              </w:rPr>
            </w:pPr>
            <w:r w:rsidRPr="00497A25">
              <w:rPr>
                <w:rFonts w:asciiTheme="minorHAnsi" w:hAnsiTheme="minorHAnsi"/>
                <w:color w:val="202020"/>
                <w:szCs w:val="22"/>
              </w:rPr>
              <w:t>Північна екологічна фінансова корпорація</w:t>
            </w:r>
          </w:p>
        </w:tc>
      </w:tr>
      <w:tr w:rsidR="009C6272" w:rsidRPr="00D31578" w:rsidTr="0062536F">
        <w:tc>
          <w:tcPr>
            <w:tcW w:w="1951" w:type="dxa"/>
            <w:hideMark/>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ІФС/ ІПС</w:t>
            </w:r>
          </w:p>
        </w:tc>
        <w:tc>
          <w:tcPr>
            <w:tcW w:w="6833" w:type="dxa"/>
            <w:hideMark/>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Інвестиційний фонд сусідства</w:t>
            </w:r>
            <w:r w:rsidR="00BF4AE7" w:rsidRPr="00497A25">
              <w:rPr>
                <w:rFonts w:asciiTheme="minorHAnsi" w:hAnsiTheme="minorHAnsi"/>
                <w:szCs w:val="22"/>
              </w:rPr>
              <w:t>/</w:t>
            </w:r>
            <w:r w:rsidRPr="00497A25">
              <w:rPr>
                <w:rFonts w:asciiTheme="minorHAnsi" w:hAnsiTheme="minorHAnsi"/>
                <w:szCs w:val="22"/>
              </w:rPr>
              <w:t>Інвестиційна платформа сусідства</w:t>
            </w:r>
          </w:p>
        </w:tc>
      </w:tr>
      <w:tr w:rsidR="009C6272" w:rsidRPr="00D31578" w:rsidTr="0062536F">
        <w:tc>
          <w:tcPr>
            <w:tcW w:w="1951" w:type="dxa"/>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 xml:space="preserve">АВ </w:t>
            </w:r>
          </w:p>
        </w:tc>
        <w:tc>
          <w:tcPr>
            <w:tcW w:w="6833" w:type="dxa"/>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 xml:space="preserve">Аналіз варіантів </w:t>
            </w:r>
          </w:p>
        </w:tc>
      </w:tr>
      <w:tr w:rsidR="009C6272" w:rsidRPr="00D31578" w:rsidTr="0062536F">
        <w:tc>
          <w:tcPr>
            <w:tcW w:w="1951" w:type="dxa"/>
            <w:hideMark/>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ОЕСР</w:t>
            </w:r>
          </w:p>
        </w:tc>
        <w:tc>
          <w:tcPr>
            <w:tcW w:w="6833" w:type="dxa"/>
            <w:hideMark/>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Організація економічного співробітництва та розвитку</w:t>
            </w:r>
          </w:p>
        </w:tc>
      </w:tr>
      <w:tr w:rsidR="009C6272" w:rsidRPr="00D31578" w:rsidTr="0062536F">
        <w:tc>
          <w:tcPr>
            <w:tcW w:w="1951" w:type="dxa"/>
          </w:tcPr>
          <w:p w:rsidR="009C6272" w:rsidRPr="00497A25" w:rsidRDefault="009C6272" w:rsidP="00C14EEF">
            <w:pPr>
              <w:rPr>
                <w:rFonts w:asciiTheme="minorHAnsi" w:hAnsiTheme="minorHAnsi" w:cstheme="minorHAnsi"/>
                <w:szCs w:val="22"/>
              </w:rPr>
            </w:pPr>
            <w:r w:rsidRPr="00497A25">
              <w:rPr>
                <w:rStyle w:val="210pt"/>
                <w:rFonts w:asciiTheme="minorHAnsi" w:hAnsiTheme="minorHAnsi"/>
                <w:b w:val="0"/>
                <w:szCs w:val="22"/>
              </w:rPr>
              <w:t>ЕтаТО</w:t>
            </w:r>
          </w:p>
        </w:tc>
        <w:tc>
          <w:tcPr>
            <w:tcW w:w="6833" w:type="dxa"/>
          </w:tcPr>
          <w:p w:rsidR="009C6272" w:rsidRPr="00497A25" w:rsidRDefault="009C6272" w:rsidP="00C14EEF">
            <w:pPr>
              <w:pStyle w:val="27"/>
              <w:shd w:val="clear" w:color="auto" w:fill="auto"/>
              <w:spacing w:before="0" w:after="0" w:line="240" w:lineRule="auto"/>
              <w:ind w:firstLine="0"/>
              <w:jc w:val="both"/>
              <w:rPr>
                <w:rFonts w:asciiTheme="minorHAnsi" w:hAnsiTheme="minorHAnsi" w:cstheme="minorHAnsi"/>
                <w:sz w:val="22"/>
                <w:szCs w:val="22"/>
              </w:rPr>
            </w:pPr>
            <w:r w:rsidRPr="00497A25">
              <w:rPr>
                <w:rFonts w:asciiTheme="minorHAnsi" w:hAnsiTheme="minorHAnsi"/>
                <w:sz w:val="22"/>
                <w:szCs w:val="22"/>
              </w:rPr>
              <w:t>Експлуатація та технічне обслуговування</w:t>
            </w:r>
          </w:p>
        </w:tc>
      </w:tr>
      <w:tr w:rsidR="009C6272" w:rsidRPr="00D31578" w:rsidTr="0062536F">
        <w:tc>
          <w:tcPr>
            <w:tcW w:w="1951" w:type="dxa"/>
            <w:hideMark/>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OPS</w:t>
            </w:r>
          </w:p>
        </w:tc>
        <w:tc>
          <w:tcPr>
            <w:tcW w:w="6833" w:type="dxa"/>
            <w:hideMark/>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Оперативне управління</w:t>
            </w:r>
          </w:p>
        </w:tc>
      </w:tr>
      <w:tr w:rsidR="009C6272" w:rsidRPr="00D31578" w:rsidTr="0062536F">
        <w:tc>
          <w:tcPr>
            <w:tcW w:w="1951" w:type="dxa"/>
            <w:hideMark/>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ПІП</w:t>
            </w:r>
          </w:p>
        </w:tc>
        <w:tc>
          <w:tcPr>
            <w:tcW w:w="6833" w:type="dxa"/>
            <w:hideMark/>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Пріоритетна інвестиційна програма</w:t>
            </w:r>
          </w:p>
        </w:tc>
      </w:tr>
      <w:tr w:rsidR="009C6272" w:rsidRPr="00D31578" w:rsidTr="0062536F">
        <w:tc>
          <w:tcPr>
            <w:tcW w:w="1951" w:type="dxa"/>
            <w:hideMark/>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ГРП</w:t>
            </w:r>
          </w:p>
        </w:tc>
        <w:tc>
          <w:tcPr>
            <w:tcW w:w="6833" w:type="dxa"/>
            <w:hideMark/>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 xml:space="preserve">Група реалізації проекту (на базі кінцевих </w:t>
            </w:r>
            <w:proofErr w:type="spellStart"/>
            <w:r w:rsidR="00064262" w:rsidRPr="00497A25">
              <w:rPr>
                <w:rFonts w:asciiTheme="minorHAnsi" w:hAnsiTheme="minorHAnsi"/>
                <w:szCs w:val="22"/>
              </w:rPr>
              <w:t>Бенефіці</w:t>
            </w:r>
            <w:r w:rsidRPr="00497A25">
              <w:rPr>
                <w:rFonts w:asciiTheme="minorHAnsi" w:hAnsiTheme="minorHAnsi"/>
                <w:szCs w:val="22"/>
              </w:rPr>
              <w:t>арів</w:t>
            </w:r>
            <w:proofErr w:type="spellEnd"/>
            <w:r w:rsidRPr="00497A25">
              <w:rPr>
                <w:rFonts w:asciiTheme="minorHAnsi" w:hAnsiTheme="minorHAnsi"/>
                <w:szCs w:val="22"/>
              </w:rPr>
              <w:t>)</w:t>
            </w:r>
          </w:p>
        </w:tc>
      </w:tr>
      <w:tr w:rsidR="009C6272" w:rsidRPr="00D31578" w:rsidTr="0062536F">
        <w:tc>
          <w:tcPr>
            <w:tcW w:w="1951" w:type="dxa"/>
            <w:hideMark/>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ДП</w:t>
            </w:r>
          </w:p>
        </w:tc>
        <w:tc>
          <w:tcPr>
            <w:tcW w:w="6833" w:type="dxa"/>
            <w:hideMark/>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Директорат проекту</w:t>
            </w:r>
          </w:p>
        </w:tc>
      </w:tr>
      <w:tr w:rsidR="009C6272" w:rsidRPr="00D31578" w:rsidTr="0062536F">
        <w:tc>
          <w:tcPr>
            <w:tcW w:w="1951" w:type="dxa"/>
            <w:hideMark/>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ГУПП</w:t>
            </w:r>
          </w:p>
        </w:tc>
        <w:tc>
          <w:tcPr>
            <w:tcW w:w="6833" w:type="dxa"/>
            <w:hideMark/>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Група управління та підтримки програми</w:t>
            </w:r>
          </w:p>
        </w:tc>
      </w:tr>
      <w:tr w:rsidR="009C6272" w:rsidRPr="00D31578" w:rsidTr="0062536F">
        <w:tc>
          <w:tcPr>
            <w:tcW w:w="1951" w:type="dxa"/>
            <w:hideMark/>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ІПРП</w:t>
            </w:r>
          </w:p>
        </w:tc>
        <w:tc>
          <w:tcPr>
            <w:tcW w:w="6833" w:type="dxa"/>
            <w:hideMark/>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Інструкція з процедур реалізації програми</w:t>
            </w:r>
          </w:p>
        </w:tc>
      </w:tr>
      <w:tr w:rsidR="009C6272" w:rsidRPr="00D31578" w:rsidTr="0062536F">
        <w:tc>
          <w:tcPr>
            <w:tcW w:w="1951" w:type="dxa"/>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РК</w:t>
            </w:r>
          </w:p>
        </w:tc>
        <w:tc>
          <w:tcPr>
            <w:tcW w:w="6833" w:type="dxa"/>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Редукторний клапан</w:t>
            </w:r>
          </w:p>
        </w:tc>
      </w:tr>
      <w:tr w:rsidR="009C6272" w:rsidRPr="00D31578" w:rsidTr="0062536F">
        <w:tc>
          <w:tcPr>
            <w:tcW w:w="1951" w:type="dxa"/>
            <w:hideMark/>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КП</w:t>
            </w:r>
          </w:p>
        </w:tc>
        <w:tc>
          <w:tcPr>
            <w:tcW w:w="6833" w:type="dxa"/>
            <w:hideMark/>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 xml:space="preserve">Комунальне підприємство </w:t>
            </w:r>
          </w:p>
        </w:tc>
      </w:tr>
      <w:tr w:rsidR="009C6272" w:rsidRPr="00D31578" w:rsidTr="0062536F">
        <w:tc>
          <w:tcPr>
            <w:tcW w:w="1951" w:type="dxa"/>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ЛВК</w:t>
            </w:r>
          </w:p>
        </w:tc>
        <w:tc>
          <w:tcPr>
            <w:tcW w:w="6833" w:type="dxa"/>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КП Луцькводоканал</w:t>
            </w:r>
          </w:p>
        </w:tc>
      </w:tr>
      <w:tr w:rsidR="009C6272" w:rsidRPr="00D31578" w:rsidTr="0062536F">
        <w:tc>
          <w:tcPr>
            <w:tcW w:w="1951" w:type="dxa"/>
            <w:hideMark/>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ПДСЕ</w:t>
            </w:r>
          </w:p>
        </w:tc>
        <w:tc>
          <w:tcPr>
            <w:tcW w:w="6833" w:type="dxa"/>
            <w:hideMark/>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План дій з розвитку стійкої енергетики</w:t>
            </w:r>
          </w:p>
        </w:tc>
      </w:tr>
      <w:tr w:rsidR="009C6272" w:rsidRPr="00D31578" w:rsidTr="0062536F">
        <w:tc>
          <w:tcPr>
            <w:tcW w:w="1951" w:type="dxa"/>
            <w:hideMark/>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КК</w:t>
            </w:r>
          </w:p>
        </w:tc>
        <w:tc>
          <w:tcPr>
            <w:tcW w:w="6833" w:type="dxa"/>
            <w:hideMark/>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Керівний комітет</w:t>
            </w:r>
          </w:p>
        </w:tc>
      </w:tr>
      <w:tr w:rsidR="009C6272" w:rsidRPr="00D31578" w:rsidTr="0062536F">
        <w:tc>
          <w:tcPr>
            <w:tcW w:w="1951" w:type="dxa"/>
            <w:hideMark/>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SCADA</w:t>
            </w:r>
          </w:p>
        </w:tc>
        <w:tc>
          <w:tcPr>
            <w:tcW w:w="6833" w:type="dxa"/>
            <w:hideMark/>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Диспетчерське управління та збір даних</w:t>
            </w:r>
          </w:p>
        </w:tc>
      </w:tr>
      <w:tr w:rsidR="009C6272" w:rsidRPr="00D31578" w:rsidTr="0062536F">
        <w:tc>
          <w:tcPr>
            <w:tcW w:w="1951" w:type="dxa"/>
          </w:tcPr>
          <w:p w:rsidR="009C6272" w:rsidRPr="00497A25" w:rsidRDefault="009C6272" w:rsidP="00C14EEF">
            <w:pPr>
              <w:rPr>
                <w:rFonts w:asciiTheme="minorHAnsi" w:hAnsiTheme="minorHAnsi" w:cstheme="minorHAnsi"/>
                <w:szCs w:val="22"/>
              </w:rPr>
            </w:pPr>
            <w:r w:rsidRPr="00497A25">
              <w:rPr>
                <w:rStyle w:val="210pt"/>
                <w:rFonts w:asciiTheme="minorHAnsi" w:hAnsiTheme="minorHAnsi"/>
                <w:b w:val="0"/>
                <w:szCs w:val="22"/>
              </w:rPr>
              <w:t>SCF</w:t>
            </w:r>
          </w:p>
        </w:tc>
        <w:tc>
          <w:tcPr>
            <w:tcW w:w="6833" w:type="dxa"/>
          </w:tcPr>
          <w:p w:rsidR="009C6272" w:rsidRPr="00497A25" w:rsidRDefault="009C6272" w:rsidP="00C14EEF">
            <w:pPr>
              <w:pStyle w:val="27"/>
              <w:shd w:val="clear" w:color="auto" w:fill="auto"/>
              <w:spacing w:before="0" w:after="0" w:line="240" w:lineRule="auto"/>
              <w:ind w:firstLine="0"/>
              <w:jc w:val="both"/>
              <w:rPr>
                <w:rFonts w:asciiTheme="minorHAnsi" w:hAnsiTheme="minorHAnsi" w:cstheme="minorHAnsi"/>
                <w:sz w:val="22"/>
                <w:szCs w:val="22"/>
              </w:rPr>
            </w:pPr>
            <w:r w:rsidRPr="00497A25">
              <w:rPr>
                <w:rFonts w:asciiTheme="minorHAnsi" w:hAnsiTheme="minorHAnsi"/>
                <w:sz w:val="22"/>
                <w:szCs w:val="22"/>
              </w:rPr>
              <w:t xml:space="preserve">Стандартний </w:t>
            </w:r>
            <w:r w:rsidR="00CB1B48" w:rsidRPr="00497A25">
              <w:rPr>
                <w:rFonts w:asciiTheme="minorHAnsi" w:hAnsiTheme="minorHAnsi"/>
                <w:sz w:val="22"/>
                <w:szCs w:val="22"/>
              </w:rPr>
              <w:t>Коефіцієнт</w:t>
            </w:r>
            <w:r w:rsidRPr="00497A25">
              <w:rPr>
                <w:rFonts w:asciiTheme="minorHAnsi" w:hAnsiTheme="minorHAnsi"/>
                <w:sz w:val="22"/>
                <w:szCs w:val="22"/>
              </w:rPr>
              <w:t xml:space="preserve"> Конверсії</w:t>
            </w:r>
          </w:p>
        </w:tc>
      </w:tr>
      <w:tr w:rsidR="009C6272" w:rsidRPr="00D31578" w:rsidTr="0062536F">
        <w:tc>
          <w:tcPr>
            <w:tcW w:w="1951" w:type="dxa"/>
          </w:tcPr>
          <w:p w:rsidR="009C6272" w:rsidRPr="00497A25" w:rsidRDefault="009C6272" w:rsidP="00C14EEF">
            <w:pPr>
              <w:rPr>
                <w:rFonts w:asciiTheme="minorHAnsi" w:hAnsiTheme="minorHAnsi" w:cstheme="minorHAnsi"/>
                <w:szCs w:val="22"/>
              </w:rPr>
            </w:pPr>
            <w:r w:rsidRPr="00497A25">
              <w:rPr>
                <w:rStyle w:val="210pt"/>
                <w:rFonts w:asciiTheme="minorHAnsi" w:hAnsiTheme="minorHAnsi"/>
                <w:b w:val="0"/>
                <w:szCs w:val="22"/>
              </w:rPr>
              <w:t>SDR</w:t>
            </w:r>
          </w:p>
        </w:tc>
        <w:tc>
          <w:tcPr>
            <w:tcW w:w="6833" w:type="dxa"/>
          </w:tcPr>
          <w:p w:rsidR="009C6272" w:rsidRPr="00497A25" w:rsidRDefault="009C6272" w:rsidP="00C14EEF">
            <w:pPr>
              <w:pStyle w:val="27"/>
              <w:shd w:val="clear" w:color="auto" w:fill="auto"/>
              <w:spacing w:before="0" w:after="0" w:line="240" w:lineRule="auto"/>
              <w:ind w:firstLine="0"/>
              <w:jc w:val="both"/>
              <w:rPr>
                <w:rFonts w:asciiTheme="minorHAnsi" w:hAnsiTheme="minorHAnsi" w:cstheme="minorHAnsi"/>
                <w:sz w:val="22"/>
                <w:szCs w:val="22"/>
              </w:rPr>
            </w:pPr>
            <w:r w:rsidRPr="00497A25">
              <w:rPr>
                <w:rFonts w:asciiTheme="minorHAnsi" w:hAnsiTheme="minorHAnsi"/>
                <w:sz w:val="22"/>
                <w:szCs w:val="22"/>
              </w:rPr>
              <w:t>Соціальна ставка дисконтування</w:t>
            </w:r>
          </w:p>
        </w:tc>
      </w:tr>
      <w:tr w:rsidR="009C6272" w:rsidRPr="00D31578" w:rsidTr="0062536F">
        <w:tc>
          <w:tcPr>
            <w:tcW w:w="1951" w:type="dxa"/>
            <w:hideMark/>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МСП</w:t>
            </w:r>
          </w:p>
        </w:tc>
        <w:tc>
          <w:tcPr>
            <w:tcW w:w="6833" w:type="dxa"/>
            <w:hideMark/>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Мале та середнє підприємство</w:t>
            </w:r>
          </w:p>
        </w:tc>
      </w:tr>
      <w:tr w:rsidR="009C6272" w:rsidRPr="00D31578" w:rsidTr="0062536F">
        <w:tc>
          <w:tcPr>
            <w:tcW w:w="1951" w:type="dxa"/>
            <w:hideMark/>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ПП</w:t>
            </w:r>
          </w:p>
        </w:tc>
        <w:tc>
          <w:tcPr>
            <w:tcW w:w="6833" w:type="dxa"/>
            <w:hideMark/>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Постачальник послуг</w:t>
            </w:r>
          </w:p>
        </w:tc>
      </w:tr>
      <w:tr w:rsidR="009C6272" w:rsidRPr="00D31578" w:rsidTr="0062536F">
        <w:tc>
          <w:tcPr>
            <w:tcW w:w="1951" w:type="dxa"/>
            <w:hideMark/>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TA</w:t>
            </w:r>
          </w:p>
        </w:tc>
        <w:tc>
          <w:tcPr>
            <w:tcW w:w="6833" w:type="dxa"/>
            <w:hideMark/>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Технічне сприяння</w:t>
            </w:r>
          </w:p>
        </w:tc>
      </w:tr>
      <w:tr w:rsidR="009C6272" w:rsidRPr="00D31578" w:rsidTr="0062536F">
        <w:tc>
          <w:tcPr>
            <w:tcW w:w="1951" w:type="dxa"/>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М</w:t>
            </w:r>
            <w:r w:rsidR="00CB1B48" w:rsidRPr="00497A25">
              <w:rPr>
                <w:rFonts w:asciiTheme="minorHAnsi" w:hAnsiTheme="minorHAnsi"/>
                <w:szCs w:val="22"/>
              </w:rPr>
              <w:t>Т</w:t>
            </w:r>
          </w:p>
        </w:tc>
        <w:tc>
          <w:tcPr>
            <w:tcW w:w="6833" w:type="dxa"/>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Магістральні трубопроводи</w:t>
            </w:r>
          </w:p>
        </w:tc>
      </w:tr>
      <w:tr w:rsidR="009C6272" w:rsidRPr="00D31578" w:rsidTr="0062536F">
        <w:tc>
          <w:tcPr>
            <w:tcW w:w="1951" w:type="dxa"/>
            <w:hideMark/>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UMIP</w:t>
            </w:r>
          </w:p>
        </w:tc>
        <w:tc>
          <w:tcPr>
            <w:tcW w:w="6833" w:type="dxa"/>
            <w:hideMark/>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Програма розвитку міської інфраструктури в Україні</w:t>
            </w:r>
          </w:p>
        </w:tc>
      </w:tr>
      <w:tr w:rsidR="009C6272" w:rsidRPr="00D31578" w:rsidTr="0062536F">
        <w:tc>
          <w:tcPr>
            <w:tcW w:w="1951" w:type="dxa"/>
          </w:tcPr>
          <w:p w:rsidR="009C6272" w:rsidRPr="00497A25" w:rsidRDefault="009C6272" w:rsidP="00C14EEF">
            <w:pPr>
              <w:rPr>
                <w:rFonts w:asciiTheme="minorHAnsi" w:hAnsiTheme="minorHAnsi" w:cstheme="minorHAnsi"/>
                <w:szCs w:val="22"/>
              </w:rPr>
            </w:pPr>
            <w:r w:rsidRPr="00497A25">
              <w:rPr>
                <w:rStyle w:val="210pt"/>
                <w:rFonts w:asciiTheme="minorHAnsi" w:hAnsiTheme="minorHAnsi"/>
                <w:b w:val="0"/>
                <w:szCs w:val="22"/>
              </w:rPr>
              <w:t>ПДВ</w:t>
            </w:r>
          </w:p>
        </w:tc>
        <w:tc>
          <w:tcPr>
            <w:tcW w:w="6833" w:type="dxa"/>
          </w:tcPr>
          <w:p w:rsidR="009C6272" w:rsidRPr="00497A25" w:rsidRDefault="009C6272" w:rsidP="00C14EEF">
            <w:pPr>
              <w:pStyle w:val="27"/>
              <w:shd w:val="clear" w:color="auto" w:fill="auto"/>
              <w:spacing w:before="0" w:after="0" w:line="240" w:lineRule="auto"/>
              <w:ind w:firstLine="0"/>
              <w:jc w:val="both"/>
              <w:rPr>
                <w:rFonts w:asciiTheme="minorHAnsi" w:hAnsiTheme="minorHAnsi" w:cstheme="minorHAnsi"/>
                <w:sz w:val="22"/>
                <w:szCs w:val="22"/>
              </w:rPr>
            </w:pPr>
            <w:r w:rsidRPr="00497A25">
              <w:rPr>
                <w:rFonts w:asciiTheme="minorHAnsi" w:hAnsiTheme="minorHAnsi"/>
                <w:sz w:val="22"/>
                <w:szCs w:val="22"/>
              </w:rPr>
              <w:t>Податок на додану вартість</w:t>
            </w:r>
          </w:p>
        </w:tc>
      </w:tr>
      <w:tr w:rsidR="009C6272" w:rsidRPr="00D31578" w:rsidTr="0062536F">
        <w:tc>
          <w:tcPr>
            <w:tcW w:w="1951" w:type="dxa"/>
            <w:hideMark/>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ОПВ</w:t>
            </w:r>
          </w:p>
        </w:tc>
        <w:tc>
          <w:tcPr>
            <w:tcW w:w="6833" w:type="dxa"/>
            <w:hideMark/>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Очищення та підготовка води</w:t>
            </w:r>
          </w:p>
        </w:tc>
      </w:tr>
      <w:tr w:rsidR="009C6272" w:rsidRPr="00D31578" w:rsidTr="0062536F">
        <w:tc>
          <w:tcPr>
            <w:tcW w:w="1951" w:type="dxa"/>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ВНС</w:t>
            </w:r>
          </w:p>
        </w:tc>
        <w:tc>
          <w:tcPr>
            <w:tcW w:w="6833" w:type="dxa"/>
          </w:tcPr>
          <w:p w:rsidR="009C6272" w:rsidRPr="00497A25" w:rsidRDefault="009C6272" w:rsidP="00C14EEF">
            <w:pPr>
              <w:rPr>
                <w:rFonts w:asciiTheme="minorHAnsi" w:hAnsiTheme="minorHAnsi" w:cstheme="minorHAnsi"/>
                <w:szCs w:val="22"/>
              </w:rPr>
            </w:pPr>
            <w:proofErr w:type="spellStart"/>
            <w:r w:rsidRPr="00497A25">
              <w:rPr>
                <w:rFonts w:asciiTheme="minorHAnsi" w:hAnsiTheme="minorHAnsi"/>
                <w:szCs w:val="22"/>
              </w:rPr>
              <w:t>Водонасосна</w:t>
            </w:r>
            <w:proofErr w:type="spellEnd"/>
            <w:r w:rsidRPr="00497A25">
              <w:rPr>
                <w:rFonts w:asciiTheme="minorHAnsi" w:hAnsiTheme="minorHAnsi"/>
                <w:szCs w:val="22"/>
              </w:rPr>
              <w:t xml:space="preserve"> станція</w:t>
            </w:r>
          </w:p>
        </w:tc>
      </w:tr>
      <w:tr w:rsidR="009C6272" w:rsidRPr="00D31578" w:rsidTr="0062536F">
        <w:tc>
          <w:tcPr>
            <w:tcW w:w="1951" w:type="dxa"/>
            <w:hideMark/>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ВПУ</w:t>
            </w:r>
          </w:p>
        </w:tc>
        <w:tc>
          <w:tcPr>
            <w:tcW w:w="6833" w:type="dxa"/>
            <w:hideMark/>
          </w:tcPr>
          <w:p w:rsidR="009C6272" w:rsidRPr="00497A25" w:rsidRDefault="009C6272" w:rsidP="00C14EEF">
            <w:pPr>
              <w:rPr>
                <w:rFonts w:asciiTheme="minorHAnsi" w:hAnsiTheme="minorHAnsi" w:cstheme="minorHAnsi"/>
                <w:szCs w:val="22"/>
              </w:rPr>
            </w:pPr>
            <w:proofErr w:type="spellStart"/>
            <w:r w:rsidRPr="00497A25">
              <w:rPr>
                <w:rFonts w:asciiTheme="minorHAnsi" w:hAnsiTheme="minorHAnsi"/>
                <w:szCs w:val="22"/>
              </w:rPr>
              <w:t>Водопідготовча</w:t>
            </w:r>
            <w:proofErr w:type="spellEnd"/>
            <w:r w:rsidRPr="00497A25">
              <w:rPr>
                <w:rFonts w:asciiTheme="minorHAnsi" w:hAnsiTheme="minorHAnsi"/>
                <w:szCs w:val="22"/>
              </w:rPr>
              <w:t xml:space="preserve"> установка</w:t>
            </w:r>
          </w:p>
        </w:tc>
      </w:tr>
      <w:tr w:rsidR="009C6272" w:rsidRPr="00D31578" w:rsidTr="0062536F">
        <w:tc>
          <w:tcPr>
            <w:tcW w:w="1951" w:type="dxa"/>
            <w:hideMark/>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КНС</w:t>
            </w:r>
          </w:p>
        </w:tc>
        <w:tc>
          <w:tcPr>
            <w:tcW w:w="6833" w:type="dxa"/>
            <w:hideMark/>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Каналізаційна насосна станція</w:t>
            </w:r>
          </w:p>
        </w:tc>
      </w:tr>
      <w:tr w:rsidR="009C6272" w:rsidRPr="00D31578" w:rsidTr="0062536F">
        <w:tc>
          <w:tcPr>
            <w:tcW w:w="1951" w:type="dxa"/>
            <w:hideMark/>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КОС</w:t>
            </w:r>
          </w:p>
        </w:tc>
        <w:tc>
          <w:tcPr>
            <w:tcW w:w="6833" w:type="dxa"/>
            <w:hideMark/>
          </w:tcPr>
          <w:p w:rsidR="009C6272" w:rsidRPr="00497A25" w:rsidRDefault="009C6272" w:rsidP="00C14EEF">
            <w:pPr>
              <w:rPr>
                <w:rFonts w:asciiTheme="minorHAnsi" w:hAnsiTheme="minorHAnsi" w:cstheme="minorHAnsi"/>
                <w:szCs w:val="22"/>
              </w:rPr>
            </w:pPr>
            <w:r w:rsidRPr="00497A25">
              <w:rPr>
                <w:rFonts w:asciiTheme="minorHAnsi" w:hAnsiTheme="minorHAnsi"/>
                <w:szCs w:val="22"/>
              </w:rPr>
              <w:t>Каналізаційні очисні споруди</w:t>
            </w:r>
          </w:p>
        </w:tc>
      </w:tr>
    </w:tbl>
    <w:p w:rsidR="001F7C1E" w:rsidRDefault="001F7C1E" w:rsidP="00C14EEF">
      <w:pPr>
        <w:pStyle w:val="HydrophilStandard"/>
        <w:spacing w:after="0"/>
        <w:contextualSpacing w:val="0"/>
        <w:rPr>
          <w:lang w:val="en-GB"/>
        </w:rPr>
      </w:pPr>
    </w:p>
    <w:p w:rsidR="001F7C1E" w:rsidRPr="001F7C1E" w:rsidRDefault="001F7C1E" w:rsidP="00C14EEF">
      <w:pPr>
        <w:pStyle w:val="HydrophilStandard"/>
        <w:spacing w:after="0"/>
        <w:contextualSpacing w:val="0"/>
        <w:rPr>
          <w:lang w:val="en-GB"/>
        </w:rPr>
      </w:pPr>
    </w:p>
    <w:p w:rsidR="004129C0" w:rsidRDefault="004129C0" w:rsidP="00C14EEF">
      <w:pPr>
        <w:pStyle w:val="HydrophilStandard"/>
        <w:spacing w:after="0"/>
        <w:contextualSpacing w:val="0"/>
        <w:rPr>
          <w:noProof w:val="0"/>
          <w:lang w:val="en-GB"/>
        </w:rPr>
        <w:sectPr w:rsidR="004129C0" w:rsidSect="00EB5D32">
          <w:headerReference w:type="default" r:id="rId19"/>
          <w:footerReference w:type="default" r:id="rId20"/>
          <w:pgSz w:w="11906" w:h="16838" w:code="9"/>
          <w:pgMar w:top="1418" w:right="851" w:bottom="851" w:left="1418" w:header="567" w:footer="454" w:gutter="0"/>
          <w:pgNumType w:fmt="upperRoman" w:start="1"/>
          <w:cols w:space="720"/>
          <w:docGrid w:linePitch="299"/>
        </w:sectPr>
      </w:pPr>
    </w:p>
    <w:p w:rsidR="006E1534" w:rsidRPr="006A0AAF" w:rsidRDefault="00E95D67" w:rsidP="00C14EEF">
      <w:pPr>
        <w:pStyle w:val="1"/>
        <w:spacing w:before="0" w:after="0"/>
        <w:contextualSpacing w:val="0"/>
        <w:rPr>
          <w:noProof w:val="0"/>
        </w:rPr>
      </w:pPr>
      <w:bookmarkStart w:id="1" w:name="_Toc48392525"/>
      <w:bookmarkStart w:id="2" w:name="_Toc436756843"/>
      <w:bookmarkStart w:id="3" w:name="_Toc5725199"/>
      <w:bookmarkStart w:id="4" w:name="_Toc5725280"/>
      <w:bookmarkStart w:id="5" w:name="_Toc5725882"/>
      <w:bookmarkStart w:id="6" w:name="_Toc524432918"/>
      <w:bookmarkStart w:id="7" w:name="Main"/>
      <w:r>
        <w:t>ПОЯСНЮВАЛЬНА ЗАПИСКА</w:t>
      </w:r>
      <w:bookmarkEnd w:id="1"/>
      <w:r>
        <w:t xml:space="preserve"> </w:t>
      </w:r>
    </w:p>
    <w:p w:rsidR="00E95D67" w:rsidRDefault="00E95D67" w:rsidP="00C14EEF">
      <w:pPr>
        <w:pStyle w:val="HydrophilStandardFett"/>
        <w:spacing w:before="0" w:after="0"/>
        <w:contextualSpacing w:val="0"/>
        <w:rPr>
          <w:noProof w:val="0"/>
          <w:highlight w:val="yellow"/>
          <w:lang w:val="en-GB"/>
        </w:rPr>
      </w:pPr>
    </w:p>
    <w:p w:rsidR="00FA2775" w:rsidRPr="00A672B0" w:rsidRDefault="00FA2775" w:rsidP="00C14EEF">
      <w:pPr>
        <w:pStyle w:val="HydrophilStandard"/>
        <w:spacing w:after="0"/>
        <w:contextualSpacing w:val="0"/>
        <w:rPr>
          <w:noProof w:val="0"/>
        </w:rPr>
      </w:pPr>
      <w:r>
        <w:t>Фінансово-економічний звіт був підготований впродовж Вересня-Листопада</w:t>
      </w:r>
      <w:r w:rsidR="00CB1B48">
        <w:t xml:space="preserve"> </w:t>
      </w:r>
      <w:r>
        <w:t>2019 року. Через особливу перевірку отриманих даних та інформації, а також через затримку подання Технічного звіту (важливе джерело даних для цього звіту), подання звіту було затримане.</w:t>
      </w:r>
    </w:p>
    <w:p w:rsidR="00FA2775" w:rsidRPr="00337277" w:rsidRDefault="00FA2775" w:rsidP="00C14EEF">
      <w:pPr>
        <w:pStyle w:val="HydrophilStandard"/>
        <w:spacing w:after="0"/>
        <w:contextualSpacing w:val="0"/>
        <w:rPr>
          <w:noProof w:val="0"/>
          <w:lang w:val="ru-RU"/>
        </w:rPr>
      </w:pPr>
    </w:p>
    <w:p w:rsidR="00FA2775" w:rsidRDefault="00FA2775" w:rsidP="00C14EEF">
      <w:pPr>
        <w:pStyle w:val="HydrophilStandardFett"/>
        <w:spacing w:before="0" w:after="0"/>
        <w:contextualSpacing w:val="0"/>
        <w:rPr>
          <w:b w:val="0"/>
          <w:noProof w:val="0"/>
        </w:rPr>
      </w:pPr>
      <w:r>
        <w:rPr>
          <w:b w:val="0"/>
        </w:rPr>
        <w:t xml:space="preserve">Фінансово-економічний звіт надає аналіз фінансової можливості подальшого залучення позики ЄІБ на потреби КП Луцькводоканал (ЛВК), а також отримання економічних </w:t>
      </w:r>
      <w:r w:rsidR="00CB1B48">
        <w:rPr>
          <w:b w:val="0"/>
        </w:rPr>
        <w:t xml:space="preserve">вигід </w:t>
      </w:r>
      <w:r>
        <w:rPr>
          <w:b w:val="0"/>
        </w:rPr>
        <w:t>від майбутніх інвестицій у інфраструктуру водопостачання та водовідведення РВК.</w:t>
      </w:r>
    </w:p>
    <w:p w:rsidR="00FA2775" w:rsidRPr="00337277" w:rsidRDefault="00FA2775" w:rsidP="00C14EEF">
      <w:pPr>
        <w:pStyle w:val="HydrophilStandardFett"/>
        <w:spacing w:before="0" w:after="0"/>
        <w:contextualSpacing w:val="0"/>
        <w:rPr>
          <w:noProof w:val="0"/>
          <w:lang w:val="ru-RU"/>
        </w:rPr>
      </w:pPr>
    </w:p>
    <w:p w:rsidR="00FA2775" w:rsidRDefault="00FA2775" w:rsidP="00C14EEF">
      <w:pPr>
        <w:autoSpaceDE w:val="0"/>
        <w:autoSpaceDN w:val="0"/>
        <w:adjustRightInd w:val="0"/>
        <w:rPr>
          <w:rFonts w:ascii="Arial" w:eastAsiaTheme="minorHAnsi" w:hAnsi="Arial" w:cs="Arial"/>
          <w:szCs w:val="22"/>
        </w:rPr>
      </w:pPr>
      <w:r>
        <w:rPr>
          <w:rFonts w:ascii="Arial" w:hAnsi="Arial"/>
          <w:szCs w:val="22"/>
        </w:rPr>
        <w:t>Наявна фінансова ситуація КП Луцькводоканал є задовільною. Тарифи регулярно встановлюють</w:t>
      </w:r>
      <w:r w:rsidR="00CB1B48">
        <w:rPr>
          <w:rFonts w:ascii="Arial" w:hAnsi="Arial"/>
          <w:szCs w:val="22"/>
        </w:rPr>
        <w:t>ся НКРЕКП та</w:t>
      </w:r>
      <w:r>
        <w:rPr>
          <w:rFonts w:ascii="Arial" w:hAnsi="Arial"/>
          <w:szCs w:val="22"/>
        </w:rPr>
        <w:t xml:space="preserve"> здебільшого є достатніми для фінансової стабільності </w:t>
      </w:r>
      <w:r w:rsidR="00CB1B48">
        <w:rPr>
          <w:rFonts w:ascii="Arial" w:hAnsi="Arial"/>
          <w:szCs w:val="22"/>
        </w:rPr>
        <w:t>підприємства</w:t>
      </w:r>
      <w:r>
        <w:rPr>
          <w:rFonts w:ascii="Arial" w:hAnsi="Arial"/>
          <w:szCs w:val="22"/>
        </w:rPr>
        <w:t xml:space="preserve">. Щорічні підвищення тарифів разом із збільшеною ставкою стягнення дозволять РВК бути </w:t>
      </w:r>
      <w:proofErr w:type="spellStart"/>
      <w:r>
        <w:rPr>
          <w:rFonts w:ascii="Arial" w:hAnsi="Arial"/>
          <w:szCs w:val="22"/>
        </w:rPr>
        <w:t>самофінансуючим</w:t>
      </w:r>
      <w:proofErr w:type="spellEnd"/>
      <w:r>
        <w:rPr>
          <w:rFonts w:ascii="Arial" w:hAnsi="Arial"/>
          <w:szCs w:val="22"/>
        </w:rPr>
        <w:t xml:space="preserve"> та самоокупним суб’єктом. Запропоновані підвищення тарифів у зв'язку з реалізацією проекту з 2020 року залишатимуться в розумних межах 4 відсотків середнього доходу домогосподарств для </w:t>
      </w:r>
      <w:r w:rsidR="00CB1B48">
        <w:rPr>
          <w:rFonts w:ascii="Arial" w:hAnsi="Arial"/>
          <w:szCs w:val="22"/>
        </w:rPr>
        <w:t>м. Луцьк</w:t>
      </w:r>
      <w:r>
        <w:rPr>
          <w:rFonts w:ascii="Arial" w:hAnsi="Arial"/>
          <w:szCs w:val="22"/>
        </w:rPr>
        <w:t>.</w:t>
      </w:r>
      <w:r w:rsidR="00CB1B48">
        <w:rPr>
          <w:rFonts w:ascii="Arial" w:hAnsi="Arial"/>
          <w:szCs w:val="22"/>
        </w:rPr>
        <w:t xml:space="preserve"> </w:t>
      </w:r>
    </w:p>
    <w:p w:rsidR="00FA2775" w:rsidRPr="00337277" w:rsidRDefault="00FA2775" w:rsidP="00C14EEF">
      <w:pPr>
        <w:autoSpaceDE w:val="0"/>
        <w:autoSpaceDN w:val="0"/>
        <w:adjustRightInd w:val="0"/>
        <w:rPr>
          <w:rFonts w:ascii="Arial" w:eastAsiaTheme="minorHAnsi" w:hAnsi="Arial" w:cs="Arial"/>
          <w:szCs w:val="22"/>
          <w:lang w:val="ru-RU" w:eastAsia="en-US"/>
        </w:rPr>
      </w:pPr>
    </w:p>
    <w:p w:rsidR="00FA2775" w:rsidRPr="00BD2ABE" w:rsidRDefault="00FA2775" w:rsidP="00C14EEF">
      <w:pPr>
        <w:autoSpaceDE w:val="0"/>
        <w:autoSpaceDN w:val="0"/>
        <w:adjustRightInd w:val="0"/>
        <w:rPr>
          <w:rFonts w:ascii="Arial" w:eastAsiaTheme="minorHAnsi" w:hAnsi="Arial" w:cs="Arial"/>
          <w:szCs w:val="22"/>
        </w:rPr>
      </w:pPr>
      <w:r w:rsidRPr="003E2303">
        <w:rPr>
          <w:rFonts w:ascii="Arial" w:hAnsi="Arial"/>
          <w:szCs w:val="22"/>
        </w:rPr>
        <w:t>Внутрішня фінансова норма прибутку (FRR) розрахов</w:t>
      </w:r>
      <w:r w:rsidR="00CB1B48" w:rsidRPr="003E2303">
        <w:rPr>
          <w:rFonts w:ascii="Arial" w:hAnsi="Arial"/>
          <w:szCs w:val="22"/>
        </w:rPr>
        <w:t>ана</w:t>
      </w:r>
      <w:r w:rsidRPr="003E2303">
        <w:rPr>
          <w:rFonts w:ascii="Arial" w:hAnsi="Arial"/>
          <w:szCs w:val="22"/>
        </w:rPr>
        <w:t xml:space="preserve"> у розмірі </w:t>
      </w:r>
      <w:r w:rsidRPr="003E2303">
        <w:rPr>
          <w:rFonts w:ascii="Arial" w:hAnsi="Arial"/>
          <w:b/>
          <w:szCs w:val="22"/>
        </w:rPr>
        <w:t>3,19%</w:t>
      </w:r>
      <w:r w:rsidRPr="003E2303">
        <w:rPr>
          <w:rFonts w:ascii="Arial" w:hAnsi="Arial"/>
          <w:szCs w:val="22"/>
        </w:rPr>
        <w:t xml:space="preserve"> , а фінансова чиста поточна вартість (FNPV) - </w:t>
      </w:r>
      <w:r w:rsidRPr="003E2303">
        <w:rPr>
          <w:rFonts w:ascii="Arial" w:hAnsi="Arial"/>
          <w:b/>
          <w:szCs w:val="22"/>
        </w:rPr>
        <w:t xml:space="preserve">2 502 </w:t>
      </w:r>
      <w:r w:rsidRPr="003E2303">
        <w:rPr>
          <w:rFonts w:ascii="Arial" w:hAnsi="Arial"/>
          <w:szCs w:val="22"/>
        </w:rPr>
        <w:t>млн. Євро, що також є позитивним параметром.</w:t>
      </w:r>
      <w:r w:rsidR="00CB1B48" w:rsidRPr="003E2303">
        <w:rPr>
          <w:rFonts w:ascii="Arial" w:hAnsi="Arial"/>
          <w:szCs w:val="22"/>
        </w:rPr>
        <w:t xml:space="preserve"> </w:t>
      </w:r>
      <w:r w:rsidRPr="003E2303">
        <w:rPr>
          <w:rFonts w:ascii="Arial" w:hAnsi="Arial"/>
          <w:szCs w:val="22"/>
        </w:rPr>
        <w:t>Обидва параметри визначають, що проект буде прибутковим для ЛВК</w:t>
      </w:r>
      <w:r w:rsidR="00CB1B48" w:rsidRPr="003E2303">
        <w:rPr>
          <w:rFonts w:ascii="Arial" w:hAnsi="Arial"/>
          <w:szCs w:val="22"/>
        </w:rPr>
        <w:t>, тобто</w:t>
      </w:r>
      <w:r w:rsidRPr="003E2303">
        <w:rPr>
          <w:rFonts w:ascii="Arial" w:hAnsi="Arial"/>
          <w:szCs w:val="22"/>
        </w:rPr>
        <w:t xml:space="preserve"> витрати за проектом будуть компенсовані вигодами за проектом.</w:t>
      </w:r>
      <w:r w:rsidR="00CB1B48">
        <w:rPr>
          <w:rFonts w:ascii="Arial" w:hAnsi="Arial"/>
          <w:szCs w:val="22"/>
        </w:rPr>
        <w:t xml:space="preserve"> </w:t>
      </w:r>
    </w:p>
    <w:p w:rsidR="00FA2775" w:rsidRPr="00337277" w:rsidRDefault="00FA2775" w:rsidP="00C14EEF">
      <w:pPr>
        <w:autoSpaceDE w:val="0"/>
        <w:autoSpaceDN w:val="0"/>
        <w:adjustRightInd w:val="0"/>
        <w:rPr>
          <w:rFonts w:ascii="Arial" w:eastAsiaTheme="minorHAnsi" w:hAnsi="Arial" w:cs="Arial"/>
          <w:szCs w:val="22"/>
          <w:highlight w:val="yellow"/>
          <w:lang w:val="ru-RU" w:eastAsia="en-US"/>
        </w:rPr>
      </w:pPr>
    </w:p>
    <w:p w:rsidR="00FA2775" w:rsidRPr="006161DA" w:rsidRDefault="00FA2775" w:rsidP="00C14EEF">
      <w:pPr>
        <w:autoSpaceDE w:val="0"/>
        <w:autoSpaceDN w:val="0"/>
        <w:adjustRightInd w:val="0"/>
        <w:rPr>
          <w:rFonts w:ascii="Arial" w:eastAsiaTheme="minorHAnsi" w:hAnsi="Arial" w:cs="Arial"/>
          <w:szCs w:val="22"/>
        </w:rPr>
      </w:pPr>
      <w:r>
        <w:rPr>
          <w:rFonts w:ascii="Arial" w:hAnsi="Arial"/>
          <w:szCs w:val="22"/>
        </w:rPr>
        <w:t>Внутрішня економічна норма прибутку</w:t>
      </w:r>
      <w:r w:rsidR="00CB1B48">
        <w:rPr>
          <w:rFonts w:ascii="Arial" w:hAnsi="Arial"/>
          <w:szCs w:val="22"/>
        </w:rPr>
        <w:t xml:space="preserve"> </w:t>
      </w:r>
      <w:r>
        <w:rPr>
          <w:rFonts w:ascii="Arial" w:hAnsi="Arial"/>
          <w:szCs w:val="22"/>
        </w:rPr>
        <w:t xml:space="preserve">(ERR) становить </w:t>
      </w:r>
      <w:r w:rsidR="003E2303" w:rsidRPr="00337277">
        <w:rPr>
          <w:rFonts w:ascii="Arial" w:eastAsiaTheme="minorHAnsi" w:hAnsi="Arial" w:cs="Arial"/>
          <w:b/>
          <w:szCs w:val="22"/>
          <w:lang w:val="ru-RU" w:eastAsia="en-US"/>
        </w:rPr>
        <w:t>7,51</w:t>
      </w:r>
      <w:r>
        <w:rPr>
          <w:rFonts w:ascii="Arial" w:hAnsi="Arial"/>
          <w:szCs w:val="22"/>
        </w:rPr>
        <w:t>%, а економічна чиста поточна вартість</w:t>
      </w:r>
      <w:r w:rsidR="00CB1B48">
        <w:rPr>
          <w:rFonts w:ascii="Arial" w:hAnsi="Arial"/>
          <w:szCs w:val="22"/>
        </w:rPr>
        <w:t xml:space="preserve"> </w:t>
      </w:r>
      <w:r>
        <w:rPr>
          <w:rFonts w:ascii="Arial" w:hAnsi="Arial"/>
          <w:szCs w:val="22"/>
        </w:rPr>
        <w:t xml:space="preserve">(ENPV) - </w:t>
      </w:r>
      <w:r>
        <w:rPr>
          <w:rFonts w:ascii="Arial" w:hAnsi="Arial"/>
          <w:b/>
          <w:szCs w:val="22"/>
        </w:rPr>
        <w:t>15 285</w:t>
      </w:r>
      <w:r>
        <w:rPr>
          <w:rFonts w:ascii="Arial" w:hAnsi="Arial"/>
          <w:szCs w:val="22"/>
        </w:rPr>
        <w:t xml:space="preserve"> млн Євро.</w:t>
      </w:r>
      <w:r w:rsidR="00CB1B48">
        <w:rPr>
          <w:rFonts w:ascii="Arial" w:hAnsi="Arial"/>
          <w:szCs w:val="22"/>
        </w:rPr>
        <w:t xml:space="preserve"> </w:t>
      </w:r>
      <w:r>
        <w:rPr>
          <w:rFonts w:ascii="Arial" w:hAnsi="Arial"/>
          <w:szCs w:val="22"/>
        </w:rPr>
        <w:t xml:space="preserve">Співвідношення </w:t>
      </w:r>
      <w:r w:rsidR="00CB1B48">
        <w:rPr>
          <w:rFonts w:ascii="Arial" w:hAnsi="Arial"/>
          <w:szCs w:val="22"/>
        </w:rPr>
        <w:t xml:space="preserve">вигід </w:t>
      </w:r>
      <w:r>
        <w:rPr>
          <w:rFonts w:ascii="Arial" w:hAnsi="Arial"/>
          <w:szCs w:val="22"/>
        </w:rPr>
        <w:t>та витрат</w:t>
      </w:r>
      <w:r w:rsidR="00CB1B48">
        <w:rPr>
          <w:rFonts w:ascii="Arial" w:hAnsi="Arial"/>
          <w:szCs w:val="22"/>
        </w:rPr>
        <w:t xml:space="preserve"> </w:t>
      </w:r>
      <w:r>
        <w:rPr>
          <w:rFonts w:ascii="Arial" w:hAnsi="Arial"/>
          <w:szCs w:val="22"/>
        </w:rPr>
        <w:t xml:space="preserve">- </w:t>
      </w:r>
      <w:r>
        <w:rPr>
          <w:rFonts w:ascii="Arial" w:hAnsi="Arial"/>
          <w:b/>
          <w:szCs w:val="22"/>
        </w:rPr>
        <w:t>3,05</w:t>
      </w:r>
      <w:r>
        <w:rPr>
          <w:rFonts w:ascii="Arial" w:hAnsi="Arial"/>
          <w:szCs w:val="22"/>
        </w:rPr>
        <w:t>.</w:t>
      </w:r>
      <w:r w:rsidR="00CB1B48">
        <w:rPr>
          <w:rFonts w:ascii="Arial" w:hAnsi="Arial"/>
          <w:szCs w:val="22"/>
        </w:rPr>
        <w:t xml:space="preserve"> </w:t>
      </w:r>
      <w:r>
        <w:rPr>
          <w:rFonts w:ascii="Arial" w:hAnsi="Arial"/>
          <w:szCs w:val="22"/>
        </w:rPr>
        <w:t xml:space="preserve">Проект сприяє підвищенню якості та надійності надання послуг з водопостачання та вирішить питання реконструкції очисних споруд міста Луцьк. </w:t>
      </w:r>
    </w:p>
    <w:p w:rsidR="00FA2775" w:rsidRPr="00337277" w:rsidRDefault="00FA2775" w:rsidP="00C14EEF">
      <w:pPr>
        <w:autoSpaceDE w:val="0"/>
        <w:autoSpaceDN w:val="0"/>
        <w:adjustRightInd w:val="0"/>
        <w:rPr>
          <w:rFonts w:ascii="Arial" w:eastAsiaTheme="minorHAnsi" w:hAnsi="Arial" w:cs="Arial"/>
          <w:szCs w:val="22"/>
          <w:highlight w:val="yellow"/>
          <w:lang w:eastAsia="en-US"/>
        </w:rPr>
      </w:pPr>
    </w:p>
    <w:p w:rsidR="00FA2775" w:rsidRDefault="00FA2775" w:rsidP="00C14EEF">
      <w:pPr>
        <w:autoSpaceDE w:val="0"/>
        <w:autoSpaceDN w:val="0"/>
        <w:adjustRightInd w:val="0"/>
        <w:rPr>
          <w:rFonts w:ascii="Arial" w:eastAsiaTheme="minorHAnsi" w:hAnsi="Arial" w:cs="Arial"/>
          <w:szCs w:val="22"/>
        </w:rPr>
      </w:pPr>
      <w:r>
        <w:rPr>
          <w:rFonts w:ascii="Arial" w:hAnsi="Arial"/>
          <w:szCs w:val="22"/>
        </w:rPr>
        <w:t xml:space="preserve">Інші очікувані економічні вигоди - це зменшення негативного впливу на </w:t>
      </w:r>
      <w:r w:rsidR="00CB1B48">
        <w:rPr>
          <w:rFonts w:ascii="Arial" w:hAnsi="Arial"/>
          <w:szCs w:val="22"/>
        </w:rPr>
        <w:t>довкілля</w:t>
      </w:r>
      <w:r>
        <w:rPr>
          <w:rFonts w:ascii="Arial" w:hAnsi="Arial"/>
          <w:szCs w:val="22"/>
        </w:rPr>
        <w:t>, медичних витрат на лікування захворювань через якість води та водовідведення, поліпшення продуктивності та побутових умов, економія домогосподарств та додаткове економічне зростання.</w:t>
      </w:r>
      <w:r w:rsidR="00CB1B48">
        <w:rPr>
          <w:rFonts w:ascii="Arial" w:hAnsi="Arial"/>
          <w:szCs w:val="22"/>
        </w:rPr>
        <w:t xml:space="preserve"> </w:t>
      </w:r>
      <w:r>
        <w:rPr>
          <w:rFonts w:ascii="Arial" w:hAnsi="Arial"/>
          <w:szCs w:val="22"/>
        </w:rPr>
        <w:t xml:space="preserve">Загальна економічна вигода становить </w:t>
      </w:r>
      <w:r>
        <w:rPr>
          <w:rFonts w:ascii="Arial" w:hAnsi="Arial"/>
          <w:b/>
          <w:szCs w:val="22"/>
        </w:rPr>
        <w:t>32 608</w:t>
      </w:r>
      <w:r>
        <w:rPr>
          <w:rFonts w:ascii="Arial" w:hAnsi="Arial"/>
          <w:szCs w:val="22"/>
        </w:rPr>
        <w:t xml:space="preserve"> млн. Євро.</w:t>
      </w:r>
    </w:p>
    <w:p w:rsidR="00FA2775" w:rsidRPr="00337277" w:rsidRDefault="00FA2775" w:rsidP="00C14EEF">
      <w:pPr>
        <w:autoSpaceDE w:val="0"/>
        <w:autoSpaceDN w:val="0"/>
        <w:adjustRightInd w:val="0"/>
        <w:rPr>
          <w:rFonts w:ascii="Arial" w:eastAsiaTheme="minorHAnsi" w:hAnsi="Arial" w:cs="Arial"/>
          <w:szCs w:val="22"/>
          <w:lang w:eastAsia="en-US"/>
        </w:rPr>
      </w:pPr>
    </w:p>
    <w:p w:rsidR="00FA2775" w:rsidRDefault="00FA2775" w:rsidP="00C14EEF">
      <w:pPr>
        <w:autoSpaceDE w:val="0"/>
        <w:autoSpaceDN w:val="0"/>
        <w:adjustRightInd w:val="0"/>
        <w:rPr>
          <w:rFonts w:ascii="Arial" w:eastAsiaTheme="minorHAnsi" w:hAnsi="Arial" w:cs="Arial"/>
          <w:szCs w:val="22"/>
        </w:rPr>
      </w:pPr>
      <w:r>
        <w:rPr>
          <w:rFonts w:ascii="Arial" w:hAnsi="Arial"/>
          <w:szCs w:val="22"/>
        </w:rPr>
        <w:t>Результати аналізу чутливості також демонструють стійкість проекту до майбутньої доступності тарифів у разі значних змін таких змінних як збільшення банківського відсотку або суми позики.</w:t>
      </w:r>
    </w:p>
    <w:p w:rsidR="00FA2775" w:rsidRPr="00337277" w:rsidRDefault="00FA2775" w:rsidP="00C14EEF">
      <w:pPr>
        <w:autoSpaceDE w:val="0"/>
        <w:autoSpaceDN w:val="0"/>
        <w:adjustRightInd w:val="0"/>
        <w:rPr>
          <w:rFonts w:ascii="Arial" w:eastAsiaTheme="minorHAnsi" w:hAnsi="Arial" w:cs="Arial"/>
          <w:szCs w:val="22"/>
          <w:lang w:eastAsia="en-US"/>
        </w:rPr>
      </w:pPr>
    </w:p>
    <w:p w:rsidR="00FA2775" w:rsidRDefault="00FA2775" w:rsidP="00C14EEF">
      <w:pPr>
        <w:autoSpaceDE w:val="0"/>
        <w:autoSpaceDN w:val="0"/>
        <w:adjustRightInd w:val="0"/>
        <w:rPr>
          <w:rFonts w:ascii="Arial" w:eastAsiaTheme="minorHAnsi" w:hAnsi="Arial" w:cs="Arial"/>
          <w:szCs w:val="22"/>
        </w:rPr>
      </w:pPr>
      <w:r>
        <w:rPr>
          <w:rFonts w:ascii="Arial" w:hAnsi="Arial"/>
          <w:szCs w:val="22"/>
        </w:rPr>
        <w:t>На основі цього звіту можна зробити наступний висновок: економічні вигоди проекту - це вагомий внесок у соціальний, екологічний та економічний сектори м. Луцьк</w:t>
      </w:r>
      <w:r w:rsidR="00CB1B48">
        <w:rPr>
          <w:rFonts w:ascii="Arial" w:hAnsi="Arial"/>
          <w:szCs w:val="22"/>
        </w:rPr>
        <w:t xml:space="preserve"> </w:t>
      </w:r>
      <w:r>
        <w:rPr>
          <w:rFonts w:ascii="Arial" w:hAnsi="Arial"/>
          <w:szCs w:val="22"/>
        </w:rPr>
        <w:t>та є важливими для надійної роботи системи водопостачання та водовідведення КП Луцькводоканал.</w:t>
      </w:r>
    </w:p>
    <w:p w:rsidR="00FA2775" w:rsidRPr="00337277" w:rsidRDefault="00FA2775" w:rsidP="00C14EEF">
      <w:pPr>
        <w:autoSpaceDE w:val="0"/>
        <w:autoSpaceDN w:val="0"/>
        <w:adjustRightInd w:val="0"/>
        <w:rPr>
          <w:rFonts w:ascii="Arial" w:eastAsiaTheme="minorHAnsi" w:hAnsi="Arial" w:cs="Arial"/>
          <w:szCs w:val="22"/>
          <w:lang w:eastAsia="en-US"/>
        </w:rPr>
      </w:pPr>
    </w:p>
    <w:p w:rsidR="00FA2775" w:rsidRDefault="00FA2775" w:rsidP="00C14EEF">
      <w:pPr>
        <w:pStyle w:val="HydrophilStandardFett"/>
        <w:spacing w:before="0" w:after="0"/>
        <w:contextualSpacing w:val="0"/>
        <w:rPr>
          <w:rFonts w:ascii="Arial" w:eastAsiaTheme="minorHAnsi" w:hAnsi="Arial" w:cs="Arial"/>
          <w:b w:val="0"/>
          <w:noProof w:val="0"/>
          <w:szCs w:val="22"/>
        </w:rPr>
      </w:pPr>
      <w:r>
        <w:rPr>
          <w:rFonts w:ascii="Arial" w:hAnsi="Arial"/>
          <w:b w:val="0"/>
          <w:szCs w:val="22"/>
        </w:rPr>
        <w:t>Консультант пропонує розглядати цей проект як проект із очевидними соціоекономічними вигодами та показниками захисту довкілля</w:t>
      </w:r>
      <w:r w:rsidR="00CB1B48">
        <w:rPr>
          <w:rFonts w:ascii="Arial" w:hAnsi="Arial"/>
          <w:b w:val="0"/>
          <w:szCs w:val="22"/>
        </w:rPr>
        <w:t xml:space="preserve"> </w:t>
      </w:r>
      <w:r>
        <w:rPr>
          <w:rFonts w:ascii="Arial" w:hAnsi="Arial"/>
          <w:b w:val="0"/>
          <w:szCs w:val="22"/>
        </w:rPr>
        <w:t>для подальшого прийняття рішення щодо розподілення коштів за позикою.</w:t>
      </w:r>
    </w:p>
    <w:p w:rsidR="006E1534" w:rsidRPr="00FA2775" w:rsidRDefault="006E1534" w:rsidP="00C14EEF">
      <w:pPr>
        <w:pStyle w:val="HydrophilStandardFett"/>
        <w:spacing w:before="0" w:after="0"/>
        <w:contextualSpacing w:val="0"/>
        <w:rPr>
          <w:noProof w:val="0"/>
        </w:rPr>
      </w:pPr>
    </w:p>
    <w:p w:rsidR="00B47C77" w:rsidRDefault="00B47C77" w:rsidP="00C14EEF">
      <w:pPr>
        <w:pStyle w:val="HydrophilStandardFett"/>
        <w:spacing w:before="0" w:after="0"/>
        <w:contextualSpacing w:val="0"/>
        <w:rPr>
          <w:noProof w:val="0"/>
        </w:rPr>
      </w:pPr>
      <w:r>
        <w:br w:type="page"/>
      </w:r>
    </w:p>
    <w:p w:rsidR="006E1534" w:rsidRPr="0064329D" w:rsidRDefault="006E1534" w:rsidP="00C14EEF">
      <w:pPr>
        <w:pStyle w:val="1"/>
        <w:spacing w:before="0" w:after="0"/>
        <w:contextualSpacing w:val="0"/>
        <w:rPr>
          <w:noProof w:val="0"/>
        </w:rPr>
      </w:pPr>
      <w:bookmarkStart w:id="8" w:name="_Ref15246815"/>
      <w:bookmarkStart w:id="9" w:name="_Ref15246832"/>
      <w:bookmarkStart w:id="10" w:name="_Toc48392526"/>
      <w:r>
        <w:t>Вступ</w:t>
      </w:r>
      <w:bookmarkEnd w:id="8"/>
      <w:bookmarkEnd w:id="9"/>
      <w:bookmarkEnd w:id="10"/>
      <w:r>
        <w:t xml:space="preserve"> </w:t>
      </w:r>
    </w:p>
    <w:p w:rsidR="00F019D4" w:rsidRPr="00944570" w:rsidRDefault="006A2094" w:rsidP="00C14EEF">
      <w:pPr>
        <w:pStyle w:val="HydrophilStandard"/>
        <w:spacing w:after="0"/>
        <w:contextualSpacing w:val="0"/>
        <w:rPr>
          <w:rFonts w:ascii="Arial" w:hAnsi="Arial" w:cs="Arial"/>
          <w:noProof w:val="0"/>
          <w:color w:val="000000"/>
          <w:szCs w:val="22"/>
        </w:rPr>
      </w:pPr>
      <w:r>
        <w:rPr>
          <w:rFonts w:ascii="Arial" w:hAnsi="Arial"/>
          <w:color w:val="000000"/>
          <w:szCs w:val="22"/>
        </w:rPr>
        <w:t>Цей фінансово-економічний звіт включа</w:t>
      </w:r>
      <w:r w:rsidR="003E2303">
        <w:rPr>
          <w:rFonts w:ascii="Arial" w:hAnsi="Arial"/>
          <w:color w:val="000000"/>
          <w:szCs w:val="22"/>
        </w:rPr>
        <w:t>є</w:t>
      </w:r>
      <w:r>
        <w:rPr>
          <w:rFonts w:ascii="Arial" w:hAnsi="Arial"/>
          <w:color w:val="000000"/>
          <w:szCs w:val="22"/>
        </w:rPr>
        <w:t xml:space="preserve"> огляд наявних фінансових звітів та економічних даних, доступних Бенефіціару за проектом. </w:t>
      </w:r>
    </w:p>
    <w:p w:rsidR="00F019D4" w:rsidRPr="00337277" w:rsidRDefault="00F019D4" w:rsidP="00C14EEF">
      <w:pPr>
        <w:pStyle w:val="HydrophilStandard"/>
        <w:spacing w:after="0"/>
        <w:contextualSpacing w:val="0"/>
        <w:rPr>
          <w:rFonts w:ascii="Arial" w:hAnsi="Arial" w:cs="Arial"/>
          <w:noProof w:val="0"/>
          <w:color w:val="000000"/>
          <w:szCs w:val="22"/>
          <w:lang w:val="ru-RU"/>
        </w:rPr>
      </w:pPr>
    </w:p>
    <w:p w:rsidR="00E57C74" w:rsidRPr="00944570" w:rsidRDefault="0064329D" w:rsidP="00C14EEF">
      <w:pPr>
        <w:pStyle w:val="HydrophilStandard"/>
        <w:spacing w:after="0"/>
        <w:contextualSpacing w:val="0"/>
        <w:rPr>
          <w:rFonts w:ascii="Arial" w:hAnsi="Arial" w:cs="Arial"/>
          <w:noProof w:val="0"/>
          <w:color w:val="000000"/>
          <w:szCs w:val="22"/>
        </w:rPr>
      </w:pPr>
      <w:r>
        <w:rPr>
          <w:rFonts w:ascii="Arial" w:hAnsi="Arial"/>
          <w:color w:val="000000"/>
          <w:szCs w:val="22"/>
        </w:rPr>
        <w:t>Фінансово-економічний звіт є однією з частин техніко-економічного обґрунтування,</w:t>
      </w:r>
      <w:r w:rsidR="003E2303">
        <w:rPr>
          <w:rFonts w:ascii="Arial" w:hAnsi="Arial"/>
          <w:color w:val="000000"/>
          <w:szCs w:val="22"/>
        </w:rPr>
        <w:t xml:space="preserve"> </w:t>
      </w:r>
      <w:r>
        <w:rPr>
          <w:rFonts w:ascii="Arial" w:hAnsi="Arial"/>
          <w:color w:val="000000"/>
          <w:szCs w:val="22"/>
        </w:rPr>
        <w:t xml:space="preserve">направлений на оцінку розвитку Довгострокового інвестиційного плану та Програми пріоритетного інвестиційного плану. </w:t>
      </w:r>
    </w:p>
    <w:p w:rsidR="00E57C74" w:rsidRPr="00337277" w:rsidRDefault="00E57C74" w:rsidP="00C14EEF">
      <w:pPr>
        <w:pStyle w:val="HydrophilStandard"/>
        <w:spacing w:after="0"/>
        <w:contextualSpacing w:val="0"/>
        <w:rPr>
          <w:rFonts w:ascii="Arial" w:hAnsi="Arial" w:cs="Arial"/>
          <w:noProof w:val="0"/>
          <w:color w:val="000000"/>
          <w:szCs w:val="22"/>
          <w:lang w:val="ru-RU"/>
        </w:rPr>
      </w:pPr>
    </w:p>
    <w:p w:rsidR="00E57C74" w:rsidRPr="00944570" w:rsidRDefault="00E57C74" w:rsidP="00C14EEF">
      <w:pPr>
        <w:pStyle w:val="HydrophilStandard"/>
        <w:spacing w:after="0"/>
        <w:contextualSpacing w:val="0"/>
        <w:rPr>
          <w:rFonts w:ascii="Arial" w:hAnsi="Arial" w:cs="Arial"/>
          <w:noProof w:val="0"/>
          <w:color w:val="000000"/>
          <w:szCs w:val="22"/>
          <w:highlight w:val="yellow"/>
        </w:rPr>
      </w:pPr>
      <w:r>
        <w:rPr>
          <w:rFonts w:ascii="Arial" w:hAnsi="Arial"/>
          <w:color w:val="000000"/>
          <w:szCs w:val="22"/>
        </w:rPr>
        <w:t>Фінансово-економічний звіт побудований на основі завдань та відповідних методологій ЄС та ЄІБ.</w:t>
      </w:r>
    </w:p>
    <w:p w:rsidR="00E57C74" w:rsidRPr="00337277" w:rsidRDefault="00E57C74" w:rsidP="00C14EEF">
      <w:pPr>
        <w:pStyle w:val="HydrophilStandard"/>
        <w:spacing w:after="0"/>
        <w:contextualSpacing w:val="0"/>
        <w:rPr>
          <w:rFonts w:ascii="Arial" w:hAnsi="Arial" w:cs="Arial"/>
          <w:noProof w:val="0"/>
          <w:color w:val="000000"/>
          <w:szCs w:val="22"/>
          <w:highlight w:val="yellow"/>
          <w:lang w:val="ru-RU"/>
        </w:rPr>
      </w:pPr>
    </w:p>
    <w:p w:rsidR="006A2094" w:rsidRDefault="006A2094" w:rsidP="00C14EEF">
      <w:pPr>
        <w:pStyle w:val="a8"/>
        <w:spacing w:after="0"/>
        <w:rPr>
          <w:rFonts w:ascii="Arial" w:hAnsi="Arial"/>
          <w:noProof/>
          <w:color w:val="000000"/>
          <w:szCs w:val="22"/>
        </w:rPr>
      </w:pPr>
      <w:r>
        <w:rPr>
          <w:rFonts w:ascii="Arial" w:hAnsi="Arial"/>
          <w:szCs w:val="22"/>
        </w:rPr>
        <w:t>Фінансовий аналіз ґрунтується на фінансових звітах КП Луцькводоканал (форма №1 «Баланс», форма №2 «Звіт про фінансові результати» та Форма № 3 «Звіт про ру</w:t>
      </w:r>
      <w:r w:rsidR="003E2303">
        <w:rPr>
          <w:rFonts w:ascii="Arial" w:hAnsi="Arial"/>
          <w:szCs w:val="22"/>
        </w:rPr>
        <w:t xml:space="preserve">х грошових коштів» за 2014-2019 </w:t>
      </w:r>
      <w:r>
        <w:rPr>
          <w:rFonts w:ascii="Arial" w:hAnsi="Arial"/>
          <w:szCs w:val="22"/>
        </w:rPr>
        <w:t xml:space="preserve">фіскальні </w:t>
      </w:r>
      <w:r w:rsidR="00CB1B48">
        <w:rPr>
          <w:rFonts w:ascii="Arial" w:hAnsi="Arial"/>
          <w:szCs w:val="22"/>
        </w:rPr>
        <w:t xml:space="preserve"> </w:t>
      </w:r>
      <w:r>
        <w:rPr>
          <w:rFonts w:ascii="Arial" w:hAnsi="Arial"/>
          <w:szCs w:val="22"/>
        </w:rPr>
        <w:t>роки.</w:t>
      </w:r>
      <w:r w:rsidR="00CB1B48">
        <w:rPr>
          <w:rFonts w:ascii="Arial" w:hAnsi="Arial"/>
          <w:szCs w:val="22"/>
        </w:rPr>
        <w:t xml:space="preserve"> </w:t>
      </w:r>
      <w:r>
        <w:rPr>
          <w:rFonts w:ascii="Arial" w:hAnsi="Arial"/>
          <w:szCs w:val="22"/>
        </w:rPr>
        <w:t xml:space="preserve">У якості розумного демонстративного проміжку часу </w:t>
      </w:r>
      <w:r w:rsidRPr="003E2303">
        <w:rPr>
          <w:rFonts w:ascii="Arial" w:hAnsi="Arial"/>
          <w:noProof/>
          <w:color w:val="000000"/>
          <w:szCs w:val="22"/>
        </w:rPr>
        <w:t>(замість періоду у 3 роки) обрано звітний період у 6 років.</w:t>
      </w:r>
    </w:p>
    <w:p w:rsidR="003E2303" w:rsidRPr="003E2303" w:rsidRDefault="003E2303" w:rsidP="00C14EEF">
      <w:pPr>
        <w:pStyle w:val="a8"/>
        <w:spacing w:after="0"/>
        <w:rPr>
          <w:rFonts w:ascii="Arial" w:hAnsi="Arial"/>
          <w:noProof/>
          <w:color w:val="000000"/>
          <w:szCs w:val="22"/>
        </w:rPr>
      </w:pPr>
    </w:p>
    <w:p w:rsidR="006A2094" w:rsidRPr="003E2303" w:rsidRDefault="006A2094" w:rsidP="00C14EEF">
      <w:pPr>
        <w:pStyle w:val="a8"/>
        <w:spacing w:after="0"/>
        <w:rPr>
          <w:rFonts w:ascii="Arial" w:hAnsi="Arial"/>
          <w:szCs w:val="22"/>
        </w:rPr>
      </w:pPr>
      <w:r>
        <w:rPr>
          <w:rFonts w:ascii="Arial" w:hAnsi="Arial"/>
          <w:szCs w:val="22"/>
        </w:rPr>
        <w:t>Проведено кілька видів фінансового аналізу КП Луцькводоканал:</w:t>
      </w:r>
    </w:p>
    <w:p w:rsidR="006A2094" w:rsidRPr="00CB71BC" w:rsidRDefault="006A2094" w:rsidP="00C14EEF">
      <w:pPr>
        <w:pStyle w:val="a8"/>
        <w:widowControl w:val="0"/>
        <w:numPr>
          <w:ilvl w:val="0"/>
          <w:numId w:val="28"/>
        </w:numPr>
        <w:spacing w:after="0"/>
        <w:rPr>
          <w:rFonts w:ascii="Arial" w:hAnsi="Arial" w:cs="Arial"/>
          <w:szCs w:val="22"/>
        </w:rPr>
      </w:pPr>
      <w:r>
        <w:rPr>
          <w:rFonts w:ascii="Arial" w:hAnsi="Arial"/>
          <w:szCs w:val="22"/>
        </w:rPr>
        <w:t>Прямий аналіз балансу, звіт про фінансові результати та звіт про рух грошових коштів</w:t>
      </w:r>
    </w:p>
    <w:p w:rsidR="006A2094" w:rsidRPr="00CB71BC" w:rsidRDefault="006A2094" w:rsidP="00C14EEF">
      <w:pPr>
        <w:pStyle w:val="a8"/>
        <w:widowControl w:val="0"/>
        <w:numPr>
          <w:ilvl w:val="0"/>
          <w:numId w:val="28"/>
        </w:numPr>
        <w:spacing w:after="0"/>
        <w:rPr>
          <w:rFonts w:ascii="Arial" w:hAnsi="Arial" w:cs="Arial"/>
          <w:szCs w:val="22"/>
        </w:rPr>
      </w:pPr>
      <w:r>
        <w:rPr>
          <w:rFonts w:ascii="Arial" w:hAnsi="Arial"/>
          <w:szCs w:val="22"/>
        </w:rPr>
        <w:t>Аналіз ключових фінансових коефіцієнтів на основі згаданих вище звітів;</w:t>
      </w:r>
    </w:p>
    <w:p w:rsidR="006A2094" w:rsidRPr="00CB71BC" w:rsidRDefault="006A2094" w:rsidP="00C14EEF">
      <w:pPr>
        <w:pStyle w:val="a8"/>
        <w:widowControl w:val="0"/>
        <w:numPr>
          <w:ilvl w:val="0"/>
          <w:numId w:val="28"/>
        </w:numPr>
        <w:spacing w:after="0"/>
        <w:rPr>
          <w:rFonts w:ascii="Arial" w:hAnsi="Arial" w:cs="Arial"/>
          <w:szCs w:val="22"/>
        </w:rPr>
      </w:pPr>
      <w:r>
        <w:rPr>
          <w:rFonts w:ascii="Arial" w:hAnsi="Arial"/>
          <w:szCs w:val="22"/>
        </w:rPr>
        <w:t>Аналіз витрат, тарифів, платежів, ПДВ.</w:t>
      </w:r>
    </w:p>
    <w:p w:rsidR="006A2094" w:rsidRPr="00CB71BC" w:rsidRDefault="006A2094" w:rsidP="00C14EEF">
      <w:pPr>
        <w:pStyle w:val="a8"/>
        <w:spacing w:after="0"/>
        <w:ind w:left="1134"/>
        <w:rPr>
          <w:rFonts w:ascii="Arial" w:hAnsi="Arial" w:cs="Arial"/>
          <w:szCs w:val="22"/>
        </w:rPr>
      </w:pPr>
    </w:p>
    <w:p w:rsidR="006A2094" w:rsidRPr="00CB71BC" w:rsidRDefault="006A2094" w:rsidP="00C14EEF">
      <w:pPr>
        <w:pStyle w:val="a8"/>
        <w:spacing w:after="0"/>
        <w:rPr>
          <w:rFonts w:ascii="Arial" w:hAnsi="Arial" w:cs="Arial"/>
          <w:szCs w:val="22"/>
        </w:rPr>
      </w:pPr>
      <w:r>
        <w:rPr>
          <w:rFonts w:ascii="Arial" w:hAnsi="Arial"/>
          <w:szCs w:val="22"/>
        </w:rPr>
        <w:t>Результати цього аналізу представлені в підрозділах нижче.</w:t>
      </w:r>
    </w:p>
    <w:p w:rsidR="00D72AE7" w:rsidRPr="00337277" w:rsidRDefault="00D72AE7" w:rsidP="00C14EEF">
      <w:pPr>
        <w:pStyle w:val="HydrophilStandard"/>
        <w:spacing w:after="0"/>
        <w:contextualSpacing w:val="0"/>
        <w:rPr>
          <w:noProof w:val="0"/>
          <w:szCs w:val="22"/>
          <w:lang w:val="ru-RU"/>
        </w:rPr>
      </w:pPr>
    </w:p>
    <w:p w:rsidR="006E1534" w:rsidRPr="00337277" w:rsidRDefault="006E1534" w:rsidP="00C14EEF">
      <w:pPr>
        <w:pStyle w:val="HydrophilStandard"/>
        <w:spacing w:after="0"/>
        <w:contextualSpacing w:val="0"/>
        <w:rPr>
          <w:noProof w:val="0"/>
          <w:szCs w:val="22"/>
          <w:lang w:val="ru-RU"/>
        </w:rPr>
      </w:pPr>
    </w:p>
    <w:p w:rsidR="006E1534" w:rsidRPr="0064329D" w:rsidRDefault="007C3F13" w:rsidP="00C14EEF">
      <w:pPr>
        <w:pStyle w:val="1"/>
        <w:spacing w:before="0" w:after="0"/>
        <w:contextualSpacing w:val="0"/>
        <w:rPr>
          <w:noProof w:val="0"/>
        </w:rPr>
      </w:pPr>
      <w:bookmarkStart w:id="11" w:name="_Toc48392527"/>
      <w:r>
        <w:t>Фінансові звіти за 2014-2019 роки</w:t>
      </w:r>
      <w:bookmarkEnd w:id="11"/>
    </w:p>
    <w:p w:rsidR="006E1534" w:rsidRPr="0064329D" w:rsidRDefault="007C3F13" w:rsidP="00C14EEF">
      <w:pPr>
        <w:pStyle w:val="2"/>
        <w:spacing w:before="0" w:after="0"/>
        <w:contextualSpacing w:val="0"/>
        <w:rPr>
          <w:noProof w:val="0"/>
        </w:rPr>
      </w:pPr>
      <w:bookmarkStart w:id="12" w:name="_Toc48392528"/>
      <w:r>
        <w:t>Баланс</w:t>
      </w:r>
      <w:bookmarkEnd w:id="12"/>
    </w:p>
    <w:p w:rsidR="00067808" w:rsidRDefault="00067808" w:rsidP="00C14EEF">
      <w:pPr>
        <w:shd w:val="clear" w:color="auto" w:fill="FFFFFF"/>
        <w:rPr>
          <w:rFonts w:ascii="Arial" w:hAnsi="Arial"/>
          <w:szCs w:val="22"/>
        </w:rPr>
      </w:pPr>
      <w:bookmarkStart w:id="13" w:name="_Hlk15222447"/>
      <w:r>
        <w:rPr>
          <w:rFonts w:ascii="Arial" w:hAnsi="Arial"/>
          <w:szCs w:val="22"/>
        </w:rPr>
        <w:t xml:space="preserve">Балансовий звіт - один з трьох фінансових документів, які перевіряє будь-який інвестор під час дослідження компанії, яку розглядають із метою інвестування. Два інші - звіт про доходи, а також звіт про рух грошових коштів, де розглядається джерело доходу та статті витрат компанії. Балансовий звіт - найбільш простий з усіх трьох. </w:t>
      </w:r>
    </w:p>
    <w:p w:rsidR="00A25DAB" w:rsidRPr="00CB71BC" w:rsidRDefault="00A25DAB" w:rsidP="00C14EEF">
      <w:pPr>
        <w:shd w:val="clear" w:color="auto" w:fill="FFFFFF"/>
        <w:rPr>
          <w:rFonts w:ascii="Arial" w:hAnsi="Arial" w:cs="Arial"/>
          <w:szCs w:val="22"/>
        </w:rPr>
      </w:pPr>
    </w:p>
    <w:p w:rsidR="00067808" w:rsidRPr="00CB71BC" w:rsidRDefault="00067808" w:rsidP="00C14EEF">
      <w:pPr>
        <w:shd w:val="clear" w:color="auto" w:fill="FFFFFF"/>
        <w:rPr>
          <w:rFonts w:ascii="Arial" w:hAnsi="Arial" w:cs="Arial"/>
          <w:szCs w:val="22"/>
        </w:rPr>
      </w:pPr>
      <w:r>
        <w:rPr>
          <w:rFonts w:ascii="Arial" w:hAnsi="Arial"/>
          <w:szCs w:val="22"/>
        </w:rPr>
        <w:t>Основні положення балансового звіту, які вимагають нашої уваги, надані нижче:</w:t>
      </w:r>
    </w:p>
    <w:p w:rsidR="00067808" w:rsidRPr="00CB71BC" w:rsidRDefault="00067808" w:rsidP="00C14EEF">
      <w:pPr>
        <w:numPr>
          <w:ilvl w:val="0"/>
          <w:numId w:val="29"/>
        </w:numPr>
        <w:shd w:val="clear" w:color="auto" w:fill="FFFFFF"/>
        <w:ind w:left="870"/>
        <w:jc w:val="left"/>
        <w:rPr>
          <w:rFonts w:ascii="Arial" w:hAnsi="Arial" w:cs="Arial"/>
          <w:szCs w:val="22"/>
        </w:rPr>
      </w:pPr>
      <w:r>
        <w:rPr>
          <w:rFonts w:ascii="Arial" w:hAnsi="Arial"/>
          <w:bCs/>
          <w:szCs w:val="22"/>
        </w:rPr>
        <w:t>Активи</w:t>
      </w:r>
    </w:p>
    <w:p w:rsidR="00067808" w:rsidRPr="00CB71BC" w:rsidRDefault="00067808" w:rsidP="00C14EEF">
      <w:pPr>
        <w:numPr>
          <w:ilvl w:val="0"/>
          <w:numId w:val="29"/>
        </w:numPr>
        <w:shd w:val="clear" w:color="auto" w:fill="FFFFFF"/>
        <w:ind w:left="870"/>
        <w:jc w:val="left"/>
        <w:rPr>
          <w:rFonts w:ascii="Arial" w:hAnsi="Arial" w:cs="Arial"/>
          <w:szCs w:val="22"/>
        </w:rPr>
      </w:pPr>
      <w:r>
        <w:rPr>
          <w:rFonts w:ascii="Arial" w:hAnsi="Arial"/>
          <w:bCs/>
          <w:szCs w:val="22"/>
        </w:rPr>
        <w:t>Зобов'язання</w:t>
      </w:r>
    </w:p>
    <w:p w:rsidR="00067808" w:rsidRPr="007C3F13" w:rsidRDefault="00067808" w:rsidP="00C14EEF">
      <w:pPr>
        <w:numPr>
          <w:ilvl w:val="0"/>
          <w:numId w:val="29"/>
        </w:numPr>
        <w:shd w:val="clear" w:color="auto" w:fill="FFFFFF"/>
        <w:ind w:left="867" w:hanging="357"/>
        <w:jc w:val="left"/>
        <w:rPr>
          <w:rFonts w:ascii="Arial" w:hAnsi="Arial" w:cs="Arial"/>
          <w:szCs w:val="22"/>
        </w:rPr>
      </w:pPr>
      <w:r>
        <w:rPr>
          <w:rFonts w:ascii="Arial" w:hAnsi="Arial"/>
          <w:bCs/>
          <w:szCs w:val="22"/>
        </w:rPr>
        <w:t>Власний капітал акціонерів</w:t>
      </w:r>
    </w:p>
    <w:p w:rsidR="00067808" w:rsidRDefault="00067808" w:rsidP="00C14EEF">
      <w:pPr>
        <w:shd w:val="clear" w:color="auto" w:fill="FFFFFF"/>
        <w:jc w:val="left"/>
        <w:rPr>
          <w:rFonts w:ascii="Arial" w:hAnsi="Arial" w:cs="Arial"/>
          <w:bCs/>
          <w:szCs w:val="22"/>
          <w:lang w:eastAsia="uk-UA"/>
        </w:rPr>
      </w:pPr>
    </w:p>
    <w:p w:rsidR="00067808" w:rsidRPr="00CB71BC" w:rsidRDefault="00067808" w:rsidP="00C14EEF">
      <w:pPr>
        <w:rPr>
          <w:rFonts w:ascii="Arial" w:hAnsi="Arial" w:cs="Arial"/>
          <w:szCs w:val="22"/>
        </w:rPr>
      </w:pPr>
      <w:r>
        <w:rPr>
          <w:rFonts w:ascii="Arial" w:hAnsi="Arial"/>
          <w:szCs w:val="22"/>
        </w:rPr>
        <w:t>Відповідно до балансу КП Луцькводоканал за 2014-2019 роки (представлений у Таблиці 1)</w:t>
      </w:r>
      <w:r w:rsidR="00A25DAB">
        <w:rPr>
          <w:rFonts w:ascii="Arial" w:hAnsi="Arial"/>
          <w:szCs w:val="22"/>
        </w:rPr>
        <w:t>.</w:t>
      </w:r>
      <w:r>
        <w:rPr>
          <w:rFonts w:ascii="Arial" w:hAnsi="Arial"/>
          <w:szCs w:val="22"/>
        </w:rPr>
        <w:t xml:space="preserve"> Загальна сума активів демонструє позитивну динаміку щодо зростання, незважаючи на помітне зменшення оборотних активів у 2015 фі</w:t>
      </w:r>
      <w:r w:rsidR="00A25DAB">
        <w:rPr>
          <w:rFonts w:ascii="Arial" w:hAnsi="Arial"/>
          <w:szCs w:val="22"/>
        </w:rPr>
        <w:t>скальному</w:t>
      </w:r>
      <w:r>
        <w:rPr>
          <w:rFonts w:ascii="Arial" w:hAnsi="Arial"/>
          <w:szCs w:val="22"/>
        </w:rPr>
        <w:t xml:space="preserve"> році, що було спричинено зменшенням дебіторської заборгованості.</w:t>
      </w:r>
    </w:p>
    <w:p w:rsidR="007C3F13" w:rsidRDefault="007C3F13" w:rsidP="00C14EEF">
      <w:pPr>
        <w:shd w:val="clear" w:color="auto" w:fill="FFFFFF"/>
        <w:jc w:val="left"/>
        <w:rPr>
          <w:rFonts w:ascii="Arial" w:hAnsi="Arial" w:cs="Arial"/>
          <w:bCs/>
          <w:szCs w:val="22"/>
          <w:lang w:eastAsia="uk-UA"/>
        </w:rPr>
      </w:pPr>
    </w:p>
    <w:p w:rsidR="00067808" w:rsidRDefault="00067808" w:rsidP="00C14EEF">
      <w:pPr>
        <w:shd w:val="clear" w:color="auto" w:fill="FFFFFF"/>
        <w:jc w:val="left"/>
        <w:rPr>
          <w:rFonts w:ascii="Arial" w:hAnsi="Arial" w:cs="Arial"/>
          <w:bCs/>
          <w:szCs w:val="22"/>
          <w:lang w:eastAsia="uk-UA"/>
        </w:rPr>
      </w:pPr>
    </w:p>
    <w:p w:rsidR="00067808" w:rsidRDefault="00067808" w:rsidP="00C14EEF">
      <w:pPr>
        <w:shd w:val="clear" w:color="auto" w:fill="FFFFFF"/>
        <w:jc w:val="left"/>
        <w:rPr>
          <w:rFonts w:ascii="Arial" w:hAnsi="Arial" w:cs="Arial"/>
          <w:bCs/>
          <w:szCs w:val="22"/>
          <w:lang w:eastAsia="uk-UA"/>
        </w:rPr>
      </w:pPr>
    </w:p>
    <w:p w:rsidR="00067808" w:rsidRDefault="00067808" w:rsidP="00C14EEF">
      <w:pPr>
        <w:shd w:val="clear" w:color="auto" w:fill="FFFFFF"/>
        <w:jc w:val="left"/>
        <w:rPr>
          <w:rFonts w:ascii="Arial" w:hAnsi="Arial" w:cs="Arial"/>
          <w:bCs/>
          <w:szCs w:val="22"/>
          <w:lang w:eastAsia="uk-UA"/>
        </w:rPr>
      </w:pPr>
    </w:p>
    <w:p w:rsidR="00067808" w:rsidRDefault="00067808" w:rsidP="00C14EEF">
      <w:pPr>
        <w:shd w:val="clear" w:color="auto" w:fill="FFFFFF"/>
        <w:jc w:val="left"/>
        <w:rPr>
          <w:rFonts w:ascii="Arial" w:hAnsi="Arial" w:cs="Arial"/>
          <w:bCs/>
          <w:szCs w:val="22"/>
          <w:lang w:eastAsia="uk-UA"/>
        </w:rPr>
      </w:pPr>
    </w:p>
    <w:p w:rsidR="00067808" w:rsidRDefault="00067808" w:rsidP="00C14EEF">
      <w:pPr>
        <w:shd w:val="clear" w:color="auto" w:fill="FFFFFF"/>
        <w:jc w:val="left"/>
        <w:rPr>
          <w:rFonts w:ascii="Arial" w:hAnsi="Arial" w:cs="Arial"/>
          <w:bCs/>
          <w:szCs w:val="22"/>
          <w:lang w:eastAsia="uk-UA"/>
        </w:rPr>
      </w:pPr>
    </w:p>
    <w:p w:rsidR="00067808" w:rsidRDefault="00067808" w:rsidP="00C14EEF">
      <w:pPr>
        <w:shd w:val="clear" w:color="auto" w:fill="FFFFFF"/>
        <w:jc w:val="left"/>
        <w:rPr>
          <w:rFonts w:ascii="Arial" w:hAnsi="Arial" w:cs="Arial"/>
          <w:bCs/>
          <w:szCs w:val="22"/>
          <w:lang w:eastAsia="uk-UA"/>
        </w:rPr>
      </w:pPr>
    </w:p>
    <w:p w:rsidR="00067808" w:rsidRDefault="00067808" w:rsidP="00C14EEF">
      <w:pPr>
        <w:shd w:val="clear" w:color="auto" w:fill="FFFFFF"/>
        <w:jc w:val="left"/>
        <w:rPr>
          <w:rFonts w:ascii="Arial" w:hAnsi="Arial" w:cs="Arial"/>
          <w:bCs/>
          <w:szCs w:val="22"/>
          <w:lang w:eastAsia="uk-UA"/>
        </w:rPr>
      </w:pPr>
    </w:p>
    <w:p w:rsidR="00067808" w:rsidRDefault="00067808" w:rsidP="00C14EEF">
      <w:pPr>
        <w:shd w:val="clear" w:color="auto" w:fill="FFFFFF"/>
        <w:jc w:val="left"/>
        <w:rPr>
          <w:rFonts w:ascii="Arial" w:hAnsi="Arial" w:cs="Arial"/>
          <w:bCs/>
          <w:szCs w:val="22"/>
          <w:lang w:eastAsia="uk-UA"/>
        </w:rPr>
      </w:pPr>
    </w:p>
    <w:p w:rsidR="004B473F" w:rsidRDefault="004B473F" w:rsidP="00C14EEF">
      <w:pPr>
        <w:shd w:val="clear" w:color="auto" w:fill="FFFFFF"/>
        <w:jc w:val="left"/>
        <w:rPr>
          <w:rFonts w:ascii="Arial" w:hAnsi="Arial" w:cs="Arial"/>
          <w:bCs/>
          <w:szCs w:val="22"/>
          <w:lang w:eastAsia="uk-UA"/>
        </w:rPr>
      </w:pPr>
    </w:p>
    <w:p w:rsidR="00C14EEF" w:rsidRDefault="00C14EEF">
      <w:pPr>
        <w:jc w:val="left"/>
        <w:rPr>
          <w:rFonts w:asciiTheme="minorHAnsi" w:hAnsiTheme="minorHAnsi"/>
          <w:b/>
          <w:bCs/>
          <w:noProof/>
          <w:szCs w:val="18"/>
        </w:rPr>
      </w:pPr>
      <w:r>
        <w:br w:type="page"/>
      </w:r>
    </w:p>
    <w:p w:rsidR="007C3F13" w:rsidRPr="00A06EDC" w:rsidRDefault="007C3F13" w:rsidP="00C14EEF">
      <w:pPr>
        <w:pStyle w:val="aa"/>
      </w:pPr>
      <w:bookmarkStart w:id="14" w:name="_Toc48643441"/>
      <w:r>
        <w:t xml:space="preserve">Таблиця </w:t>
      </w:r>
      <w:r w:rsidRPr="00A06EDC">
        <w:fldChar w:fldCharType="begin"/>
      </w:r>
      <w:r w:rsidRPr="00A06EDC">
        <w:instrText xml:space="preserve"> SEQ Table \* ARABIC </w:instrText>
      </w:r>
      <w:r w:rsidRPr="00A06EDC">
        <w:fldChar w:fldCharType="separate"/>
      </w:r>
      <w:r w:rsidR="00CB1B48">
        <w:t>1</w:t>
      </w:r>
      <w:r w:rsidRPr="00A06EDC">
        <w:fldChar w:fldCharType="end"/>
      </w:r>
      <w:r>
        <w:t xml:space="preserve">: Короткий опис консолідованих балансових звітів за Фіскальні роки </w:t>
      </w:r>
      <w:bookmarkStart w:id="15" w:name="_Toc501108199"/>
      <w:r>
        <w:t>2014-201</w:t>
      </w:r>
      <w:bookmarkEnd w:id="15"/>
      <w:r>
        <w:t>9</w:t>
      </w:r>
      <w:bookmarkEnd w:id="14"/>
    </w:p>
    <w:p w:rsidR="007C3F13" w:rsidRPr="00067808" w:rsidRDefault="00067808" w:rsidP="00C14EEF">
      <w:pPr>
        <w:rPr>
          <w:rFonts w:ascii="Arial" w:hAnsi="Arial" w:cs="Arial"/>
          <w:szCs w:val="22"/>
        </w:rPr>
      </w:pPr>
      <w:r>
        <w:rPr>
          <w:rFonts w:ascii="Arial" w:hAnsi="Arial" w:cs="Arial"/>
          <w:noProof/>
          <w:szCs w:val="22"/>
          <w:lang w:eastAsia="uk-UA"/>
        </w:rPr>
        <w:drawing>
          <wp:inline distT="0" distB="0" distL="0" distR="0" wp14:anchorId="39847D6D" wp14:editId="2ACC9478">
            <wp:extent cx="6096635" cy="6773545"/>
            <wp:effectExtent l="0" t="0" r="0" b="825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96635" cy="6773545"/>
                    </a:xfrm>
                    <a:prstGeom prst="rect">
                      <a:avLst/>
                    </a:prstGeom>
                    <a:noFill/>
                  </pic:spPr>
                </pic:pic>
              </a:graphicData>
            </a:graphic>
          </wp:inline>
        </w:drawing>
      </w:r>
    </w:p>
    <w:p w:rsidR="00FE34B4" w:rsidRDefault="00FE34B4" w:rsidP="00C14EEF">
      <w:pPr>
        <w:rPr>
          <w:rFonts w:ascii="Arial" w:hAnsi="Arial" w:cs="Arial"/>
          <w:szCs w:val="22"/>
        </w:rPr>
      </w:pPr>
    </w:p>
    <w:p w:rsidR="00067808" w:rsidRDefault="00067808" w:rsidP="00C14EEF">
      <w:pPr>
        <w:rPr>
          <w:rFonts w:ascii="Arial" w:hAnsi="Arial" w:cs="Arial"/>
          <w:szCs w:val="22"/>
        </w:rPr>
      </w:pPr>
    </w:p>
    <w:p w:rsidR="00067808" w:rsidRDefault="00067808" w:rsidP="00C14EEF">
      <w:pPr>
        <w:rPr>
          <w:rFonts w:ascii="Arial" w:hAnsi="Arial" w:cs="Arial"/>
          <w:szCs w:val="22"/>
        </w:rPr>
      </w:pPr>
    </w:p>
    <w:p w:rsidR="00067808" w:rsidRDefault="00067808" w:rsidP="00C14EEF">
      <w:pPr>
        <w:rPr>
          <w:rFonts w:ascii="Arial" w:hAnsi="Arial" w:cs="Arial"/>
          <w:szCs w:val="22"/>
        </w:rPr>
      </w:pPr>
    </w:p>
    <w:p w:rsidR="00067808" w:rsidRDefault="00067808" w:rsidP="00C14EEF">
      <w:pPr>
        <w:rPr>
          <w:rFonts w:ascii="Arial" w:hAnsi="Arial" w:cs="Arial"/>
          <w:szCs w:val="22"/>
        </w:rPr>
      </w:pPr>
    </w:p>
    <w:p w:rsidR="00067808" w:rsidRDefault="00067808" w:rsidP="00C14EEF">
      <w:pPr>
        <w:rPr>
          <w:rFonts w:ascii="Arial" w:hAnsi="Arial" w:cs="Arial"/>
          <w:szCs w:val="22"/>
        </w:rPr>
      </w:pPr>
    </w:p>
    <w:p w:rsidR="00067808" w:rsidRDefault="00067808" w:rsidP="00C14EEF">
      <w:pPr>
        <w:rPr>
          <w:rFonts w:ascii="Arial" w:hAnsi="Arial" w:cs="Arial"/>
          <w:szCs w:val="22"/>
        </w:rPr>
      </w:pPr>
    </w:p>
    <w:p w:rsidR="00067808" w:rsidRDefault="00067808" w:rsidP="00C14EEF">
      <w:pPr>
        <w:rPr>
          <w:rFonts w:ascii="Arial" w:hAnsi="Arial" w:cs="Arial"/>
          <w:szCs w:val="22"/>
        </w:rPr>
      </w:pPr>
    </w:p>
    <w:p w:rsidR="00067808" w:rsidRDefault="00067808" w:rsidP="00C14EEF">
      <w:pPr>
        <w:rPr>
          <w:rFonts w:ascii="Arial" w:hAnsi="Arial" w:cs="Arial"/>
          <w:szCs w:val="22"/>
        </w:rPr>
      </w:pPr>
    </w:p>
    <w:p w:rsidR="00067808" w:rsidRDefault="00067808" w:rsidP="00C14EEF">
      <w:pPr>
        <w:rPr>
          <w:rFonts w:ascii="Arial" w:hAnsi="Arial" w:cs="Arial"/>
          <w:szCs w:val="22"/>
        </w:rPr>
      </w:pPr>
    </w:p>
    <w:p w:rsidR="00067808" w:rsidRDefault="00067808" w:rsidP="00C14EEF">
      <w:pPr>
        <w:rPr>
          <w:rFonts w:ascii="Arial" w:hAnsi="Arial" w:cs="Arial"/>
          <w:szCs w:val="22"/>
        </w:rPr>
      </w:pPr>
    </w:p>
    <w:p w:rsidR="00067808" w:rsidRDefault="00067808" w:rsidP="00C14EEF">
      <w:pPr>
        <w:rPr>
          <w:rFonts w:ascii="Arial" w:hAnsi="Arial" w:cs="Arial"/>
          <w:szCs w:val="22"/>
        </w:rPr>
      </w:pPr>
    </w:p>
    <w:p w:rsidR="00067808" w:rsidRDefault="00067808" w:rsidP="00C14EEF">
      <w:pPr>
        <w:rPr>
          <w:rFonts w:ascii="Arial" w:hAnsi="Arial" w:cs="Arial"/>
          <w:szCs w:val="22"/>
        </w:rPr>
      </w:pPr>
    </w:p>
    <w:p w:rsidR="00067808" w:rsidRDefault="00067808" w:rsidP="00C14EEF">
      <w:pPr>
        <w:rPr>
          <w:rFonts w:ascii="Arial" w:hAnsi="Arial" w:cs="Arial"/>
          <w:szCs w:val="22"/>
        </w:rPr>
      </w:pPr>
    </w:p>
    <w:p w:rsidR="000E2862" w:rsidRPr="00CB71BC" w:rsidRDefault="000E2862" w:rsidP="00C14EEF">
      <w:pPr>
        <w:rPr>
          <w:rFonts w:ascii="Arial" w:hAnsi="Arial" w:cs="Arial"/>
          <w:szCs w:val="22"/>
        </w:rPr>
      </w:pPr>
      <w:r>
        <w:rPr>
          <w:rFonts w:ascii="Arial" w:hAnsi="Arial"/>
          <w:szCs w:val="22"/>
        </w:rPr>
        <w:t>Склад необоротних та оборотних активів комунальних підприємств за 2019 фіскальний рік представлений на наступних схемах.</w:t>
      </w:r>
    </w:p>
    <w:p w:rsidR="007C3F13" w:rsidRDefault="007C3F13" w:rsidP="00C14EEF">
      <w:pPr>
        <w:rPr>
          <w:rFonts w:ascii="Times New Roman" w:hAnsi="Times New Roman"/>
          <w:sz w:val="24"/>
          <w:szCs w:val="24"/>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A06EDC" w:rsidTr="00A06EDC">
        <w:tc>
          <w:tcPr>
            <w:tcW w:w="4926" w:type="dxa"/>
          </w:tcPr>
          <w:p w:rsidR="00A06EDC" w:rsidRDefault="00A06EDC" w:rsidP="00C14EEF">
            <w:pPr>
              <w:pStyle w:val="aa"/>
              <w:rPr>
                <w:rFonts w:ascii="Times New Roman" w:hAnsi="Times New Roman"/>
                <w:sz w:val="24"/>
                <w:szCs w:val="24"/>
              </w:rPr>
            </w:pPr>
            <w:bookmarkStart w:id="16" w:name="_Toc48643461"/>
            <w:r>
              <w:t xml:space="preserve">Малюнок </w:t>
            </w:r>
            <w:r w:rsidRPr="00A06EDC">
              <w:fldChar w:fldCharType="begin"/>
            </w:r>
            <w:r w:rsidRPr="00A06EDC">
              <w:instrText xml:space="preserve"> SEQ Figure \* ARABIC </w:instrText>
            </w:r>
            <w:r w:rsidRPr="00A06EDC">
              <w:fldChar w:fldCharType="separate"/>
            </w:r>
            <w:r w:rsidR="00CB1B48">
              <w:t>1</w:t>
            </w:r>
            <w:r w:rsidRPr="00A06EDC">
              <w:fldChar w:fldCharType="end"/>
            </w:r>
            <w:r>
              <w:t xml:space="preserve">: Склад необоротних активів комунального підприємства (у % від загальних </w:t>
            </w:r>
            <w:r w:rsidR="00A25DAB">
              <w:t>необоротних активів</w:t>
            </w:r>
            <w:r>
              <w:t xml:space="preserve">) </w:t>
            </w:r>
            <w:r w:rsidR="00A25DAB">
              <w:t>2019 фіскальний рік</w:t>
            </w:r>
            <w:bookmarkEnd w:id="16"/>
          </w:p>
        </w:tc>
        <w:tc>
          <w:tcPr>
            <w:tcW w:w="4927" w:type="dxa"/>
          </w:tcPr>
          <w:p w:rsidR="00A06EDC" w:rsidRPr="00A06EDC" w:rsidRDefault="00A06EDC" w:rsidP="00C14EEF">
            <w:pPr>
              <w:pStyle w:val="aa"/>
            </w:pPr>
            <w:bookmarkStart w:id="17" w:name="_Toc48643462"/>
            <w:r>
              <w:t xml:space="preserve">Малюнок </w:t>
            </w:r>
            <w:r w:rsidRPr="00A06EDC">
              <w:fldChar w:fldCharType="begin"/>
            </w:r>
            <w:r w:rsidRPr="00A06EDC">
              <w:instrText xml:space="preserve"> SEQ Figure \* ARABIC </w:instrText>
            </w:r>
            <w:r w:rsidRPr="00A06EDC">
              <w:fldChar w:fldCharType="separate"/>
            </w:r>
            <w:r w:rsidR="00CB1B48">
              <w:t>2</w:t>
            </w:r>
            <w:r w:rsidRPr="00A06EDC">
              <w:fldChar w:fldCharType="end"/>
            </w:r>
            <w:r>
              <w:t>: Склад оборотник активів підприємства (у % від загальних необоротних активів) 2019 фіскальний рік</w:t>
            </w:r>
            <w:bookmarkEnd w:id="17"/>
          </w:p>
        </w:tc>
      </w:tr>
    </w:tbl>
    <w:p w:rsidR="00A06EDC" w:rsidRDefault="00A06EDC" w:rsidP="00C14EEF">
      <w:pPr>
        <w:rPr>
          <w:rFonts w:ascii="Times New Roman" w:hAnsi="Times New Roman"/>
          <w:sz w:val="24"/>
          <w:szCs w:val="24"/>
        </w:rPr>
      </w:pPr>
    </w:p>
    <w:p w:rsidR="007C3F13" w:rsidRDefault="00067808" w:rsidP="00C14EEF">
      <w:pPr>
        <w:rPr>
          <w:rFonts w:ascii="Times New Roman" w:hAnsi="Times New Roman"/>
          <w:sz w:val="24"/>
          <w:szCs w:val="24"/>
        </w:rPr>
      </w:pPr>
      <w:r>
        <w:rPr>
          <w:rFonts w:ascii="Times New Roman" w:hAnsi="Times New Roman"/>
          <w:noProof/>
          <w:sz w:val="24"/>
          <w:szCs w:val="24"/>
          <w:lang w:eastAsia="uk-UA"/>
        </w:rPr>
        <w:drawing>
          <wp:inline distT="0" distB="0" distL="0" distR="0" wp14:anchorId="05687938" wp14:editId="13FF009C">
            <wp:extent cx="2621280" cy="1688465"/>
            <wp:effectExtent l="0" t="0" r="7620" b="698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21280" cy="1688465"/>
                    </a:xfrm>
                    <a:prstGeom prst="rect">
                      <a:avLst/>
                    </a:prstGeom>
                    <a:noFill/>
                  </pic:spPr>
                </pic:pic>
              </a:graphicData>
            </a:graphic>
          </wp:inline>
        </w:drawing>
      </w:r>
      <w:r w:rsidR="00CB1B48">
        <w:rPr>
          <w:rFonts w:ascii="Times New Roman" w:hAnsi="Times New Roman"/>
          <w:sz w:val="24"/>
          <w:szCs w:val="24"/>
        </w:rPr>
        <w:t xml:space="preserve"> </w:t>
      </w:r>
      <w:r>
        <w:rPr>
          <w:rFonts w:ascii="Times New Roman" w:hAnsi="Times New Roman"/>
          <w:noProof/>
          <w:sz w:val="24"/>
          <w:szCs w:val="24"/>
          <w:lang w:eastAsia="uk-UA"/>
        </w:rPr>
        <w:drawing>
          <wp:inline distT="0" distB="0" distL="0" distR="0" wp14:anchorId="38C71B0B" wp14:editId="49653B94">
            <wp:extent cx="3237230" cy="1554480"/>
            <wp:effectExtent l="0" t="0" r="1270" b="762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237230" cy="1554480"/>
                    </a:xfrm>
                    <a:prstGeom prst="rect">
                      <a:avLst/>
                    </a:prstGeom>
                    <a:noFill/>
                  </pic:spPr>
                </pic:pic>
              </a:graphicData>
            </a:graphic>
          </wp:inline>
        </w:drawing>
      </w:r>
    </w:p>
    <w:p w:rsidR="007C3F13" w:rsidRDefault="007C3F13" w:rsidP="00C14EEF">
      <w:pPr>
        <w:rPr>
          <w:rFonts w:ascii="Times New Roman" w:hAnsi="Times New Roman"/>
          <w:sz w:val="24"/>
          <w:szCs w:val="24"/>
        </w:rPr>
      </w:pPr>
    </w:p>
    <w:p w:rsidR="00067808" w:rsidRPr="00CB71BC" w:rsidRDefault="00067808" w:rsidP="00C14EEF">
      <w:pPr>
        <w:rPr>
          <w:rFonts w:ascii="Arial" w:hAnsi="Arial" w:cs="Arial"/>
          <w:szCs w:val="22"/>
        </w:rPr>
      </w:pPr>
      <w:r>
        <w:rPr>
          <w:rFonts w:ascii="Arial" w:hAnsi="Arial"/>
          <w:szCs w:val="22"/>
        </w:rPr>
        <w:t>Як видно, найбільш</w:t>
      </w:r>
      <w:r w:rsidR="00A25DAB">
        <w:rPr>
          <w:rFonts w:ascii="Arial" w:hAnsi="Arial"/>
          <w:szCs w:val="22"/>
        </w:rPr>
        <w:t>у</w:t>
      </w:r>
      <w:r>
        <w:rPr>
          <w:rFonts w:ascii="Arial" w:hAnsi="Arial"/>
          <w:szCs w:val="22"/>
        </w:rPr>
        <w:t xml:space="preserve"> частк</w:t>
      </w:r>
      <w:r w:rsidR="00A25DAB">
        <w:rPr>
          <w:rFonts w:ascii="Arial" w:hAnsi="Arial"/>
          <w:szCs w:val="22"/>
        </w:rPr>
        <w:t>у</w:t>
      </w:r>
      <w:r>
        <w:rPr>
          <w:rFonts w:ascii="Arial" w:hAnsi="Arial"/>
          <w:szCs w:val="22"/>
        </w:rPr>
        <w:t xml:space="preserve"> необоротних активів складає Майно та обладнання (99,84%)</w:t>
      </w:r>
      <w:r w:rsidR="00A25DAB">
        <w:rPr>
          <w:rFonts w:ascii="Arial" w:hAnsi="Arial"/>
          <w:szCs w:val="22"/>
        </w:rPr>
        <w:t>,</w:t>
      </w:r>
      <w:r>
        <w:rPr>
          <w:rFonts w:ascii="Arial" w:hAnsi="Arial"/>
          <w:szCs w:val="22"/>
        </w:rPr>
        <w:t xml:space="preserve"> а </w:t>
      </w:r>
      <w:r w:rsidR="00A25DAB">
        <w:rPr>
          <w:rFonts w:ascii="Arial" w:hAnsi="Arial"/>
          <w:szCs w:val="22"/>
        </w:rPr>
        <w:t>оборотних активів - Д</w:t>
      </w:r>
      <w:r>
        <w:rPr>
          <w:rFonts w:ascii="Arial" w:hAnsi="Arial"/>
          <w:szCs w:val="22"/>
        </w:rPr>
        <w:t>ебіторська заборгованість (98,75%).</w:t>
      </w:r>
    </w:p>
    <w:p w:rsidR="00067808" w:rsidRPr="00CB71BC" w:rsidRDefault="00067808" w:rsidP="00C14EEF">
      <w:pPr>
        <w:rPr>
          <w:rFonts w:ascii="Arial" w:hAnsi="Arial" w:cs="Arial"/>
          <w:szCs w:val="22"/>
        </w:rPr>
      </w:pPr>
    </w:p>
    <w:p w:rsidR="00067808" w:rsidRDefault="00067808" w:rsidP="00C14EEF">
      <w:pPr>
        <w:pStyle w:val="a8"/>
        <w:spacing w:after="0"/>
        <w:rPr>
          <w:rFonts w:ascii="Arial" w:hAnsi="Arial" w:cs="Arial"/>
          <w:szCs w:val="22"/>
        </w:rPr>
      </w:pPr>
      <w:r>
        <w:rPr>
          <w:rFonts w:ascii="Arial" w:hAnsi="Arial"/>
          <w:szCs w:val="22"/>
        </w:rPr>
        <w:t>Загальна вартість необоротних (основних активів) КП Луцькводоканал станом на 31 грудня 2019 року становила 256</w:t>
      </w:r>
      <w:r w:rsidR="00A25DAB">
        <w:rPr>
          <w:rFonts w:ascii="Arial" w:hAnsi="Arial"/>
          <w:szCs w:val="22"/>
        </w:rPr>
        <w:t xml:space="preserve"> </w:t>
      </w:r>
      <w:r>
        <w:rPr>
          <w:rFonts w:ascii="Arial" w:hAnsi="Arial"/>
          <w:szCs w:val="22"/>
        </w:rPr>
        <w:t xml:space="preserve">240,0 тис. Грн. </w:t>
      </w:r>
    </w:p>
    <w:p w:rsidR="00067808" w:rsidRDefault="00067808" w:rsidP="00C14EEF">
      <w:pPr>
        <w:pStyle w:val="a8"/>
        <w:spacing w:after="0"/>
        <w:rPr>
          <w:rFonts w:ascii="Arial" w:hAnsi="Arial" w:cs="Arial"/>
          <w:szCs w:val="22"/>
        </w:rPr>
      </w:pPr>
    </w:p>
    <w:p w:rsidR="00067808" w:rsidRPr="00CB71BC" w:rsidRDefault="00067808" w:rsidP="00C14EEF">
      <w:pPr>
        <w:pStyle w:val="a8"/>
        <w:spacing w:after="0"/>
        <w:rPr>
          <w:rFonts w:ascii="Arial" w:hAnsi="Arial" w:cs="Arial"/>
          <w:szCs w:val="22"/>
        </w:rPr>
      </w:pPr>
      <w:r>
        <w:rPr>
          <w:rFonts w:ascii="Arial" w:hAnsi="Arial"/>
          <w:szCs w:val="22"/>
        </w:rPr>
        <w:t>Але загалом вся картина зі зносом основних активів, наразі - не критична.</w:t>
      </w:r>
      <w:r w:rsidR="00CB1B48">
        <w:rPr>
          <w:rFonts w:ascii="Arial" w:hAnsi="Arial"/>
          <w:szCs w:val="22"/>
        </w:rPr>
        <w:t xml:space="preserve"> </w:t>
      </w:r>
      <w:r>
        <w:rPr>
          <w:rFonts w:ascii="Arial" w:hAnsi="Arial"/>
          <w:szCs w:val="22"/>
        </w:rPr>
        <w:t>У той же час ступінь зносу активів категорії №2 (найважливіша група активів комунальних підприємств) становить понад 47%.</w:t>
      </w:r>
      <w:r w:rsidR="00CB1B48">
        <w:rPr>
          <w:rFonts w:ascii="Arial" w:hAnsi="Arial"/>
          <w:szCs w:val="22"/>
        </w:rPr>
        <w:t xml:space="preserve"> </w:t>
      </w:r>
      <w:r>
        <w:rPr>
          <w:rFonts w:ascii="Arial" w:hAnsi="Arial"/>
          <w:szCs w:val="22"/>
        </w:rPr>
        <w:t>Це означає, що строк експлуатації ще не завершений, але для стратегічного планування слід враховувати заміну чи реконструкцію.</w:t>
      </w:r>
      <w:r w:rsidR="00CB1B48">
        <w:rPr>
          <w:rFonts w:ascii="Arial" w:hAnsi="Arial"/>
          <w:szCs w:val="22"/>
        </w:rPr>
        <w:t xml:space="preserve"> </w:t>
      </w:r>
      <w:r>
        <w:rPr>
          <w:rFonts w:ascii="Arial" w:hAnsi="Arial"/>
          <w:szCs w:val="22"/>
        </w:rPr>
        <w:t>З іншого боку, на порядку денному стоїть питання технологічного вдосконалення для кращих показників роботи.</w:t>
      </w:r>
    </w:p>
    <w:p w:rsidR="004F1918" w:rsidRDefault="004F1918" w:rsidP="00C14EEF">
      <w:pPr>
        <w:pStyle w:val="a8"/>
        <w:spacing w:after="0"/>
        <w:rPr>
          <w:rFonts w:asciiTheme="minorBidi" w:hAnsiTheme="minorBidi"/>
          <w:sz w:val="20"/>
        </w:rPr>
      </w:pPr>
    </w:p>
    <w:p w:rsidR="004F1918" w:rsidRPr="00A06EDC" w:rsidRDefault="004F1918" w:rsidP="00C14EEF">
      <w:pPr>
        <w:pStyle w:val="aa"/>
        <w:rPr>
          <w:rFonts w:ascii="Arial" w:hAnsi="Arial" w:cs="Arial"/>
          <w:szCs w:val="22"/>
        </w:rPr>
      </w:pPr>
      <w:bookmarkStart w:id="18" w:name="_Toc48643442"/>
      <w:r>
        <w:t xml:space="preserve">Таблиця </w:t>
      </w:r>
      <w:r w:rsidRPr="00A06EDC">
        <w:rPr>
          <w:rFonts w:ascii="Arial" w:hAnsi="Arial" w:cs="Arial"/>
          <w:szCs w:val="22"/>
        </w:rPr>
        <w:fldChar w:fldCharType="begin"/>
      </w:r>
      <w:r w:rsidRPr="00A06EDC">
        <w:rPr>
          <w:rFonts w:ascii="Arial" w:hAnsi="Arial" w:cs="Arial"/>
          <w:szCs w:val="22"/>
        </w:rPr>
        <w:instrText xml:space="preserve"> SEQ Table \* ARABIC </w:instrText>
      </w:r>
      <w:r w:rsidRPr="00A06EDC">
        <w:rPr>
          <w:rFonts w:ascii="Arial" w:hAnsi="Arial" w:cs="Arial"/>
          <w:szCs w:val="22"/>
        </w:rPr>
        <w:fldChar w:fldCharType="separate"/>
      </w:r>
      <w:r w:rsidR="00CB1B48">
        <w:rPr>
          <w:rFonts w:ascii="Arial" w:hAnsi="Arial" w:cs="Arial"/>
          <w:szCs w:val="22"/>
        </w:rPr>
        <w:t>2</w:t>
      </w:r>
      <w:r w:rsidRPr="00A06EDC">
        <w:rPr>
          <w:rFonts w:ascii="Arial" w:hAnsi="Arial" w:cs="Arial"/>
          <w:szCs w:val="22"/>
        </w:rPr>
        <w:fldChar w:fldCharType="end"/>
      </w:r>
      <w:r>
        <w:t>:</w:t>
      </w:r>
      <w:r>
        <w:rPr>
          <w:rFonts w:ascii="Arial" w:hAnsi="Arial"/>
          <w:szCs w:val="22"/>
        </w:rPr>
        <w:t xml:space="preserve"> </w:t>
      </w:r>
      <w:bookmarkStart w:id="19" w:name="_Toc501108203"/>
      <w:r>
        <w:t>Середня ступінь зносу основних активів підприємства</w:t>
      </w:r>
      <w:bookmarkEnd w:id="19"/>
      <w:r>
        <w:t xml:space="preserve"> за 2016-2019 рр</w:t>
      </w:r>
      <w:bookmarkEnd w:id="18"/>
    </w:p>
    <w:p w:rsidR="007C3F13" w:rsidRDefault="00067808" w:rsidP="00C14EEF">
      <w:pPr>
        <w:shd w:val="clear" w:color="auto" w:fill="FFFFFF"/>
        <w:jc w:val="left"/>
        <w:rPr>
          <w:rFonts w:ascii="Arial" w:hAnsi="Arial" w:cs="Arial"/>
          <w:szCs w:val="22"/>
        </w:rPr>
      </w:pPr>
      <w:r>
        <w:rPr>
          <w:rFonts w:ascii="Arial" w:hAnsi="Arial" w:cs="Arial"/>
          <w:noProof/>
          <w:szCs w:val="22"/>
          <w:lang w:eastAsia="uk-UA"/>
        </w:rPr>
        <w:drawing>
          <wp:inline distT="0" distB="0" distL="0" distR="0" wp14:anchorId="4BAB7AA6" wp14:editId="0C8D2300">
            <wp:extent cx="5145405" cy="2018030"/>
            <wp:effectExtent l="0" t="0" r="0" b="127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45405" cy="2018030"/>
                    </a:xfrm>
                    <a:prstGeom prst="rect">
                      <a:avLst/>
                    </a:prstGeom>
                    <a:noFill/>
                  </pic:spPr>
                </pic:pic>
              </a:graphicData>
            </a:graphic>
          </wp:inline>
        </w:drawing>
      </w:r>
    </w:p>
    <w:p w:rsidR="00D72AE7" w:rsidRDefault="00D72AE7" w:rsidP="00C14EEF">
      <w:pPr>
        <w:widowControl w:val="0"/>
        <w:autoSpaceDE w:val="0"/>
        <w:autoSpaceDN w:val="0"/>
        <w:adjustRightInd w:val="0"/>
        <w:rPr>
          <w:rFonts w:ascii="Arial" w:hAnsi="Arial" w:cs="Arial"/>
          <w:color w:val="000000"/>
          <w:sz w:val="20"/>
          <w:highlight w:val="green"/>
        </w:rPr>
      </w:pPr>
      <w:bookmarkStart w:id="20" w:name="_Hlk14774569"/>
      <w:bookmarkEnd w:id="13"/>
    </w:p>
    <w:p w:rsidR="00067808" w:rsidRDefault="00067808" w:rsidP="00C14EEF">
      <w:pPr>
        <w:widowControl w:val="0"/>
        <w:autoSpaceDE w:val="0"/>
        <w:autoSpaceDN w:val="0"/>
        <w:adjustRightInd w:val="0"/>
        <w:rPr>
          <w:rFonts w:ascii="Arial" w:hAnsi="Arial" w:cs="Arial"/>
          <w:color w:val="000000"/>
          <w:sz w:val="20"/>
          <w:highlight w:val="green"/>
        </w:rPr>
      </w:pPr>
    </w:p>
    <w:p w:rsidR="00BC23C5" w:rsidRDefault="00BC23C5" w:rsidP="00C14EEF">
      <w:pPr>
        <w:pStyle w:val="30"/>
        <w:spacing w:before="0" w:after="0"/>
        <w:contextualSpacing w:val="0"/>
        <w:rPr>
          <w:noProof w:val="0"/>
        </w:rPr>
        <w:sectPr w:rsidR="00BC23C5" w:rsidSect="00EB5D32">
          <w:headerReference w:type="default" r:id="rId25"/>
          <w:pgSz w:w="11906" w:h="16838" w:code="9"/>
          <w:pgMar w:top="1418" w:right="851" w:bottom="851" w:left="1418" w:header="567" w:footer="454" w:gutter="0"/>
          <w:cols w:space="720"/>
          <w:docGrid w:linePitch="299"/>
        </w:sectPr>
      </w:pPr>
      <w:bookmarkStart w:id="21" w:name="_Toc20922916"/>
    </w:p>
    <w:p w:rsidR="00AC72FF" w:rsidRPr="0064329D" w:rsidRDefault="00AC72FF" w:rsidP="00C14EEF">
      <w:pPr>
        <w:pStyle w:val="30"/>
        <w:spacing w:before="0" w:after="0"/>
        <w:contextualSpacing w:val="0"/>
        <w:rPr>
          <w:noProof w:val="0"/>
        </w:rPr>
      </w:pPr>
      <w:bookmarkStart w:id="22" w:name="_Toc48392529"/>
      <w:r>
        <w:t>Дебіторська та кредиторська заборгованість</w:t>
      </w:r>
      <w:bookmarkEnd w:id="21"/>
      <w:bookmarkEnd w:id="22"/>
    </w:p>
    <w:p w:rsidR="00AC72FF" w:rsidRPr="008E1F2E" w:rsidRDefault="00AC72FF" w:rsidP="00C14EEF">
      <w:pPr>
        <w:rPr>
          <w:rFonts w:ascii="Arial" w:hAnsi="Arial" w:cs="Arial"/>
          <w:szCs w:val="22"/>
        </w:rPr>
      </w:pPr>
      <w:r>
        <w:rPr>
          <w:rFonts w:ascii="Arial" w:hAnsi="Arial"/>
          <w:szCs w:val="22"/>
        </w:rPr>
        <w:t>Важливим фактором, який впливає на фінансовий добробут підприємств, є прострочена заборгованість.</w:t>
      </w:r>
      <w:r w:rsidR="00CB1B48">
        <w:rPr>
          <w:rFonts w:ascii="Arial" w:hAnsi="Arial"/>
          <w:szCs w:val="22"/>
        </w:rPr>
        <w:t xml:space="preserve"> </w:t>
      </w:r>
      <w:r>
        <w:rPr>
          <w:rFonts w:ascii="Arial" w:hAnsi="Arial"/>
          <w:szCs w:val="22"/>
        </w:rPr>
        <w:t>У Таблиці 3 наведені дані щодо ситуації із простроченою заборгованістю за минулі періоди.</w:t>
      </w:r>
      <w:r w:rsidR="00CB1B48">
        <w:rPr>
          <w:rFonts w:ascii="Arial" w:hAnsi="Arial"/>
          <w:szCs w:val="22"/>
        </w:rPr>
        <w:t xml:space="preserve"> </w:t>
      </w:r>
      <w:r>
        <w:rPr>
          <w:rFonts w:ascii="Arial" w:hAnsi="Arial"/>
          <w:szCs w:val="22"/>
        </w:rPr>
        <w:t>Слід зауважити, що за 2019 фіскальний рік (9 місяців), борги домогосподарств сягнули загалом 21,8 млн грн (майже 0,8 млн євро).</w:t>
      </w:r>
      <w:r w:rsidR="00CB1B48">
        <w:rPr>
          <w:rFonts w:ascii="Arial" w:hAnsi="Arial"/>
          <w:szCs w:val="22"/>
        </w:rPr>
        <w:t xml:space="preserve"> </w:t>
      </w:r>
      <w:r>
        <w:rPr>
          <w:rFonts w:ascii="Arial" w:hAnsi="Arial"/>
          <w:szCs w:val="22"/>
        </w:rPr>
        <w:t>Але така ситуація є загальною для більшості підприємств ЖКГ в Україні.</w:t>
      </w:r>
      <w:r w:rsidR="00CB1B48">
        <w:rPr>
          <w:rFonts w:ascii="Arial" w:hAnsi="Arial"/>
          <w:szCs w:val="22"/>
        </w:rPr>
        <w:t xml:space="preserve"> </w:t>
      </w:r>
      <w:r w:rsidR="00D33AAA">
        <w:rPr>
          <w:rFonts w:ascii="Arial" w:hAnsi="Arial"/>
          <w:szCs w:val="22"/>
        </w:rPr>
        <w:t>Ч</w:t>
      </w:r>
      <w:r>
        <w:rPr>
          <w:rFonts w:ascii="Arial" w:hAnsi="Arial"/>
          <w:szCs w:val="22"/>
        </w:rPr>
        <w:t>астка цих боргів - потенційне фінансове джерело водоканалу.</w:t>
      </w:r>
    </w:p>
    <w:p w:rsidR="00AC72FF" w:rsidRDefault="00AC72FF" w:rsidP="00C14EEF">
      <w:pPr>
        <w:rPr>
          <w:rFonts w:ascii="Arial" w:hAnsi="Arial" w:cs="Arial"/>
          <w:szCs w:val="22"/>
        </w:rPr>
      </w:pPr>
    </w:p>
    <w:p w:rsidR="00AC72FF" w:rsidRPr="00AC72FF" w:rsidRDefault="00AC72FF" w:rsidP="00C14EEF">
      <w:pPr>
        <w:pStyle w:val="aa"/>
        <w:rPr>
          <w:rFonts w:ascii="Arial" w:hAnsi="Arial" w:cs="Arial"/>
          <w:szCs w:val="22"/>
        </w:rPr>
      </w:pPr>
      <w:bookmarkStart w:id="23" w:name="_Toc48643443"/>
      <w:r>
        <w:t xml:space="preserve">Таблиця </w:t>
      </w:r>
      <w:r w:rsidRPr="00A06EDC">
        <w:rPr>
          <w:rFonts w:ascii="Arial" w:hAnsi="Arial" w:cs="Arial"/>
          <w:szCs w:val="22"/>
        </w:rPr>
        <w:fldChar w:fldCharType="begin"/>
      </w:r>
      <w:r w:rsidRPr="00A06EDC">
        <w:rPr>
          <w:rFonts w:ascii="Arial" w:hAnsi="Arial" w:cs="Arial"/>
          <w:szCs w:val="22"/>
        </w:rPr>
        <w:instrText xml:space="preserve"> SEQ Table \* ARABIC </w:instrText>
      </w:r>
      <w:r w:rsidRPr="00A06EDC">
        <w:rPr>
          <w:rFonts w:ascii="Arial" w:hAnsi="Arial" w:cs="Arial"/>
          <w:szCs w:val="22"/>
        </w:rPr>
        <w:fldChar w:fldCharType="separate"/>
      </w:r>
      <w:r w:rsidR="00CB1B48">
        <w:rPr>
          <w:rFonts w:ascii="Arial" w:hAnsi="Arial" w:cs="Arial"/>
          <w:szCs w:val="22"/>
        </w:rPr>
        <w:t>3</w:t>
      </w:r>
      <w:r w:rsidRPr="00A06EDC">
        <w:rPr>
          <w:rFonts w:ascii="Arial" w:hAnsi="Arial" w:cs="Arial"/>
          <w:szCs w:val="22"/>
        </w:rPr>
        <w:fldChar w:fldCharType="end"/>
      </w:r>
      <w:r>
        <w:t>:</w:t>
      </w:r>
      <w:r>
        <w:rPr>
          <w:rFonts w:ascii="Arial" w:hAnsi="Arial"/>
          <w:szCs w:val="22"/>
        </w:rPr>
        <w:t xml:space="preserve"> Прострочена дебіторська заборгованість за 2019 р.</w:t>
      </w:r>
      <w:bookmarkEnd w:id="23"/>
    </w:p>
    <w:p w:rsidR="00AC72FF" w:rsidRDefault="00067808" w:rsidP="00C14EEF">
      <w:pPr>
        <w:widowControl w:val="0"/>
        <w:autoSpaceDE w:val="0"/>
        <w:autoSpaceDN w:val="0"/>
        <w:adjustRightInd w:val="0"/>
        <w:rPr>
          <w:rFonts w:ascii="Arial" w:hAnsi="Arial" w:cs="Arial"/>
          <w:color w:val="000000"/>
          <w:sz w:val="20"/>
          <w:highlight w:val="green"/>
        </w:rPr>
      </w:pPr>
      <w:r>
        <w:rPr>
          <w:rFonts w:ascii="Arial" w:hAnsi="Arial" w:cs="Arial"/>
          <w:noProof/>
          <w:color w:val="000000"/>
          <w:sz w:val="20"/>
          <w:lang w:eastAsia="uk-UA"/>
        </w:rPr>
        <w:drawing>
          <wp:inline distT="0" distB="0" distL="0" distR="0" wp14:anchorId="1D8471AC" wp14:editId="7D098F93">
            <wp:extent cx="6120765" cy="95694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120765" cy="956945"/>
                    </a:xfrm>
                    <a:prstGeom prst="rect">
                      <a:avLst/>
                    </a:prstGeom>
                    <a:noFill/>
                  </pic:spPr>
                </pic:pic>
              </a:graphicData>
            </a:graphic>
          </wp:inline>
        </w:drawing>
      </w:r>
    </w:p>
    <w:p w:rsidR="00AC72FF" w:rsidRDefault="00AC72FF" w:rsidP="00C14EEF">
      <w:pPr>
        <w:widowControl w:val="0"/>
        <w:autoSpaceDE w:val="0"/>
        <w:autoSpaceDN w:val="0"/>
        <w:adjustRightInd w:val="0"/>
        <w:rPr>
          <w:rFonts w:ascii="Arial" w:hAnsi="Arial" w:cs="Arial"/>
          <w:color w:val="000000"/>
          <w:sz w:val="20"/>
          <w:highlight w:val="green"/>
        </w:rPr>
      </w:pPr>
    </w:p>
    <w:p w:rsidR="00EF0788" w:rsidRPr="0064329D" w:rsidRDefault="00A06EDC" w:rsidP="00C14EEF">
      <w:pPr>
        <w:pStyle w:val="2"/>
        <w:spacing w:before="0" w:after="0"/>
        <w:contextualSpacing w:val="0"/>
        <w:rPr>
          <w:noProof w:val="0"/>
        </w:rPr>
      </w:pPr>
      <w:bookmarkStart w:id="24" w:name="_Toc48392530"/>
      <w:r>
        <w:t>Звіт про фінансові результати</w:t>
      </w:r>
      <w:bookmarkEnd w:id="24"/>
    </w:p>
    <w:p w:rsidR="003C48CE" w:rsidRPr="00E62BCB" w:rsidRDefault="003C48CE" w:rsidP="00C14EEF">
      <w:pPr>
        <w:pStyle w:val="a8"/>
        <w:spacing w:after="0"/>
        <w:rPr>
          <w:rFonts w:ascii="Arial" w:hAnsi="Arial" w:cs="Arial"/>
          <w:szCs w:val="22"/>
        </w:rPr>
      </w:pPr>
      <w:r>
        <w:rPr>
          <w:rFonts w:ascii="Arial" w:hAnsi="Arial"/>
          <w:color w:val="111111"/>
          <w:szCs w:val="22"/>
        </w:rPr>
        <w:t>Звіт про фінансові результати</w:t>
      </w:r>
      <w:r w:rsidR="00CB1B48">
        <w:rPr>
          <w:rFonts w:ascii="Arial" w:hAnsi="Arial"/>
          <w:color w:val="111111"/>
          <w:szCs w:val="22"/>
        </w:rPr>
        <w:t xml:space="preserve"> </w:t>
      </w:r>
      <w:r>
        <w:rPr>
          <w:rFonts w:ascii="Arial" w:hAnsi="Arial"/>
          <w:color w:val="111111"/>
          <w:szCs w:val="22"/>
        </w:rPr>
        <w:t>(ЗФР) відображає доходи, витрати та чистий дохід, отримані організацією за певний період часу.</w:t>
      </w:r>
      <w:r w:rsidR="00CB1B48">
        <w:rPr>
          <w:rFonts w:ascii="Arial" w:hAnsi="Arial"/>
          <w:color w:val="111111"/>
          <w:szCs w:val="22"/>
        </w:rPr>
        <w:t xml:space="preserve"> </w:t>
      </w:r>
      <w:r>
        <w:rPr>
          <w:rFonts w:ascii="Arial" w:hAnsi="Arial"/>
          <w:color w:val="111111"/>
          <w:szCs w:val="22"/>
        </w:rPr>
        <w:t>З нього можна отри</w:t>
      </w:r>
      <w:r w:rsidR="00D33AAA">
        <w:rPr>
          <w:rFonts w:ascii="Arial" w:hAnsi="Arial"/>
          <w:color w:val="111111"/>
          <w:szCs w:val="22"/>
        </w:rPr>
        <w:t>мати багато корисної інформації</w:t>
      </w:r>
      <w:r>
        <w:rPr>
          <w:rFonts w:ascii="Arial" w:hAnsi="Arial"/>
          <w:color w:val="111111"/>
          <w:szCs w:val="22"/>
        </w:rPr>
        <w:t xml:space="preserve"> для оцінки фінансових результатів компанії минулих періодів та перспектив.</w:t>
      </w:r>
    </w:p>
    <w:p w:rsidR="003C48CE" w:rsidRPr="00E62BCB" w:rsidRDefault="003C48CE" w:rsidP="00C14EEF">
      <w:pPr>
        <w:pStyle w:val="a8"/>
        <w:spacing w:after="0"/>
        <w:rPr>
          <w:rFonts w:ascii="Arial" w:hAnsi="Arial" w:cs="Arial"/>
          <w:szCs w:val="22"/>
        </w:rPr>
      </w:pPr>
    </w:p>
    <w:p w:rsidR="003C48CE" w:rsidRPr="00E62BCB" w:rsidRDefault="003C48CE" w:rsidP="00C14EEF">
      <w:pPr>
        <w:pStyle w:val="a8"/>
        <w:spacing w:after="0"/>
        <w:rPr>
          <w:rFonts w:ascii="Arial" w:hAnsi="Arial" w:cs="Arial"/>
          <w:szCs w:val="22"/>
        </w:rPr>
      </w:pPr>
      <w:r>
        <w:rPr>
          <w:rFonts w:ascii="Arial" w:hAnsi="Arial"/>
          <w:szCs w:val="22"/>
        </w:rPr>
        <w:t>Слід звернути увагу на наведені нижче рядки ЗФР:</w:t>
      </w:r>
    </w:p>
    <w:p w:rsidR="003C48CE" w:rsidRPr="00E62BCB" w:rsidRDefault="003C48CE" w:rsidP="00C14EEF">
      <w:pPr>
        <w:pStyle w:val="a8"/>
        <w:widowControl w:val="0"/>
        <w:numPr>
          <w:ilvl w:val="0"/>
          <w:numId w:val="30"/>
        </w:numPr>
        <w:spacing w:after="0"/>
        <w:rPr>
          <w:rFonts w:ascii="Arial" w:hAnsi="Arial" w:cs="Arial"/>
          <w:szCs w:val="22"/>
        </w:rPr>
      </w:pPr>
      <w:r>
        <w:rPr>
          <w:rFonts w:ascii="Arial" w:hAnsi="Arial"/>
          <w:szCs w:val="22"/>
        </w:rPr>
        <w:t>Чистий дохід від основної діяльності (або дохід за товарними групами)</w:t>
      </w:r>
    </w:p>
    <w:p w:rsidR="003C48CE" w:rsidRPr="00E62BCB" w:rsidRDefault="003C48CE" w:rsidP="00C14EEF">
      <w:pPr>
        <w:pStyle w:val="a8"/>
        <w:widowControl w:val="0"/>
        <w:numPr>
          <w:ilvl w:val="0"/>
          <w:numId w:val="30"/>
        </w:numPr>
        <w:spacing w:after="0"/>
        <w:rPr>
          <w:rFonts w:ascii="Arial" w:hAnsi="Arial" w:cs="Arial"/>
          <w:szCs w:val="22"/>
        </w:rPr>
      </w:pPr>
      <w:r>
        <w:rPr>
          <w:rFonts w:ascii="Arial" w:hAnsi="Arial"/>
          <w:szCs w:val="22"/>
        </w:rPr>
        <w:t>Собівартість проданих товарів (СПТ)</w:t>
      </w:r>
    </w:p>
    <w:p w:rsidR="003C48CE" w:rsidRPr="00E62BCB" w:rsidRDefault="003C48CE" w:rsidP="00C14EEF">
      <w:pPr>
        <w:pStyle w:val="a8"/>
        <w:widowControl w:val="0"/>
        <w:numPr>
          <w:ilvl w:val="0"/>
          <w:numId w:val="30"/>
        </w:numPr>
        <w:spacing w:after="0"/>
        <w:rPr>
          <w:rFonts w:ascii="Arial" w:hAnsi="Arial" w:cs="Arial"/>
          <w:szCs w:val="22"/>
        </w:rPr>
      </w:pPr>
      <w:r>
        <w:rPr>
          <w:rFonts w:ascii="Arial" w:hAnsi="Arial"/>
          <w:szCs w:val="22"/>
        </w:rPr>
        <w:t>Валовий прибуток</w:t>
      </w:r>
    </w:p>
    <w:p w:rsidR="003C48CE" w:rsidRPr="00E62BCB" w:rsidRDefault="003C48CE" w:rsidP="00C14EEF">
      <w:pPr>
        <w:pStyle w:val="a8"/>
        <w:widowControl w:val="0"/>
        <w:numPr>
          <w:ilvl w:val="0"/>
          <w:numId w:val="30"/>
        </w:numPr>
        <w:spacing w:after="0"/>
        <w:rPr>
          <w:rFonts w:ascii="Arial" w:hAnsi="Arial" w:cs="Arial"/>
          <w:szCs w:val="22"/>
        </w:rPr>
      </w:pPr>
      <w:r>
        <w:rPr>
          <w:rFonts w:ascii="Arial" w:hAnsi="Arial"/>
          <w:szCs w:val="22"/>
        </w:rPr>
        <w:t>Операційні витрати</w:t>
      </w:r>
    </w:p>
    <w:p w:rsidR="003C48CE" w:rsidRPr="00E62BCB" w:rsidRDefault="003C48CE" w:rsidP="00C14EEF">
      <w:pPr>
        <w:pStyle w:val="a8"/>
        <w:widowControl w:val="0"/>
        <w:numPr>
          <w:ilvl w:val="0"/>
          <w:numId w:val="30"/>
        </w:numPr>
        <w:spacing w:after="0"/>
        <w:rPr>
          <w:rFonts w:ascii="Arial" w:hAnsi="Arial" w:cs="Arial"/>
          <w:szCs w:val="22"/>
        </w:rPr>
      </w:pPr>
      <w:r>
        <w:rPr>
          <w:rFonts w:ascii="Arial" w:hAnsi="Arial"/>
          <w:szCs w:val="22"/>
        </w:rPr>
        <w:t>Операційний прибуток (або збиток)</w:t>
      </w:r>
    </w:p>
    <w:p w:rsidR="003C48CE" w:rsidRPr="00E62BCB" w:rsidRDefault="003C48CE" w:rsidP="00C14EEF">
      <w:pPr>
        <w:pStyle w:val="a8"/>
        <w:widowControl w:val="0"/>
        <w:numPr>
          <w:ilvl w:val="0"/>
          <w:numId w:val="30"/>
        </w:numPr>
        <w:spacing w:after="0"/>
        <w:rPr>
          <w:rFonts w:ascii="Arial" w:hAnsi="Arial" w:cs="Arial"/>
          <w:szCs w:val="22"/>
        </w:rPr>
      </w:pPr>
      <w:r>
        <w:rPr>
          <w:rFonts w:ascii="Arial" w:hAnsi="Arial"/>
          <w:szCs w:val="22"/>
        </w:rPr>
        <w:t xml:space="preserve">EBITDA, EBIT та EBT </w:t>
      </w:r>
    </w:p>
    <w:p w:rsidR="003C48CE" w:rsidRPr="00E62BCB" w:rsidRDefault="003C48CE" w:rsidP="00C14EEF">
      <w:pPr>
        <w:pStyle w:val="a8"/>
        <w:widowControl w:val="0"/>
        <w:numPr>
          <w:ilvl w:val="0"/>
          <w:numId w:val="30"/>
        </w:numPr>
        <w:spacing w:after="0"/>
        <w:rPr>
          <w:rFonts w:ascii="Arial" w:hAnsi="Arial" w:cs="Arial"/>
          <w:szCs w:val="22"/>
        </w:rPr>
      </w:pPr>
      <w:r>
        <w:rPr>
          <w:rFonts w:ascii="Arial" w:hAnsi="Arial"/>
          <w:szCs w:val="22"/>
        </w:rPr>
        <w:t>Чистий дохід</w:t>
      </w:r>
    </w:p>
    <w:p w:rsidR="00A06EDC" w:rsidRPr="00E62BCB" w:rsidRDefault="00A06EDC" w:rsidP="00C14EEF">
      <w:pPr>
        <w:pStyle w:val="a8"/>
        <w:spacing w:after="0"/>
        <w:rPr>
          <w:rFonts w:ascii="Arial" w:hAnsi="Arial" w:cs="Arial"/>
          <w:szCs w:val="22"/>
        </w:rPr>
      </w:pPr>
    </w:p>
    <w:p w:rsidR="003C48CE" w:rsidRDefault="003C48CE" w:rsidP="00C14EEF">
      <w:pPr>
        <w:pStyle w:val="a8"/>
        <w:spacing w:after="0"/>
        <w:rPr>
          <w:rFonts w:ascii="Arial" w:hAnsi="Arial" w:cs="Arial"/>
          <w:b/>
          <w:szCs w:val="22"/>
        </w:rPr>
      </w:pPr>
      <w:r>
        <w:rPr>
          <w:rFonts w:ascii="Arial" w:hAnsi="Arial"/>
          <w:szCs w:val="22"/>
        </w:rPr>
        <w:t>Короткий опис ЗФР Комунального підприємства Луцькводоканал представлений у таблиці 4.</w:t>
      </w:r>
      <w:bookmarkStart w:id="25" w:name="_Toc501108200"/>
    </w:p>
    <w:p w:rsidR="00067808" w:rsidRDefault="00067808" w:rsidP="00C14EEF">
      <w:pPr>
        <w:pStyle w:val="a8"/>
        <w:spacing w:after="0"/>
        <w:rPr>
          <w:rFonts w:ascii="Arial" w:hAnsi="Arial" w:cs="Arial"/>
          <w:b/>
          <w:szCs w:val="22"/>
        </w:rPr>
      </w:pPr>
    </w:p>
    <w:p w:rsidR="00067808" w:rsidRPr="0064329D" w:rsidRDefault="00067808" w:rsidP="00C14EEF">
      <w:pPr>
        <w:pStyle w:val="30"/>
        <w:spacing w:before="0" w:after="0"/>
        <w:contextualSpacing w:val="0"/>
        <w:rPr>
          <w:noProof w:val="0"/>
        </w:rPr>
      </w:pPr>
      <w:bookmarkStart w:id="26" w:name="_Toc34725224"/>
      <w:bookmarkStart w:id="27" w:name="_Toc48392531"/>
      <w:r>
        <w:t>Чистий дохід від основної діяльності (або дохід за товарними групами)</w:t>
      </w:r>
      <w:bookmarkEnd w:id="26"/>
      <w:bookmarkEnd w:id="27"/>
    </w:p>
    <w:p w:rsidR="00067808" w:rsidRPr="00E62BCB" w:rsidRDefault="00067808" w:rsidP="00C14EEF">
      <w:pPr>
        <w:pStyle w:val="a8"/>
        <w:spacing w:after="0"/>
        <w:rPr>
          <w:rFonts w:ascii="Arial" w:hAnsi="Arial" w:cs="Arial"/>
          <w:szCs w:val="22"/>
        </w:rPr>
      </w:pPr>
      <w:r>
        <w:rPr>
          <w:rFonts w:ascii="Arial" w:hAnsi="Arial"/>
          <w:szCs w:val="22"/>
        </w:rPr>
        <w:t xml:space="preserve">Протягом 2014-2019 років КП Луцькводоканал продемонструвало стабільне зростання доходів від основної діяльності з найвищим рівнем у 26% у 2017 фіскальному році. </w:t>
      </w:r>
    </w:p>
    <w:p w:rsidR="00067808" w:rsidRPr="00E62BCB" w:rsidRDefault="00067808" w:rsidP="00C14EEF">
      <w:pPr>
        <w:pStyle w:val="a8"/>
        <w:spacing w:after="0"/>
        <w:rPr>
          <w:rFonts w:ascii="Arial" w:hAnsi="Arial" w:cs="Arial"/>
          <w:szCs w:val="22"/>
        </w:rPr>
      </w:pPr>
    </w:p>
    <w:p w:rsidR="00067808" w:rsidRPr="008104FF" w:rsidRDefault="00067808" w:rsidP="00C14EEF">
      <w:pPr>
        <w:pStyle w:val="30"/>
        <w:spacing w:before="0" w:after="0"/>
        <w:contextualSpacing w:val="0"/>
      </w:pPr>
      <w:bookmarkStart w:id="28" w:name="_Toc34725225"/>
      <w:bookmarkStart w:id="29" w:name="_Toc48392532"/>
      <w:r>
        <w:t>Собівартість проданих товарів (СПТ)</w:t>
      </w:r>
      <w:bookmarkEnd w:id="28"/>
      <w:bookmarkEnd w:id="29"/>
    </w:p>
    <w:p w:rsidR="00067808" w:rsidRPr="00E62BCB" w:rsidRDefault="00067808" w:rsidP="00C14EEF">
      <w:pPr>
        <w:pStyle w:val="a8"/>
        <w:spacing w:after="0"/>
        <w:rPr>
          <w:rFonts w:ascii="Arial" w:hAnsi="Arial" w:cs="Arial"/>
          <w:szCs w:val="22"/>
        </w:rPr>
      </w:pPr>
      <w:r>
        <w:rPr>
          <w:rFonts w:ascii="Arial" w:hAnsi="Arial"/>
          <w:color w:val="111111"/>
          <w:szCs w:val="22"/>
        </w:rPr>
        <w:t>Ця стаття позначає витрати, безпосередньо пов'язані з продуктом компанії, та в нашому випадку відображає постійне збільшення витрат, головним чином за рахунок збільшення зарплати, вартості електроенергії та матеріалів.</w:t>
      </w:r>
      <w:r w:rsidR="00CB1B48">
        <w:rPr>
          <w:rFonts w:ascii="Arial" w:hAnsi="Arial"/>
          <w:color w:val="111111"/>
          <w:szCs w:val="22"/>
        </w:rPr>
        <w:t xml:space="preserve"> </w:t>
      </w:r>
      <w:r>
        <w:rPr>
          <w:rFonts w:ascii="Arial" w:hAnsi="Arial"/>
          <w:color w:val="111111"/>
          <w:szCs w:val="22"/>
        </w:rPr>
        <w:t>Це може бути корисними даними щодо тенденції, для подальшого довгострокового моделювання.</w:t>
      </w:r>
      <w:r w:rsidR="00CB1B48">
        <w:rPr>
          <w:rFonts w:ascii="Arial" w:hAnsi="Arial"/>
          <w:color w:val="111111"/>
          <w:szCs w:val="22"/>
        </w:rPr>
        <w:t xml:space="preserve"> </w:t>
      </w:r>
      <w:r>
        <w:rPr>
          <w:rFonts w:ascii="Arial" w:hAnsi="Arial"/>
          <w:color w:val="111111"/>
          <w:szCs w:val="22"/>
        </w:rPr>
        <w:t>Цей параметр також продемонстрував постійну позитивну тенденцію до зростання за весь звітний період:</w:t>
      </w:r>
    </w:p>
    <w:p w:rsidR="00BC23C5" w:rsidRDefault="00BC23C5" w:rsidP="00C14EEF">
      <w:pPr>
        <w:pStyle w:val="30"/>
        <w:spacing w:before="0" w:after="0"/>
        <w:contextualSpacing w:val="0"/>
        <w:sectPr w:rsidR="00BC23C5" w:rsidSect="00EB5D32">
          <w:pgSz w:w="11906" w:h="16838" w:code="9"/>
          <w:pgMar w:top="1418" w:right="851" w:bottom="851" w:left="1418" w:header="567" w:footer="454" w:gutter="0"/>
          <w:cols w:space="720"/>
          <w:docGrid w:linePitch="299"/>
        </w:sectPr>
      </w:pPr>
      <w:bookmarkStart w:id="30" w:name="_Toc34725226"/>
    </w:p>
    <w:p w:rsidR="00067808" w:rsidRPr="008104FF" w:rsidRDefault="00067808" w:rsidP="00C14EEF">
      <w:pPr>
        <w:pStyle w:val="30"/>
        <w:spacing w:before="0" w:after="0"/>
        <w:contextualSpacing w:val="0"/>
      </w:pPr>
      <w:bookmarkStart w:id="31" w:name="_Toc48392533"/>
      <w:r>
        <w:t>Валовий прибуток (ВП)</w:t>
      </w:r>
      <w:bookmarkEnd w:id="30"/>
      <w:bookmarkEnd w:id="31"/>
    </w:p>
    <w:p w:rsidR="00067808" w:rsidRPr="00E62BCB" w:rsidRDefault="00067808" w:rsidP="00C14EEF">
      <w:pPr>
        <w:pStyle w:val="a8"/>
        <w:spacing w:after="0"/>
        <w:rPr>
          <w:rFonts w:ascii="Arial" w:hAnsi="Arial" w:cs="Arial"/>
          <w:szCs w:val="22"/>
        </w:rPr>
      </w:pPr>
      <w:r>
        <w:rPr>
          <w:rFonts w:ascii="Arial" w:hAnsi="Arial"/>
          <w:color w:val="111111"/>
          <w:szCs w:val="22"/>
        </w:rPr>
        <w:t>Це сума доходу, що залишилася після відрахування СПТ. Простіше кажучи, це сума доходу, доступного для оплати операційних витрат.</w:t>
      </w:r>
      <w:r w:rsidR="00CB1B48">
        <w:rPr>
          <w:rFonts w:ascii="Arial" w:hAnsi="Arial"/>
          <w:color w:val="111111"/>
          <w:szCs w:val="22"/>
        </w:rPr>
        <w:t xml:space="preserve"> </w:t>
      </w:r>
      <w:r>
        <w:rPr>
          <w:rFonts w:ascii="Arial" w:hAnsi="Arial"/>
          <w:color w:val="111111"/>
          <w:szCs w:val="22"/>
        </w:rPr>
        <w:t xml:space="preserve">Та, як можна побачити з ЗФР за 2017 ФР, це значення стало позитивним, що демонструє значний зріст до 10 219 </w:t>
      </w:r>
      <w:proofErr w:type="spellStart"/>
      <w:r>
        <w:rPr>
          <w:rFonts w:ascii="Arial" w:hAnsi="Arial"/>
          <w:color w:val="111111"/>
          <w:szCs w:val="22"/>
        </w:rPr>
        <w:t>тис.Грн</w:t>
      </w:r>
      <w:proofErr w:type="spellEnd"/>
      <w:r>
        <w:rPr>
          <w:rFonts w:ascii="Arial" w:hAnsi="Arial"/>
          <w:color w:val="111111"/>
          <w:szCs w:val="22"/>
        </w:rPr>
        <w:t>, порівняно із від'ємним значенням у 2016 ФР із постійним зростанням включно із 2019 ФР.</w:t>
      </w:r>
    </w:p>
    <w:p w:rsidR="00067808" w:rsidRDefault="00067808" w:rsidP="00C14EEF">
      <w:pPr>
        <w:pStyle w:val="a8"/>
        <w:spacing w:after="0"/>
        <w:rPr>
          <w:rFonts w:ascii="Arial" w:hAnsi="Arial" w:cs="Arial"/>
          <w:szCs w:val="22"/>
        </w:rPr>
      </w:pPr>
    </w:p>
    <w:p w:rsidR="00DB3D4C" w:rsidRDefault="003C48CE" w:rsidP="00C14EEF">
      <w:pPr>
        <w:pStyle w:val="aa"/>
      </w:pPr>
      <w:bookmarkStart w:id="32" w:name="_Toc48643444"/>
      <w:r>
        <w:t xml:space="preserve">Таблиця </w:t>
      </w:r>
      <w:r w:rsidRPr="00A06EDC">
        <w:rPr>
          <w:rFonts w:ascii="Arial" w:hAnsi="Arial" w:cs="Arial"/>
          <w:szCs w:val="22"/>
        </w:rPr>
        <w:fldChar w:fldCharType="begin"/>
      </w:r>
      <w:r w:rsidRPr="00A06EDC">
        <w:rPr>
          <w:rFonts w:ascii="Arial" w:hAnsi="Arial" w:cs="Arial"/>
          <w:szCs w:val="22"/>
        </w:rPr>
        <w:instrText xml:space="preserve"> SEQ Table \* ARABIC </w:instrText>
      </w:r>
      <w:r w:rsidRPr="00A06EDC">
        <w:rPr>
          <w:rFonts w:ascii="Arial" w:hAnsi="Arial" w:cs="Arial"/>
          <w:szCs w:val="22"/>
        </w:rPr>
        <w:fldChar w:fldCharType="separate"/>
      </w:r>
      <w:r w:rsidR="00CB1B48">
        <w:rPr>
          <w:rFonts w:ascii="Arial" w:hAnsi="Arial" w:cs="Arial"/>
          <w:szCs w:val="22"/>
        </w:rPr>
        <w:t>4</w:t>
      </w:r>
      <w:r w:rsidRPr="00A06EDC">
        <w:rPr>
          <w:rFonts w:ascii="Arial" w:hAnsi="Arial" w:cs="Arial"/>
          <w:szCs w:val="22"/>
        </w:rPr>
        <w:fldChar w:fldCharType="end"/>
      </w:r>
      <w:r>
        <w:t>:</w:t>
      </w:r>
      <w:r>
        <w:rPr>
          <w:rFonts w:ascii="Arial" w:hAnsi="Arial"/>
          <w:szCs w:val="22"/>
        </w:rPr>
        <w:t xml:space="preserve"> </w:t>
      </w:r>
      <w:r>
        <w:t>Короткий огляд консолідованого Звіту про фінансові результат за 2014-201</w:t>
      </w:r>
      <w:bookmarkEnd w:id="25"/>
      <w:r>
        <w:t>9 фіскальні роки</w:t>
      </w:r>
      <w:bookmarkEnd w:id="32"/>
    </w:p>
    <w:p w:rsidR="00067808" w:rsidRDefault="00067808" w:rsidP="00C14EEF">
      <w:pPr>
        <w:pStyle w:val="HydrophilStandard"/>
        <w:spacing w:after="0"/>
        <w:contextualSpacing w:val="0"/>
      </w:pPr>
      <w:r>
        <w:rPr>
          <w:lang w:eastAsia="uk-UA"/>
        </w:rPr>
        <w:drawing>
          <wp:inline distT="0" distB="0" distL="0" distR="0" wp14:anchorId="72D5EE2A" wp14:editId="141EB387">
            <wp:extent cx="6120765" cy="6986905"/>
            <wp:effectExtent l="0" t="0" r="0" b="4445"/>
            <wp:docPr id="464" name="Рисунок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20765" cy="6986905"/>
                    </a:xfrm>
                    <a:prstGeom prst="rect">
                      <a:avLst/>
                    </a:prstGeom>
                    <a:noFill/>
                  </pic:spPr>
                </pic:pic>
              </a:graphicData>
            </a:graphic>
          </wp:inline>
        </w:drawing>
      </w:r>
    </w:p>
    <w:p w:rsidR="00067808" w:rsidRPr="00067808" w:rsidRDefault="00067808" w:rsidP="00C14EEF">
      <w:pPr>
        <w:pStyle w:val="HydrophilStandard"/>
        <w:spacing w:after="0"/>
        <w:contextualSpacing w:val="0"/>
      </w:pPr>
    </w:p>
    <w:p w:rsidR="00C14EEF" w:rsidRDefault="00C14EEF">
      <w:pPr>
        <w:jc w:val="left"/>
        <w:rPr>
          <w:rFonts w:asciiTheme="majorHAnsi" w:eastAsiaTheme="majorEastAsia" w:hAnsiTheme="majorHAnsi" w:cstheme="majorBidi"/>
          <w:bCs/>
          <w:noProof/>
          <w:color w:val="AADC14" w:themeColor="text1"/>
          <w:sz w:val="24"/>
          <w:szCs w:val="24"/>
        </w:rPr>
      </w:pPr>
      <w:bookmarkStart w:id="33" w:name="_Toc48392534"/>
      <w:r>
        <w:br w:type="page"/>
      </w:r>
    </w:p>
    <w:p w:rsidR="00A06EDC" w:rsidRPr="008104FF" w:rsidRDefault="00A06EDC" w:rsidP="00C14EEF">
      <w:pPr>
        <w:pStyle w:val="30"/>
        <w:spacing w:before="0" w:after="0"/>
        <w:contextualSpacing w:val="0"/>
      </w:pPr>
      <w:r>
        <w:t>Операційні витрати</w:t>
      </w:r>
      <w:bookmarkEnd w:id="33"/>
    </w:p>
    <w:p w:rsidR="00067808" w:rsidRPr="00E62BCB" w:rsidRDefault="00067808" w:rsidP="00C14EEF">
      <w:pPr>
        <w:pStyle w:val="a8"/>
        <w:spacing w:after="0"/>
        <w:rPr>
          <w:rFonts w:ascii="Arial" w:hAnsi="Arial" w:cs="Arial"/>
          <w:szCs w:val="22"/>
        </w:rPr>
      </w:pPr>
      <w:r>
        <w:rPr>
          <w:rFonts w:ascii="Arial" w:hAnsi="Arial"/>
          <w:color w:val="111111"/>
          <w:szCs w:val="22"/>
        </w:rPr>
        <w:t>Ця стаття</w:t>
      </w:r>
      <w:r w:rsidR="00CB1B48">
        <w:rPr>
          <w:rFonts w:ascii="Arial" w:hAnsi="Arial"/>
          <w:color w:val="111111"/>
          <w:szCs w:val="22"/>
        </w:rPr>
        <w:t xml:space="preserve"> </w:t>
      </w:r>
      <w:r>
        <w:rPr>
          <w:rFonts w:ascii="Arial" w:hAnsi="Arial"/>
          <w:color w:val="111111"/>
          <w:szCs w:val="22"/>
        </w:rPr>
        <w:t xml:space="preserve">витрат - сума всіх витрат, пов'язаних з </w:t>
      </w:r>
      <w:r w:rsidR="00C14EEF">
        <w:rPr>
          <w:rFonts w:ascii="Arial" w:hAnsi="Arial"/>
          <w:color w:val="111111"/>
          <w:szCs w:val="22"/>
        </w:rPr>
        <w:t>продажом</w:t>
      </w:r>
      <w:r>
        <w:rPr>
          <w:rFonts w:ascii="Arial" w:hAnsi="Arial"/>
          <w:color w:val="111111"/>
          <w:szCs w:val="22"/>
        </w:rPr>
        <w:t xml:space="preserve"> товарів компанії та загальною операційною діяльністю організації.</w:t>
      </w:r>
      <w:r w:rsidR="00CB1B48">
        <w:rPr>
          <w:rFonts w:ascii="Arial" w:hAnsi="Arial"/>
          <w:color w:val="111111"/>
          <w:szCs w:val="22"/>
        </w:rPr>
        <w:t xml:space="preserve"> </w:t>
      </w:r>
      <w:r>
        <w:rPr>
          <w:rFonts w:ascii="Arial" w:hAnsi="Arial"/>
          <w:color w:val="111111"/>
          <w:szCs w:val="22"/>
        </w:rPr>
        <w:t>ЗФР відображає нерівномірну зміну операційних витрат із значним збільшенням у 2018 фіскальному році до 16 025 тис.</w:t>
      </w:r>
      <w:r w:rsidR="00C14EEF">
        <w:rPr>
          <w:rFonts w:ascii="Arial" w:hAnsi="Arial"/>
          <w:color w:val="111111"/>
          <w:szCs w:val="22"/>
        </w:rPr>
        <w:t xml:space="preserve"> г</w:t>
      </w:r>
      <w:r>
        <w:rPr>
          <w:rFonts w:ascii="Arial" w:hAnsi="Arial"/>
          <w:color w:val="111111"/>
          <w:szCs w:val="22"/>
        </w:rPr>
        <w:t xml:space="preserve">рн та у 2019 фіскальному році до 19 920 тис. </w:t>
      </w:r>
      <w:r w:rsidR="00C14EEF">
        <w:rPr>
          <w:rFonts w:ascii="Arial" w:hAnsi="Arial"/>
          <w:color w:val="111111"/>
          <w:szCs w:val="22"/>
        </w:rPr>
        <w:t>г</w:t>
      </w:r>
      <w:r>
        <w:rPr>
          <w:rFonts w:ascii="Arial" w:hAnsi="Arial"/>
          <w:color w:val="111111"/>
          <w:szCs w:val="22"/>
        </w:rPr>
        <w:t xml:space="preserve">рн. </w:t>
      </w:r>
    </w:p>
    <w:p w:rsidR="000D6B12" w:rsidRDefault="000D6B12" w:rsidP="00C14EEF">
      <w:pPr>
        <w:pStyle w:val="a8"/>
        <w:spacing w:after="0"/>
        <w:rPr>
          <w:rFonts w:ascii="Arial" w:hAnsi="Arial" w:cs="Arial"/>
          <w:szCs w:val="22"/>
        </w:rPr>
      </w:pPr>
    </w:p>
    <w:p w:rsidR="00A06EDC" w:rsidRPr="008104FF" w:rsidRDefault="00A06EDC" w:rsidP="00C14EEF">
      <w:pPr>
        <w:pStyle w:val="30"/>
        <w:spacing w:before="0" w:after="0"/>
        <w:contextualSpacing w:val="0"/>
      </w:pPr>
      <w:bookmarkStart w:id="34" w:name="_Toc48392535"/>
      <w:r>
        <w:t>Операційний прибуток (або збиток)</w:t>
      </w:r>
      <w:bookmarkEnd w:id="34"/>
    </w:p>
    <w:p w:rsidR="000D6B12" w:rsidRPr="00C14EEF" w:rsidRDefault="000D6B12" w:rsidP="00C14EEF">
      <w:pPr>
        <w:pStyle w:val="a8"/>
        <w:spacing w:after="0"/>
        <w:rPr>
          <w:rFonts w:ascii="Arial" w:hAnsi="Arial"/>
          <w:color w:val="111111"/>
          <w:szCs w:val="22"/>
        </w:rPr>
      </w:pPr>
      <w:r>
        <w:rPr>
          <w:rFonts w:ascii="Arial" w:hAnsi="Arial"/>
          <w:color w:val="111111"/>
          <w:szCs w:val="22"/>
        </w:rPr>
        <w:t>Операційний прибуток - це індикатор потенційної прибутковості компанії, де всі сторонні фактори - вилучені з розрахунку. Всі витрати, необхідні для ведення діяльності, включаються, тому операційний прибуток враховує знос та амортизацію активів, які є інструментами обліку та результатом діяльності фірми. Операційний прибуток відрізняється від чистого доходу що міняється з року в рік через ці винятки в операційному прибутку компанії.</w:t>
      </w:r>
    </w:p>
    <w:p w:rsidR="000D6B12" w:rsidRDefault="000D6B12" w:rsidP="00C14EEF">
      <w:pPr>
        <w:pStyle w:val="af5"/>
        <w:shd w:val="clear" w:color="auto" w:fill="FFFFFF"/>
        <w:spacing w:after="0" w:line="240" w:lineRule="auto"/>
        <w:jc w:val="both"/>
        <w:rPr>
          <w:rFonts w:ascii="Arial" w:hAnsi="Arial"/>
          <w:color w:val="111111"/>
          <w:sz w:val="22"/>
          <w:szCs w:val="22"/>
        </w:rPr>
      </w:pPr>
      <w:r>
        <w:rPr>
          <w:rFonts w:ascii="Arial" w:hAnsi="Arial"/>
          <w:color w:val="111111"/>
          <w:sz w:val="22"/>
          <w:szCs w:val="22"/>
        </w:rPr>
        <w:t>Іноді прибуток від операційної діяльності також називають прибутком до відрахування відсотків та податку (EBIT) - хоча останній іноді може включати неопераційний дохід, який не є частиною операційного прибутку. Якщо компанія не має неопераційних доходів, її прибуток від операційної діяльності - EBIT.</w:t>
      </w:r>
      <w:r w:rsidR="00CB1B48">
        <w:rPr>
          <w:rFonts w:ascii="Arial" w:hAnsi="Arial"/>
          <w:color w:val="111111"/>
          <w:sz w:val="22"/>
          <w:szCs w:val="22"/>
        </w:rPr>
        <w:t xml:space="preserve"> </w:t>
      </w:r>
      <w:r>
        <w:rPr>
          <w:rFonts w:ascii="Arial" w:hAnsi="Arial"/>
          <w:color w:val="111111"/>
          <w:sz w:val="22"/>
          <w:szCs w:val="22"/>
        </w:rPr>
        <w:t>Але в нашому випадку КП Луцькводоканал має певні не операційні доходи (інші доходи).</w:t>
      </w:r>
      <w:r w:rsidR="00CB1B48">
        <w:rPr>
          <w:rFonts w:ascii="Arial" w:hAnsi="Arial"/>
          <w:color w:val="111111"/>
          <w:sz w:val="22"/>
          <w:szCs w:val="22"/>
        </w:rPr>
        <w:t xml:space="preserve"> </w:t>
      </w:r>
      <w:r>
        <w:rPr>
          <w:rFonts w:ascii="Arial" w:hAnsi="Arial"/>
          <w:color w:val="111111"/>
          <w:sz w:val="22"/>
          <w:szCs w:val="22"/>
        </w:rPr>
        <w:t>Як ми бачимо зі звіту, EBIT за 2014-2016</w:t>
      </w:r>
      <w:r w:rsidR="00CB1B48">
        <w:rPr>
          <w:rFonts w:ascii="Arial" w:hAnsi="Arial"/>
          <w:color w:val="111111"/>
          <w:sz w:val="22"/>
          <w:szCs w:val="22"/>
        </w:rPr>
        <w:t xml:space="preserve"> </w:t>
      </w:r>
      <w:r>
        <w:rPr>
          <w:rFonts w:ascii="Arial" w:hAnsi="Arial"/>
          <w:color w:val="111111"/>
          <w:sz w:val="22"/>
          <w:szCs w:val="22"/>
        </w:rPr>
        <w:t>роки був негативним, але у 2017, 2018 та 2019 фіскальних роках він досяг позитивного значення із тенденцією до зростання.</w:t>
      </w:r>
    </w:p>
    <w:p w:rsidR="00C14EEF" w:rsidRPr="00BC23C5" w:rsidRDefault="00C14EEF" w:rsidP="00C14EEF">
      <w:pPr>
        <w:pStyle w:val="af5"/>
        <w:shd w:val="clear" w:color="auto" w:fill="FFFFFF"/>
        <w:spacing w:after="0" w:line="240" w:lineRule="auto"/>
        <w:jc w:val="both"/>
        <w:rPr>
          <w:rFonts w:ascii="Arial" w:hAnsi="Arial" w:cs="Arial"/>
          <w:color w:val="111111"/>
          <w:sz w:val="22"/>
          <w:szCs w:val="22"/>
        </w:rPr>
      </w:pPr>
    </w:p>
    <w:p w:rsidR="00A06EDC" w:rsidRPr="008104FF" w:rsidRDefault="00A06EDC" w:rsidP="00C14EEF">
      <w:pPr>
        <w:pStyle w:val="30"/>
        <w:spacing w:before="0" w:after="0"/>
        <w:contextualSpacing w:val="0"/>
      </w:pPr>
      <w:bookmarkStart w:id="35" w:name="_Toc48392536"/>
      <w:r>
        <w:t>EBITDA, EBIT та EBT</w:t>
      </w:r>
      <w:bookmarkEnd w:id="35"/>
      <w:r>
        <w:t xml:space="preserve"> </w:t>
      </w:r>
    </w:p>
    <w:p w:rsidR="000D6B12" w:rsidRDefault="000D6B12" w:rsidP="00C14EEF">
      <w:pPr>
        <w:pStyle w:val="a8"/>
        <w:spacing w:after="0"/>
        <w:rPr>
          <w:rFonts w:ascii="Arial" w:hAnsi="Arial"/>
          <w:szCs w:val="22"/>
        </w:rPr>
      </w:pPr>
      <w:r>
        <w:rPr>
          <w:rFonts w:ascii="Arial" w:hAnsi="Arial"/>
          <w:szCs w:val="22"/>
        </w:rPr>
        <w:t>Ми вже зазначали EBIT у контексті операційного прибутку.</w:t>
      </w:r>
      <w:r w:rsidR="00CB1B48">
        <w:rPr>
          <w:rFonts w:ascii="Arial" w:hAnsi="Arial"/>
          <w:szCs w:val="22"/>
        </w:rPr>
        <w:t xml:space="preserve"> </w:t>
      </w:r>
      <w:r>
        <w:rPr>
          <w:rFonts w:ascii="Arial" w:hAnsi="Arial"/>
          <w:szCs w:val="22"/>
        </w:rPr>
        <w:t>Також існують ще два параметри, які слід врахувати: EBT та EBITDA.</w:t>
      </w:r>
      <w:r w:rsidR="00CB1B48">
        <w:rPr>
          <w:rFonts w:ascii="Arial" w:hAnsi="Arial"/>
          <w:szCs w:val="22"/>
        </w:rPr>
        <w:t xml:space="preserve"> </w:t>
      </w:r>
      <w:r>
        <w:rPr>
          <w:rFonts w:ascii="Arial" w:hAnsi="Arial"/>
          <w:szCs w:val="22"/>
        </w:rPr>
        <w:t>Вони відрізняються лише поетапним відрахуванням таких витрат зазначеної</w:t>
      </w:r>
      <w:r w:rsidR="00CB1B48">
        <w:rPr>
          <w:rFonts w:ascii="Arial" w:hAnsi="Arial"/>
          <w:szCs w:val="22"/>
        </w:rPr>
        <w:t xml:space="preserve"> </w:t>
      </w:r>
      <w:r>
        <w:rPr>
          <w:rFonts w:ascii="Arial" w:hAnsi="Arial"/>
          <w:szCs w:val="22"/>
        </w:rPr>
        <w:t>компанії, як відсотки, знос та амортизація.</w:t>
      </w:r>
      <w:r w:rsidR="00CB1B48">
        <w:rPr>
          <w:rFonts w:ascii="Arial" w:hAnsi="Arial"/>
          <w:szCs w:val="22"/>
        </w:rPr>
        <w:t xml:space="preserve"> </w:t>
      </w:r>
      <w:r>
        <w:rPr>
          <w:rFonts w:ascii="Arial" w:hAnsi="Arial"/>
          <w:szCs w:val="22"/>
        </w:rPr>
        <w:t>Усі ці параметри повинні мати хоча б позитивне значення.</w:t>
      </w:r>
      <w:r w:rsidR="00CB1B48">
        <w:rPr>
          <w:rFonts w:ascii="Arial" w:hAnsi="Arial"/>
          <w:szCs w:val="22"/>
        </w:rPr>
        <w:t xml:space="preserve"> </w:t>
      </w:r>
      <w:r>
        <w:rPr>
          <w:rFonts w:ascii="Arial" w:hAnsi="Arial"/>
          <w:szCs w:val="22"/>
        </w:rPr>
        <w:t>За даними ЗФР, КП Луцькводоканал відповідає цьому критерію у 2017, 2018 та 2019 фіскальних роках, але впродовж 2014-2016 років демонструвало негативне значення.</w:t>
      </w:r>
      <w:r w:rsidR="00CB1B48">
        <w:rPr>
          <w:rFonts w:ascii="Arial" w:hAnsi="Arial"/>
          <w:szCs w:val="22"/>
        </w:rPr>
        <w:t xml:space="preserve"> </w:t>
      </w:r>
      <w:r>
        <w:rPr>
          <w:rFonts w:ascii="Arial" w:hAnsi="Arial"/>
          <w:szCs w:val="22"/>
        </w:rPr>
        <w:t>Це може вважатися позитивною тенденцією.</w:t>
      </w:r>
    </w:p>
    <w:p w:rsidR="00C14EEF" w:rsidRPr="00E62BCB" w:rsidRDefault="00C14EEF" w:rsidP="00C14EEF">
      <w:pPr>
        <w:pStyle w:val="a8"/>
        <w:spacing w:after="0"/>
        <w:rPr>
          <w:rFonts w:ascii="Arial" w:hAnsi="Arial" w:cs="Arial"/>
          <w:szCs w:val="22"/>
        </w:rPr>
      </w:pPr>
    </w:p>
    <w:p w:rsidR="00A06EDC" w:rsidRPr="008104FF" w:rsidRDefault="00A06EDC" w:rsidP="00C14EEF">
      <w:pPr>
        <w:pStyle w:val="30"/>
        <w:spacing w:before="0" w:after="0"/>
        <w:contextualSpacing w:val="0"/>
      </w:pPr>
      <w:bookmarkStart w:id="36" w:name="_Toc48392537"/>
      <w:r>
        <w:t>Чистий дохід</w:t>
      </w:r>
      <w:bookmarkEnd w:id="36"/>
    </w:p>
    <w:p w:rsidR="000D6B12" w:rsidRPr="00E62BCB" w:rsidRDefault="000D6B12" w:rsidP="00C14EEF">
      <w:pPr>
        <w:pStyle w:val="a8"/>
        <w:spacing w:after="0"/>
        <w:rPr>
          <w:rFonts w:ascii="Arial" w:hAnsi="Arial" w:cs="Arial"/>
          <w:szCs w:val="22"/>
        </w:rPr>
      </w:pPr>
      <w:r>
        <w:rPr>
          <w:rFonts w:ascii="Arial" w:hAnsi="Arial"/>
          <w:color w:val="111111"/>
          <w:szCs w:val="22"/>
          <w:shd w:val="clear" w:color="auto" w:fill="FFFFFF"/>
        </w:rPr>
        <w:t>Чистий дохід компанії - це прибуток, досягнутий після відрахування всіх витрат.</w:t>
      </w:r>
    </w:p>
    <w:p w:rsidR="000D6B12" w:rsidRDefault="000D6B12" w:rsidP="00C14EEF">
      <w:pPr>
        <w:pStyle w:val="a8"/>
        <w:spacing w:after="0"/>
        <w:rPr>
          <w:rFonts w:ascii="Arial" w:hAnsi="Arial" w:cs="Arial"/>
          <w:color w:val="111111"/>
          <w:szCs w:val="22"/>
          <w:shd w:val="clear" w:color="auto" w:fill="FFFFFF"/>
        </w:rPr>
      </w:pPr>
    </w:p>
    <w:p w:rsidR="000D6B12" w:rsidRPr="00E62BCB" w:rsidRDefault="000D6B12" w:rsidP="00C14EEF">
      <w:pPr>
        <w:pStyle w:val="a8"/>
        <w:spacing w:after="0"/>
        <w:rPr>
          <w:rFonts w:ascii="Arial" w:hAnsi="Arial" w:cs="Arial"/>
          <w:szCs w:val="22"/>
        </w:rPr>
      </w:pPr>
      <w:r>
        <w:rPr>
          <w:rFonts w:ascii="Arial" w:hAnsi="Arial"/>
          <w:color w:val="111111"/>
          <w:szCs w:val="22"/>
          <w:shd w:val="clear" w:color="auto" w:fill="FFFFFF"/>
        </w:rPr>
        <w:t>Прибутки найчастіше асоціюються з найнижчими результатами компанії, відображеними в ЗФР. У нижньому рядку видно, скільки заробила компанія після відрахування всіх своїх витрат. Цей захід можна віднести до чистого доходу, чистого прибутку чи чистої виручки.</w:t>
      </w:r>
      <w:r w:rsidR="00CB1B48">
        <w:rPr>
          <w:rFonts w:ascii="Arial" w:hAnsi="Arial"/>
          <w:color w:val="111111"/>
          <w:szCs w:val="22"/>
          <w:shd w:val="clear" w:color="auto" w:fill="FFFFFF"/>
        </w:rPr>
        <w:t xml:space="preserve"> </w:t>
      </w:r>
      <w:r>
        <w:rPr>
          <w:rFonts w:ascii="Arial" w:hAnsi="Arial"/>
          <w:color w:val="111111"/>
          <w:szCs w:val="22"/>
          <w:shd w:val="clear" w:color="auto" w:fill="FFFFFF"/>
        </w:rPr>
        <w:t>Зрештою, це може бути найважливішим показником у звіті про фінансовий результат, оскільки він всебічно відображає загальну результативність прибутку компанії та переноситься до балансового звіту та звіту про рух грошових коштів.</w:t>
      </w:r>
    </w:p>
    <w:p w:rsidR="000D6B12" w:rsidRPr="00E62BCB" w:rsidRDefault="000D6B12" w:rsidP="00C14EEF">
      <w:pPr>
        <w:pStyle w:val="a8"/>
        <w:spacing w:after="0"/>
        <w:rPr>
          <w:rFonts w:ascii="Arial" w:hAnsi="Arial" w:cs="Arial"/>
          <w:szCs w:val="22"/>
        </w:rPr>
      </w:pPr>
    </w:p>
    <w:p w:rsidR="000D6B12" w:rsidRPr="00E62BCB" w:rsidRDefault="000D6B12" w:rsidP="00C14EEF">
      <w:pPr>
        <w:pStyle w:val="a8"/>
        <w:spacing w:after="0"/>
        <w:rPr>
          <w:rFonts w:ascii="Arial" w:hAnsi="Arial" w:cs="Arial"/>
          <w:szCs w:val="22"/>
        </w:rPr>
      </w:pPr>
      <w:r>
        <w:rPr>
          <w:rFonts w:ascii="Arial" w:hAnsi="Arial"/>
          <w:szCs w:val="22"/>
        </w:rPr>
        <w:t>Як ми бачимо з ЗФР, цей показник має негативне значення за 2014–2018 фінансові роки звітного періоду, звичайно з деяким суттєвим зниженням у 2016 фіскальному році.</w:t>
      </w:r>
      <w:r w:rsidR="00CB1B48">
        <w:rPr>
          <w:rFonts w:ascii="Arial" w:hAnsi="Arial"/>
          <w:szCs w:val="22"/>
        </w:rPr>
        <w:t xml:space="preserve"> </w:t>
      </w:r>
      <w:r>
        <w:rPr>
          <w:rFonts w:ascii="Arial" w:hAnsi="Arial"/>
          <w:szCs w:val="22"/>
        </w:rPr>
        <w:t>Але за 12 місяців 2011 року цей параметр вже досяг позитивного значення.</w:t>
      </w:r>
    </w:p>
    <w:p w:rsidR="00EF0788" w:rsidRDefault="00EF0788" w:rsidP="00C14EEF">
      <w:pPr>
        <w:widowControl w:val="0"/>
        <w:autoSpaceDE w:val="0"/>
        <w:autoSpaceDN w:val="0"/>
        <w:adjustRightInd w:val="0"/>
        <w:rPr>
          <w:rFonts w:ascii="Arial" w:hAnsi="Arial" w:cs="Arial"/>
          <w:color w:val="000000"/>
          <w:sz w:val="20"/>
          <w:highlight w:val="lightGray"/>
        </w:rPr>
      </w:pPr>
    </w:p>
    <w:p w:rsidR="00A21E0F" w:rsidRPr="008104FF" w:rsidRDefault="00A21E0F" w:rsidP="00C14EEF">
      <w:pPr>
        <w:pStyle w:val="2"/>
        <w:spacing w:before="0" w:after="0"/>
        <w:contextualSpacing w:val="0"/>
      </w:pPr>
      <w:bookmarkStart w:id="37" w:name="_Toc48392538"/>
      <w:r>
        <w:t>Звіт про рух грошових коштів</w:t>
      </w:r>
      <w:bookmarkEnd w:id="37"/>
    </w:p>
    <w:p w:rsidR="000D6B12" w:rsidRPr="00E62BCB" w:rsidRDefault="000D6B12" w:rsidP="00C14EEF">
      <w:pPr>
        <w:rPr>
          <w:rFonts w:ascii="Arial" w:hAnsi="Arial" w:cs="Arial"/>
          <w:szCs w:val="22"/>
        </w:rPr>
      </w:pPr>
      <w:r>
        <w:rPr>
          <w:rFonts w:ascii="Arial" w:hAnsi="Arial"/>
          <w:szCs w:val="22"/>
        </w:rPr>
        <w:t>Звіт про рух грошових коштів відображає витрати компанії (відтоки грошових коштів) і звідки компанія отримує свої гроші (притоки грошових коштів).</w:t>
      </w:r>
      <w:r>
        <w:rPr>
          <w:rFonts w:ascii="Arial" w:hAnsi="Arial"/>
          <w:color w:val="111111"/>
          <w:szCs w:val="22"/>
        </w:rPr>
        <w:t xml:space="preserve"> </w:t>
      </w:r>
      <w:r>
        <w:rPr>
          <w:rFonts w:ascii="Arial" w:hAnsi="Arial"/>
          <w:szCs w:val="22"/>
        </w:rPr>
        <w:t>Звіт про рух грошових коштів включає всі надходження, які компанія отримує від своїх поточних операцій та із джерел зовнішніх інвестицій, а також усі відтоки грошових коштів, сплачені за провадження діяльності та інвестиції протягом даного кварталу.</w:t>
      </w:r>
    </w:p>
    <w:p w:rsidR="000D6B12" w:rsidRPr="00E62BCB" w:rsidRDefault="000D6B12" w:rsidP="00C14EEF">
      <w:pPr>
        <w:rPr>
          <w:rFonts w:ascii="Arial" w:hAnsi="Arial" w:cs="Arial"/>
          <w:szCs w:val="22"/>
        </w:rPr>
      </w:pPr>
    </w:p>
    <w:p w:rsidR="000D6B12" w:rsidRPr="00E62BCB" w:rsidRDefault="000D6B12" w:rsidP="00C14EEF">
      <w:pPr>
        <w:rPr>
          <w:rFonts w:ascii="Arial" w:hAnsi="Arial" w:cs="Arial"/>
          <w:szCs w:val="22"/>
        </w:rPr>
      </w:pPr>
      <w:r>
        <w:rPr>
          <w:rFonts w:ascii="Arial" w:hAnsi="Arial"/>
          <w:color w:val="111111"/>
          <w:szCs w:val="22"/>
        </w:rPr>
        <w:t>Вільний грошовий потік є важливим показником для інвесторів, для оцінювання. Він фіксує всі позитивні параметри внутрішніх грошових коштів, отриманих в результаті діяльності компанії та контролює використання грошових коштів на капітальні витрати. Якщо рух грошових коштів компанії - позитивний, це демонструє спроможність компанії до уникнення зайвих запозичень, розширення діяльності, виплати дивідендів та вистояти у важкі часи.</w:t>
      </w:r>
    </w:p>
    <w:p w:rsidR="000D6B12" w:rsidRPr="00E62BCB" w:rsidRDefault="000D6B12" w:rsidP="00C14EEF">
      <w:pPr>
        <w:rPr>
          <w:rFonts w:ascii="Arial" w:hAnsi="Arial" w:cs="Arial"/>
          <w:szCs w:val="22"/>
        </w:rPr>
      </w:pPr>
    </w:p>
    <w:p w:rsidR="000D6B12" w:rsidRPr="00E62BCB" w:rsidRDefault="000D6B12" w:rsidP="00C14EEF">
      <w:pPr>
        <w:rPr>
          <w:rFonts w:ascii="Arial" w:hAnsi="Arial" w:cs="Arial"/>
          <w:szCs w:val="22"/>
        </w:rPr>
      </w:pPr>
      <w:r>
        <w:rPr>
          <w:rFonts w:ascii="Arial" w:hAnsi="Arial"/>
          <w:szCs w:val="22"/>
        </w:rPr>
        <w:t>Основний момент у цьому звітові - це, звісно, чистий грошовий потік, який демонструє прибуток компанії.</w:t>
      </w:r>
      <w:r w:rsidR="00CB1B48">
        <w:rPr>
          <w:rFonts w:ascii="Arial" w:hAnsi="Arial"/>
          <w:szCs w:val="22"/>
        </w:rPr>
        <w:t xml:space="preserve"> </w:t>
      </w:r>
      <w:r>
        <w:rPr>
          <w:rFonts w:ascii="Arial" w:hAnsi="Arial"/>
          <w:szCs w:val="22"/>
        </w:rPr>
        <w:t>Дані, представлені у Зведеному звітові про рух грошових коштів за 2014-2019 фіскальні роки. (Таблиця 5), демонструють, що лише за 2016, 2018 та 2019 роки чистий грошовий потік за звітний період має позитивне значення.</w:t>
      </w:r>
      <w:r w:rsidR="00CB1B48">
        <w:rPr>
          <w:rFonts w:ascii="Arial" w:hAnsi="Arial"/>
          <w:szCs w:val="22"/>
        </w:rPr>
        <w:t xml:space="preserve"> </w:t>
      </w:r>
      <w:r>
        <w:rPr>
          <w:rFonts w:ascii="Arial" w:hAnsi="Arial"/>
          <w:szCs w:val="22"/>
        </w:rPr>
        <w:t>Слід зазначити, що у 2017 фіскальному році чисті грошові кошти за звітний період значно зменшилися порівняно з 2016 фіскальним роком.</w:t>
      </w:r>
      <w:r w:rsidR="00CB1B48">
        <w:rPr>
          <w:rFonts w:ascii="Arial" w:hAnsi="Arial"/>
          <w:szCs w:val="22"/>
        </w:rPr>
        <w:t xml:space="preserve"> </w:t>
      </w:r>
      <w:r>
        <w:rPr>
          <w:rFonts w:ascii="Arial" w:hAnsi="Arial"/>
          <w:szCs w:val="22"/>
        </w:rPr>
        <w:t>У 2018 та 2019 фіскальному році цей параметр продемонстрував достатнє зростання порівняно з 2017 роком, але все ще залишається досить низьким.</w:t>
      </w:r>
    </w:p>
    <w:p w:rsidR="00A21E0F" w:rsidRPr="00337277" w:rsidRDefault="00A21E0F" w:rsidP="00C14EEF">
      <w:pPr>
        <w:rPr>
          <w:rFonts w:ascii="Arial" w:hAnsi="Arial" w:cs="Arial"/>
          <w:szCs w:val="22"/>
          <w:lang w:val="ru-RU"/>
        </w:rPr>
      </w:pPr>
    </w:p>
    <w:p w:rsidR="00A21E0F" w:rsidRPr="00E26FE9" w:rsidRDefault="00A21E0F" w:rsidP="00C14EEF">
      <w:pPr>
        <w:pStyle w:val="aa"/>
        <w:rPr>
          <w:rFonts w:ascii="Arial" w:hAnsi="Arial" w:cs="Arial"/>
          <w:szCs w:val="22"/>
        </w:rPr>
      </w:pPr>
      <w:bookmarkStart w:id="38" w:name="_Toc48643445"/>
      <w:r>
        <w:t xml:space="preserve">Таблиця </w:t>
      </w:r>
      <w:r w:rsidRPr="00E26FE9">
        <w:rPr>
          <w:rFonts w:ascii="Arial" w:hAnsi="Arial" w:cs="Arial"/>
          <w:szCs w:val="22"/>
        </w:rPr>
        <w:fldChar w:fldCharType="begin"/>
      </w:r>
      <w:r w:rsidRPr="00E26FE9">
        <w:rPr>
          <w:rFonts w:ascii="Arial" w:hAnsi="Arial" w:cs="Arial"/>
          <w:szCs w:val="22"/>
        </w:rPr>
        <w:instrText xml:space="preserve"> SEQ Table \* ARABIC </w:instrText>
      </w:r>
      <w:r w:rsidRPr="00E26FE9">
        <w:rPr>
          <w:rFonts w:ascii="Arial" w:hAnsi="Arial" w:cs="Arial"/>
          <w:szCs w:val="22"/>
        </w:rPr>
        <w:fldChar w:fldCharType="separate"/>
      </w:r>
      <w:r w:rsidR="00CB1B48">
        <w:rPr>
          <w:rFonts w:ascii="Arial" w:hAnsi="Arial" w:cs="Arial"/>
          <w:szCs w:val="22"/>
        </w:rPr>
        <w:t>5</w:t>
      </w:r>
      <w:r w:rsidRPr="00E26FE9">
        <w:rPr>
          <w:rFonts w:ascii="Arial" w:hAnsi="Arial" w:cs="Arial"/>
          <w:szCs w:val="22"/>
        </w:rPr>
        <w:fldChar w:fldCharType="end"/>
      </w:r>
      <w:r>
        <w:t>:</w:t>
      </w:r>
      <w:r>
        <w:rPr>
          <w:rFonts w:ascii="Arial" w:hAnsi="Arial"/>
          <w:szCs w:val="22"/>
        </w:rPr>
        <w:t xml:space="preserve"> Короткий огляд звітів про рух грошових коштів за 2014-2019 фінансові роки</w:t>
      </w:r>
      <w:bookmarkEnd w:id="38"/>
    </w:p>
    <w:p w:rsidR="00A21E0F" w:rsidRDefault="004F28C4" w:rsidP="00C14EEF">
      <w:pPr>
        <w:jc w:val="left"/>
        <w:rPr>
          <w:rFonts w:ascii="Arial" w:hAnsi="Arial" w:cs="Arial"/>
          <w:szCs w:val="22"/>
        </w:rPr>
      </w:pPr>
      <w:r w:rsidRPr="004F28C4">
        <w:rPr>
          <w:noProof/>
          <w:lang w:eastAsia="uk-UA"/>
        </w:rPr>
        <w:drawing>
          <wp:inline distT="0" distB="0" distL="0" distR="0" wp14:anchorId="78D9F5AA" wp14:editId="5CB280BA">
            <wp:extent cx="5715000" cy="5248275"/>
            <wp:effectExtent l="0" t="0" r="0" b="9525"/>
            <wp:docPr id="468" name="Рисунок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15000" cy="5248275"/>
                    </a:xfrm>
                    <a:prstGeom prst="rect">
                      <a:avLst/>
                    </a:prstGeom>
                    <a:noFill/>
                    <a:ln>
                      <a:noFill/>
                    </a:ln>
                  </pic:spPr>
                </pic:pic>
              </a:graphicData>
            </a:graphic>
          </wp:inline>
        </w:drawing>
      </w:r>
    </w:p>
    <w:p w:rsidR="008E170B" w:rsidRPr="00E62BCB" w:rsidRDefault="008E170B" w:rsidP="00C14EEF">
      <w:pPr>
        <w:jc w:val="left"/>
        <w:rPr>
          <w:rFonts w:ascii="Arial" w:hAnsi="Arial" w:cs="Arial"/>
          <w:szCs w:val="22"/>
        </w:rPr>
      </w:pPr>
    </w:p>
    <w:p w:rsidR="00196D30" w:rsidRPr="00E62BCB" w:rsidRDefault="00196D30" w:rsidP="00C14EEF">
      <w:pPr>
        <w:rPr>
          <w:rFonts w:ascii="Arial" w:hAnsi="Arial" w:cs="Arial"/>
          <w:szCs w:val="22"/>
        </w:rPr>
      </w:pPr>
      <w:r>
        <w:rPr>
          <w:rFonts w:ascii="Arial" w:hAnsi="Arial"/>
          <w:szCs w:val="22"/>
        </w:rPr>
        <w:t>Необхідно також звернути увагу на частку "Субвенцій" у грошовому потоці підприємства.</w:t>
      </w:r>
      <w:r w:rsidR="00CB1B48">
        <w:rPr>
          <w:rFonts w:ascii="Arial" w:hAnsi="Arial"/>
          <w:szCs w:val="22"/>
        </w:rPr>
        <w:t xml:space="preserve"> </w:t>
      </w:r>
      <w:r>
        <w:rPr>
          <w:rFonts w:ascii="Arial" w:hAnsi="Arial"/>
          <w:szCs w:val="22"/>
        </w:rPr>
        <w:t>Частка субвенцій у доходах від комунальних послуг варіюється від 30,48% (у 2014 фіскальному році) до 0,0% (у 2016 та 2017 фіскальних роках) але залишається важливою для фінансів комунального підприємства, однак із певним зниженням у 2019 фіскальному році.</w:t>
      </w:r>
    </w:p>
    <w:p w:rsidR="00A21E0F" w:rsidRDefault="00A21E0F" w:rsidP="00C14EEF">
      <w:pPr>
        <w:jc w:val="left"/>
        <w:rPr>
          <w:rFonts w:ascii="Arial" w:hAnsi="Arial" w:cs="Arial"/>
          <w:szCs w:val="22"/>
        </w:rPr>
      </w:pPr>
    </w:p>
    <w:p w:rsidR="008E170B" w:rsidRPr="00E62BCB" w:rsidRDefault="008E170B" w:rsidP="00C14EEF">
      <w:pPr>
        <w:jc w:val="left"/>
        <w:rPr>
          <w:rFonts w:ascii="Arial" w:hAnsi="Arial" w:cs="Arial"/>
          <w:szCs w:val="22"/>
        </w:rPr>
      </w:pPr>
    </w:p>
    <w:p w:rsidR="00C60F58" w:rsidRDefault="00C60F58">
      <w:pPr>
        <w:jc w:val="left"/>
        <w:rPr>
          <w:rFonts w:asciiTheme="minorHAnsi" w:hAnsiTheme="minorHAnsi"/>
          <w:b/>
          <w:bCs/>
          <w:noProof/>
          <w:szCs w:val="18"/>
        </w:rPr>
      </w:pPr>
      <w:r>
        <w:br w:type="page"/>
      </w:r>
    </w:p>
    <w:p w:rsidR="00A21E0F" w:rsidRPr="00301619" w:rsidRDefault="00A21E0F" w:rsidP="00C14EEF">
      <w:pPr>
        <w:pStyle w:val="aa"/>
        <w:rPr>
          <w:rFonts w:ascii="Arial" w:hAnsi="Arial" w:cs="Arial"/>
          <w:szCs w:val="22"/>
        </w:rPr>
      </w:pPr>
      <w:bookmarkStart w:id="39" w:name="_Toc48643463"/>
      <w:r>
        <w:t xml:space="preserve">Малюнок </w:t>
      </w:r>
      <w:r w:rsidRPr="00301619">
        <w:rPr>
          <w:rFonts w:ascii="Arial" w:hAnsi="Arial" w:cs="Arial"/>
          <w:szCs w:val="22"/>
        </w:rPr>
        <w:fldChar w:fldCharType="begin"/>
      </w:r>
      <w:r w:rsidRPr="00301619">
        <w:rPr>
          <w:rFonts w:ascii="Arial" w:hAnsi="Arial" w:cs="Arial"/>
          <w:szCs w:val="22"/>
        </w:rPr>
        <w:instrText xml:space="preserve"> SEQ Figure \* ARABIC </w:instrText>
      </w:r>
      <w:r w:rsidRPr="00301619">
        <w:rPr>
          <w:rFonts w:ascii="Arial" w:hAnsi="Arial" w:cs="Arial"/>
          <w:szCs w:val="22"/>
        </w:rPr>
        <w:fldChar w:fldCharType="separate"/>
      </w:r>
      <w:r w:rsidR="00CB1B48">
        <w:rPr>
          <w:rFonts w:ascii="Arial" w:hAnsi="Arial" w:cs="Arial"/>
          <w:szCs w:val="22"/>
        </w:rPr>
        <w:t>3</w:t>
      </w:r>
      <w:r w:rsidRPr="00301619">
        <w:rPr>
          <w:rFonts w:ascii="Arial" w:hAnsi="Arial" w:cs="Arial"/>
          <w:szCs w:val="22"/>
        </w:rPr>
        <w:fldChar w:fldCharType="end"/>
      </w:r>
      <w:r>
        <w:t>:</w:t>
      </w:r>
      <w:r>
        <w:rPr>
          <w:rFonts w:ascii="Arial" w:hAnsi="Arial"/>
          <w:szCs w:val="22"/>
        </w:rPr>
        <w:t xml:space="preserve"> Частка субвенцій у доходах комунального підприємства (у % від загального доходу)</w:t>
      </w:r>
      <w:bookmarkEnd w:id="39"/>
    </w:p>
    <w:p w:rsidR="00A21E0F" w:rsidRDefault="00196D30" w:rsidP="00C14EEF">
      <w:pPr>
        <w:jc w:val="left"/>
        <w:rPr>
          <w:rFonts w:ascii="Times New Roman" w:hAnsi="Times New Roman"/>
          <w:sz w:val="24"/>
          <w:szCs w:val="24"/>
        </w:rPr>
      </w:pPr>
      <w:r>
        <w:rPr>
          <w:rFonts w:ascii="Times New Roman" w:hAnsi="Times New Roman"/>
          <w:noProof/>
          <w:sz w:val="24"/>
          <w:szCs w:val="24"/>
          <w:lang w:eastAsia="uk-UA"/>
        </w:rPr>
        <w:drawing>
          <wp:inline distT="0" distB="0" distL="0" distR="0" wp14:anchorId="47015715" wp14:editId="19768F9B">
            <wp:extent cx="4584700" cy="2755900"/>
            <wp:effectExtent l="0" t="0" r="6350" b="6350"/>
            <wp:docPr id="469" name="Рисунок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A21E0F" w:rsidRPr="00E62BCB" w:rsidRDefault="00A21E0F" w:rsidP="00C14EEF">
      <w:pPr>
        <w:jc w:val="left"/>
        <w:rPr>
          <w:rFonts w:ascii="Arial" w:hAnsi="Arial" w:cs="Arial"/>
          <w:szCs w:val="22"/>
        </w:rPr>
      </w:pPr>
    </w:p>
    <w:p w:rsidR="00A21E0F" w:rsidRPr="00E62BCB" w:rsidRDefault="00A21E0F" w:rsidP="00C14EEF">
      <w:pPr>
        <w:jc w:val="left"/>
        <w:rPr>
          <w:rFonts w:ascii="Arial" w:hAnsi="Arial" w:cs="Arial"/>
          <w:szCs w:val="22"/>
        </w:rPr>
      </w:pPr>
    </w:p>
    <w:p w:rsidR="00A21E0F" w:rsidRPr="008104FF" w:rsidRDefault="00A21E0F" w:rsidP="00C14EEF">
      <w:pPr>
        <w:pStyle w:val="1"/>
        <w:spacing w:before="0" w:after="0"/>
        <w:contextualSpacing w:val="0"/>
      </w:pPr>
      <w:bookmarkStart w:id="40" w:name="_Toc501108079"/>
      <w:bookmarkStart w:id="41" w:name="_Toc48392539"/>
      <w:r>
        <w:t>ОСНОВНІ ФІНАНСОВІ ПОКАЗНИКИ</w:t>
      </w:r>
      <w:bookmarkEnd w:id="40"/>
      <w:bookmarkEnd w:id="41"/>
    </w:p>
    <w:p w:rsidR="00D41F2E" w:rsidRPr="00E62BCB" w:rsidRDefault="00D41F2E" w:rsidP="00C14EEF">
      <w:pPr>
        <w:rPr>
          <w:rFonts w:ascii="Arial" w:hAnsi="Arial" w:cs="Arial"/>
          <w:color w:val="111111"/>
          <w:szCs w:val="22"/>
        </w:rPr>
      </w:pPr>
      <w:r>
        <w:rPr>
          <w:rFonts w:ascii="Arial" w:hAnsi="Arial"/>
          <w:szCs w:val="22"/>
        </w:rPr>
        <w:t>Ще од</w:t>
      </w:r>
      <w:r w:rsidR="00C60F58">
        <w:rPr>
          <w:rFonts w:ascii="Arial" w:hAnsi="Arial"/>
          <w:szCs w:val="22"/>
        </w:rPr>
        <w:t>ин</w:t>
      </w:r>
      <w:r>
        <w:rPr>
          <w:rFonts w:ascii="Arial" w:hAnsi="Arial"/>
          <w:szCs w:val="22"/>
        </w:rPr>
        <w:t xml:space="preserve"> корисний метод аналізу фінансової звітності - це аналіз фінансових показників.</w:t>
      </w:r>
      <w:r w:rsidR="00CB1B48">
        <w:rPr>
          <w:rFonts w:ascii="Arial" w:hAnsi="Arial"/>
          <w:szCs w:val="22"/>
        </w:rPr>
        <w:t xml:space="preserve"> </w:t>
      </w:r>
      <w:r>
        <w:rPr>
          <w:rFonts w:ascii="Arial" w:hAnsi="Arial"/>
          <w:color w:val="111111"/>
          <w:szCs w:val="22"/>
        </w:rPr>
        <w:t xml:space="preserve">Для аналізу фінансових показників застосовуються формули для отримання інформації про компанію та її діяльність. </w:t>
      </w:r>
      <w:r>
        <w:rPr>
          <w:rFonts w:ascii="Arial" w:hAnsi="Arial"/>
          <w:szCs w:val="22"/>
        </w:rPr>
        <w:t>Для балансового звіту, за використання фінансових показників (наприклад, Співвідношення позикового капіталу до власного)</w:t>
      </w:r>
      <w:r w:rsidR="00C60F58">
        <w:rPr>
          <w:rFonts w:ascii="Arial" w:hAnsi="Arial"/>
          <w:szCs w:val="22"/>
        </w:rPr>
        <w:t>,</w:t>
      </w:r>
      <w:r>
        <w:rPr>
          <w:rFonts w:ascii="Arial" w:hAnsi="Arial"/>
          <w:szCs w:val="22"/>
        </w:rPr>
        <w:t xml:space="preserve"> може забезпечити гарний фінансовий стан компанії разом з</w:t>
      </w:r>
      <w:r w:rsidR="00CB1B48">
        <w:rPr>
          <w:rFonts w:ascii="Arial" w:hAnsi="Arial"/>
          <w:szCs w:val="22"/>
        </w:rPr>
        <w:t xml:space="preserve"> </w:t>
      </w:r>
      <w:r>
        <w:rPr>
          <w:rFonts w:ascii="Arial" w:hAnsi="Arial"/>
          <w:szCs w:val="22"/>
        </w:rPr>
        <w:t>Ефективністю її роботи.</w:t>
      </w:r>
      <w:r>
        <w:rPr>
          <w:rFonts w:ascii="Arial" w:hAnsi="Arial"/>
          <w:color w:val="111111"/>
          <w:szCs w:val="22"/>
        </w:rPr>
        <w:t xml:space="preserve"> Важливо зазначити, що певні показники потребують інформації з декількох фінансових звітів, наприклад з Балансового звіту та Звіту про фінансові результати.</w:t>
      </w:r>
    </w:p>
    <w:p w:rsidR="00D41F2E" w:rsidRPr="00337277" w:rsidRDefault="00D41F2E" w:rsidP="00C14EEF">
      <w:pPr>
        <w:pStyle w:val="af5"/>
        <w:shd w:val="clear" w:color="auto" w:fill="FFFFFF"/>
        <w:spacing w:after="0" w:line="240" w:lineRule="auto"/>
        <w:jc w:val="both"/>
        <w:rPr>
          <w:rFonts w:ascii="Arial" w:hAnsi="Arial" w:cs="Arial"/>
          <w:color w:val="111111"/>
          <w:sz w:val="22"/>
          <w:szCs w:val="22"/>
        </w:rPr>
      </w:pPr>
    </w:p>
    <w:p w:rsidR="00D41F2E" w:rsidRPr="00BC23C5" w:rsidRDefault="00D41F2E" w:rsidP="00C14EEF">
      <w:pPr>
        <w:pStyle w:val="af5"/>
        <w:shd w:val="clear" w:color="auto" w:fill="FFFFFF"/>
        <w:spacing w:after="0" w:line="240" w:lineRule="auto"/>
        <w:jc w:val="both"/>
        <w:rPr>
          <w:rFonts w:ascii="Arial" w:hAnsi="Arial" w:cs="Arial"/>
          <w:color w:val="111111"/>
          <w:sz w:val="22"/>
          <w:szCs w:val="22"/>
        </w:rPr>
      </w:pPr>
      <w:r>
        <w:rPr>
          <w:rFonts w:ascii="Arial" w:hAnsi="Arial"/>
          <w:sz w:val="22"/>
          <w:szCs w:val="22"/>
        </w:rPr>
        <w:t>До показників, що застосовують дані балансового звіту, належать показники фінансової стійкості та показники економічної активності.</w:t>
      </w:r>
      <w:r>
        <w:rPr>
          <w:rFonts w:ascii="Arial" w:hAnsi="Arial"/>
          <w:color w:val="111111"/>
          <w:sz w:val="22"/>
          <w:szCs w:val="22"/>
        </w:rPr>
        <w:t xml:space="preserve"> </w:t>
      </w:r>
      <w:r>
        <w:rPr>
          <w:rFonts w:ascii="Arial" w:hAnsi="Arial"/>
          <w:sz w:val="22"/>
          <w:szCs w:val="22"/>
        </w:rPr>
        <w:t>Показники фінансової стійкості, такі як Коефіцієнти оборотного капіталу та Співвідношення позикового капіталу до власного, дають інформацію про виконання та використання зобов'язань компанії.</w:t>
      </w:r>
    </w:p>
    <w:p w:rsidR="00D41F2E" w:rsidRPr="00337277" w:rsidRDefault="00D41F2E" w:rsidP="00C14EEF">
      <w:pPr>
        <w:pStyle w:val="af5"/>
        <w:shd w:val="clear" w:color="auto" w:fill="FFFFFF"/>
        <w:spacing w:after="0" w:line="240" w:lineRule="auto"/>
        <w:jc w:val="both"/>
        <w:rPr>
          <w:rFonts w:ascii="Arial" w:hAnsi="Arial" w:cs="Arial"/>
          <w:color w:val="111111"/>
          <w:sz w:val="22"/>
          <w:szCs w:val="22"/>
        </w:rPr>
      </w:pPr>
    </w:p>
    <w:p w:rsidR="00D41F2E" w:rsidRPr="00BC23C5" w:rsidRDefault="00D41F2E" w:rsidP="00C14EEF">
      <w:pPr>
        <w:pStyle w:val="af5"/>
        <w:shd w:val="clear" w:color="auto" w:fill="FFFFFF"/>
        <w:spacing w:after="0" w:line="240" w:lineRule="auto"/>
        <w:jc w:val="both"/>
        <w:rPr>
          <w:rFonts w:ascii="Arial" w:hAnsi="Arial" w:cs="Arial"/>
          <w:color w:val="111111"/>
          <w:sz w:val="22"/>
          <w:szCs w:val="22"/>
        </w:rPr>
      </w:pPr>
      <w:r>
        <w:rPr>
          <w:rFonts w:ascii="Arial" w:hAnsi="Arial"/>
          <w:color w:val="111111"/>
          <w:sz w:val="22"/>
          <w:szCs w:val="22"/>
        </w:rPr>
        <w:t>Це може дати уявлення про фінансову стабільність компанії та особисте фінансування. Показники економічної активності в основному зосереджені на поточних рахунках, та демонструють, наскільки добре компанія керує операційним циклом (що включає дебіторську заборгованість, товарно-матеріальну запаси та кредиторську заборгованість). Ці показники відображають операційну ефективність роботи компанії.</w:t>
      </w:r>
    </w:p>
    <w:p w:rsidR="00D41F2E" w:rsidRPr="00E62BCB" w:rsidRDefault="00D41F2E" w:rsidP="00C14EEF">
      <w:pPr>
        <w:shd w:val="clear" w:color="auto" w:fill="FFFFFF"/>
        <w:rPr>
          <w:rFonts w:ascii="Arial" w:hAnsi="Arial" w:cs="Arial"/>
          <w:szCs w:val="22"/>
          <w:lang w:eastAsia="uk-UA"/>
        </w:rPr>
      </w:pPr>
    </w:p>
    <w:p w:rsidR="00D41F2E" w:rsidRPr="00E62BCB" w:rsidRDefault="00D41F2E" w:rsidP="00C14EEF">
      <w:pPr>
        <w:shd w:val="clear" w:color="auto" w:fill="FFFFFF"/>
        <w:rPr>
          <w:rFonts w:ascii="Arial" w:hAnsi="Arial" w:cs="Arial"/>
          <w:szCs w:val="22"/>
        </w:rPr>
      </w:pPr>
      <w:r>
        <w:rPr>
          <w:rFonts w:ascii="Arial" w:hAnsi="Arial"/>
          <w:szCs w:val="22"/>
        </w:rPr>
        <w:t>Для зручності, фінансові показники згруповані у такі категорії (див. Таблицю 6):</w:t>
      </w:r>
    </w:p>
    <w:p w:rsidR="00D41F2E" w:rsidRPr="00E62BCB" w:rsidRDefault="00D41F2E" w:rsidP="00C14EEF">
      <w:pPr>
        <w:numPr>
          <w:ilvl w:val="0"/>
          <w:numId w:val="34"/>
        </w:numPr>
        <w:shd w:val="clear" w:color="auto" w:fill="FFFFFF"/>
        <w:jc w:val="left"/>
        <w:rPr>
          <w:rFonts w:ascii="Arial" w:hAnsi="Arial" w:cs="Arial"/>
          <w:szCs w:val="22"/>
        </w:rPr>
      </w:pPr>
      <w:r>
        <w:rPr>
          <w:rFonts w:ascii="Arial" w:hAnsi="Arial"/>
          <w:szCs w:val="22"/>
        </w:rPr>
        <w:t>Коефіцієнти ліквідності</w:t>
      </w:r>
    </w:p>
    <w:p w:rsidR="00D41F2E" w:rsidRPr="00E62BCB" w:rsidRDefault="00D41F2E" w:rsidP="00C14EEF">
      <w:pPr>
        <w:numPr>
          <w:ilvl w:val="0"/>
          <w:numId w:val="34"/>
        </w:numPr>
        <w:shd w:val="clear" w:color="auto" w:fill="FFFFFF"/>
        <w:jc w:val="left"/>
        <w:rPr>
          <w:rFonts w:ascii="Arial" w:hAnsi="Arial" w:cs="Arial"/>
          <w:szCs w:val="22"/>
        </w:rPr>
      </w:pPr>
      <w:r>
        <w:rPr>
          <w:rFonts w:ascii="Arial" w:hAnsi="Arial"/>
          <w:szCs w:val="22"/>
        </w:rPr>
        <w:t>Коефіцієнт використання позикових засобів</w:t>
      </w:r>
    </w:p>
    <w:p w:rsidR="00D41F2E" w:rsidRPr="00E62BCB" w:rsidRDefault="00D41F2E" w:rsidP="00C14EEF">
      <w:pPr>
        <w:numPr>
          <w:ilvl w:val="0"/>
          <w:numId w:val="34"/>
        </w:numPr>
        <w:shd w:val="clear" w:color="auto" w:fill="FFFFFF"/>
        <w:jc w:val="left"/>
        <w:rPr>
          <w:rFonts w:ascii="Arial" w:hAnsi="Arial" w:cs="Arial"/>
          <w:szCs w:val="22"/>
        </w:rPr>
      </w:pPr>
      <w:r>
        <w:rPr>
          <w:rFonts w:ascii="Arial" w:hAnsi="Arial"/>
          <w:szCs w:val="22"/>
        </w:rPr>
        <w:t>Коефіцієнти ефективності</w:t>
      </w:r>
    </w:p>
    <w:p w:rsidR="00D41F2E" w:rsidRPr="00E62BCB" w:rsidRDefault="00D41F2E" w:rsidP="00C14EEF">
      <w:pPr>
        <w:numPr>
          <w:ilvl w:val="0"/>
          <w:numId w:val="34"/>
        </w:numPr>
        <w:shd w:val="clear" w:color="auto" w:fill="FFFFFF"/>
        <w:jc w:val="left"/>
        <w:rPr>
          <w:rFonts w:ascii="Arial" w:hAnsi="Arial" w:cs="Arial"/>
          <w:szCs w:val="22"/>
        </w:rPr>
      </w:pPr>
      <w:r>
        <w:rPr>
          <w:rFonts w:ascii="Arial" w:hAnsi="Arial"/>
          <w:szCs w:val="22"/>
        </w:rPr>
        <w:t>Коефіцієнти прибутковості</w:t>
      </w:r>
    </w:p>
    <w:p w:rsidR="00D41F2E" w:rsidRPr="00E62BCB" w:rsidRDefault="00D41F2E" w:rsidP="00C14EEF">
      <w:pPr>
        <w:numPr>
          <w:ilvl w:val="0"/>
          <w:numId w:val="34"/>
        </w:numPr>
        <w:shd w:val="clear" w:color="auto" w:fill="FFFFFF"/>
        <w:jc w:val="left"/>
        <w:rPr>
          <w:rFonts w:ascii="Arial" w:hAnsi="Arial" w:cs="Arial"/>
          <w:szCs w:val="22"/>
        </w:rPr>
      </w:pPr>
      <w:r>
        <w:rPr>
          <w:rFonts w:ascii="Arial" w:hAnsi="Arial"/>
          <w:szCs w:val="22"/>
        </w:rPr>
        <w:t>Коефіцієнти фінансової стійкості</w:t>
      </w:r>
    </w:p>
    <w:p w:rsidR="00A21E0F" w:rsidRDefault="00A21E0F" w:rsidP="00C14EEF">
      <w:pPr>
        <w:shd w:val="clear" w:color="auto" w:fill="FFFFFF"/>
        <w:jc w:val="left"/>
        <w:rPr>
          <w:rFonts w:ascii="Arial" w:hAnsi="Arial" w:cs="Arial"/>
          <w:szCs w:val="22"/>
          <w:lang w:eastAsia="uk-UA"/>
        </w:rPr>
      </w:pPr>
    </w:p>
    <w:p w:rsidR="00067808" w:rsidRPr="008104FF" w:rsidRDefault="00067808" w:rsidP="00C14EEF">
      <w:pPr>
        <w:pStyle w:val="2"/>
        <w:spacing w:before="0" w:after="0"/>
        <w:contextualSpacing w:val="0"/>
      </w:pPr>
      <w:bookmarkStart w:id="42" w:name="_Toc34725233"/>
      <w:bookmarkStart w:id="43" w:name="_Toc48392540"/>
      <w:r>
        <w:t>Коефіцієнти ліквідності</w:t>
      </w:r>
      <w:bookmarkEnd w:id="42"/>
      <w:bookmarkEnd w:id="43"/>
    </w:p>
    <w:p w:rsidR="00067808" w:rsidRPr="00E62BCB" w:rsidRDefault="00067808" w:rsidP="00C14EEF">
      <w:pPr>
        <w:shd w:val="clear" w:color="auto" w:fill="FFFFFF"/>
        <w:rPr>
          <w:rFonts w:ascii="Arial" w:hAnsi="Arial" w:cs="Arial"/>
          <w:szCs w:val="22"/>
        </w:rPr>
      </w:pPr>
      <w:r>
        <w:rPr>
          <w:rFonts w:ascii="Arial" w:hAnsi="Arial"/>
          <w:szCs w:val="22"/>
        </w:rPr>
        <w:t>Коефіцієнти ліквідності - це фінансові коефіцієнти, які вимірюють здатність компанії погашати коротко</w:t>
      </w:r>
      <w:r w:rsidR="00C60F58">
        <w:rPr>
          <w:rFonts w:ascii="Arial" w:hAnsi="Arial"/>
          <w:szCs w:val="22"/>
        </w:rPr>
        <w:t xml:space="preserve"> </w:t>
      </w:r>
      <w:r>
        <w:rPr>
          <w:rFonts w:ascii="Arial" w:hAnsi="Arial"/>
          <w:szCs w:val="22"/>
        </w:rPr>
        <w:t>- та довгострокові зобов'язання.</w:t>
      </w:r>
      <w:r w:rsidR="00CB1B48">
        <w:rPr>
          <w:rFonts w:ascii="Arial" w:hAnsi="Arial"/>
          <w:szCs w:val="22"/>
        </w:rPr>
        <w:t xml:space="preserve"> </w:t>
      </w:r>
      <w:r>
        <w:rPr>
          <w:rFonts w:ascii="Arial" w:hAnsi="Arial"/>
          <w:szCs w:val="22"/>
        </w:rPr>
        <w:t>У нашому досліджені ми розглянемо такі коефіцієнти ліквідності: Коефіцієнт поточної ліквідності, Коефіцієнт швидкої ліквідності, коефіцієнт готівки та Коефіцієнт операційного потоку готівки.</w:t>
      </w:r>
    </w:p>
    <w:p w:rsidR="00067808" w:rsidRPr="00337277" w:rsidRDefault="00067808" w:rsidP="00C14EEF">
      <w:pPr>
        <w:shd w:val="clear" w:color="auto" w:fill="FFFFFF"/>
        <w:rPr>
          <w:rFonts w:ascii="Arial" w:hAnsi="Arial" w:cs="Arial"/>
          <w:szCs w:val="22"/>
        </w:rPr>
      </w:pPr>
    </w:p>
    <w:p w:rsidR="00067808" w:rsidRPr="00067808" w:rsidRDefault="00067808" w:rsidP="00C14EEF">
      <w:pPr>
        <w:shd w:val="clear" w:color="auto" w:fill="FFFFFF"/>
        <w:rPr>
          <w:rFonts w:ascii="Arial" w:hAnsi="Arial" w:cs="Arial"/>
          <w:szCs w:val="22"/>
        </w:rPr>
      </w:pPr>
      <w:r>
        <w:rPr>
          <w:rFonts w:ascii="Arial" w:hAnsi="Arial"/>
          <w:szCs w:val="22"/>
        </w:rPr>
        <w:t>Коефіцієнт поточної ліквідності визначає здатність компанії погашати короткострокові зобов’язання за допомогою оборотних активів.</w:t>
      </w:r>
      <w:r w:rsidR="00CB1B48">
        <w:rPr>
          <w:rFonts w:ascii="Arial" w:hAnsi="Arial"/>
          <w:szCs w:val="22"/>
        </w:rPr>
        <w:t xml:space="preserve"> </w:t>
      </w:r>
      <w:r>
        <w:rPr>
          <w:rFonts w:ascii="Arial" w:hAnsi="Arial"/>
          <w:szCs w:val="22"/>
        </w:rPr>
        <w:t>Значення нижче 1 вказує на те, що заборгованість компанії, що виплачується за рік або менше, перевищує її активи (готівкові кошти або інші короткострокові активи, які, як очікується, будуть переведені в готівку впродовж року або менше).</w:t>
      </w:r>
      <w:r w:rsidR="00CB1B48">
        <w:rPr>
          <w:rFonts w:ascii="Arial" w:hAnsi="Arial"/>
          <w:szCs w:val="22"/>
        </w:rPr>
        <w:t xml:space="preserve"> </w:t>
      </w:r>
      <w:r>
        <w:rPr>
          <w:rFonts w:ascii="Arial" w:hAnsi="Arial"/>
          <w:szCs w:val="22"/>
        </w:rPr>
        <w:t>Дані, представлені в таблиці 4, демонструють, що впродовж останніх чотирьох років цей коефіцієнт для КП Луцькводоканал</w:t>
      </w:r>
      <w:r w:rsidR="00CB1B48">
        <w:rPr>
          <w:rFonts w:ascii="Arial" w:hAnsi="Arial"/>
          <w:szCs w:val="22"/>
        </w:rPr>
        <w:t xml:space="preserve"> </w:t>
      </w:r>
      <w:r>
        <w:rPr>
          <w:rFonts w:ascii="Arial" w:hAnsi="Arial"/>
          <w:szCs w:val="22"/>
        </w:rPr>
        <w:t>має значення менше "1", але показник у 0,82 не є критичним.</w:t>
      </w:r>
      <w:r w:rsidR="00CB1B48">
        <w:rPr>
          <w:rFonts w:ascii="Arial" w:hAnsi="Arial"/>
          <w:szCs w:val="22"/>
        </w:rPr>
        <w:t xml:space="preserve"> </w:t>
      </w:r>
      <w:r>
        <w:rPr>
          <w:rFonts w:ascii="Arial" w:hAnsi="Arial"/>
          <w:szCs w:val="22"/>
        </w:rPr>
        <w:t>Набагато краща ситуація була в 2014 фіскальному році, коли значення коефіцієнту перевищувало 1.</w:t>
      </w:r>
    </w:p>
    <w:p w:rsidR="00067808" w:rsidRPr="00E62BCB" w:rsidRDefault="00067808" w:rsidP="00C14EEF">
      <w:pPr>
        <w:shd w:val="clear" w:color="auto" w:fill="FFFFFF"/>
        <w:jc w:val="left"/>
        <w:rPr>
          <w:rFonts w:ascii="Arial" w:hAnsi="Arial" w:cs="Arial"/>
          <w:szCs w:val="22"/>
          <w:lang w:eastAsia="uk-UA"/>
        </w:rPr>
      </w:pPr>
    </w:p>
    <w:p w:rsidR="00A21E0F" w:rsidRPr="008D0C5C" w:rsidRDefault="00A21E0F" w:rsidP="00C14EEF">
      <w:pPr>
        <w:pStyle w:val="aa"/>
        <w:rPr>
          <w:rFonts w:ascii="Arial" w:hAnsi="Arial" w:cs="Arial"/>
          <w:szCs w:val="22"/>
        </w:rPr>
      </w:pPr>
      <w:bookmarkStart w:id="44" w:name="_Toc48643446"/>
      <w:r>
        <w:t xml:space="preserve">Таблиця </w:t>
      </w:r>
      <w:r w:rsidRPr="00E26FE9">
        <w:rPr>
          <w:rFonts w:ascii="Arial" w:hAnsi="Arial" w:cs="Arial"/>
          <w:szCs w:val="22"/>
        </w:rPr>
        <w:fldChar w:fldCharType="begin"/>
      </w:r>
      <w:r w:rsidRPr="00E26FE9">
        <w:rPr>
          <w:rFonts w:ascii="Arial" w:hAnsi="Arial" w:cs="Arial"/>
          <w:szCs w:val="22"/>
        </w:rPr>
        <w:instrText xml:space="preserve"> SEQ Table \* ARABIC </w:instrText>
      </w:r>
      <w:r w:rsidRPr="00E26FE9">
        <w:rPr>
          <w:rFonts w:ascii="Arial" w:hAnsi="Arial" w:cs="Arial"/>
          <w:szCs w:val="22"/>
        </w:rPr>
        <w:fldChar w:fldCharType="separate"/>
      </w:r>
      <w:r w:rsidR="00CB1B48">
        <w:rPr>
          <w:rFonts w:ascii="Arial" w:hAnsi="Arial" w:cs="Arial"/>
          <w:szCs w:val="22"/>
        </w:rPr>
        <w:t>6</w:t>
      </w:r>
      <w:r w:rsidRPr="00E26FE9">
        <w:rPr>
          <w:rFonts w:ascii="Arial" w:hAnsi="Arial" w:cs="Arial"/>
          <w:szCs w:val="22"/>
        </w:rPr>
        <w:fldChar w:fldCharType="end"/>
      </w:r>
      <w:r>
        <w:t>:</w:t>
      </w:r>
      <w:r>
        <w:rPr>
          <w:rFonts w:ascii="Arial" w:hAnsi="Arial"/>
          <w:szCs w:val="22"/>
        </w:rPr>
        <w:t xml:space="preserve"> </w:t>
      </w:r>
      <w:bookmarkStart w:id="45" w:name="_Toc501108201"/>
      <w:r>
        <w:t>Короткий опис</w:t>
      </w:r>
      <w:r w:rsidR="00CB1B48">
        <w:t xml:space="preserve"> </w:t>
      </w:r>
      <w:r>
        <w:t>ключових фінансових коефіцієнтів</w:t>
      </w:r>
      <w:r w:rsidR="00CB1B48">
        <w:t xml:space="preserve"> </w:t>
      </w:r>
      <w:r>
        <w:t>за 2014-2019 фіскальні роки</w:t>
      </w:r>
      <w:bookmarkEnd w:id="44"/>
      <w:bookmarkEnd w:id="45"/>
    </w:p>
    <w:p w:rsidR="00A21E0F" w:rsidRPr="00E62BCB" w:rsidRDefault="00A82EF6" w:rsidP="00C14EEF">
      <w:pPr>
        <w:rPr>
          <w:rFonts w:ascii="Arial" w:hAnsi="Arial" w:cs="Arial"/>
          <w:szCs w:val="22"/>
        </w:rPr>
      </w:pPr>
      <w:r w:rsidRPr="00A82EF6">
        <w:rPr>
          <w:noProof/>
          <w:lang w:eastAsia="uk-UA"/>
        </w:rPr>
        <w:drawing>
          <wp:inline distT="0" distB="0" distL="0" distR="0" wp14:anchorId="746FF204" wp14:editId="05A472F3">
            <wp:extent cx="5981700" cy="4857750"/>
            <wp:effectExtent l="0" t="0" r="0" b="0"/>
            <wp:docPr id="470" name="Рисунок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81700" cy="4857750"/>
                    </a:xfrm>
                    <a:prstGeom prst="rect">
                      <a:avLst/>
                    </a:prstGeom>
                    <a:noFill/>
                    <a:ln>
                      <a:noFill/>
                    </a:ln>
                  </pic:spPr>
                </pic:pic>
              </a:graphicData>
            </a:graphic>
          </wp:inline>
        </w:drawing>
      </w:r>
    </w:p>
    <w:p w:rsidR="00A21E0F" w:rsidRPr="00E62BCB" w:rsidRDefault="00A21E0F" w:rsidP="00C14EEF">
      <w:pPr>
        <w:rPr>
          <w:rFonts w:ascii="Arial" w:hAnsi="Arial" w:cs="Arial"/>
          <w:szCs w:val="22"/>
        </w:rPr>
      </w:pPr>
    </w:p>
    <w:p w:rsidR="00C8203D" w:rsidRPr="00E62BCB" w:rsidRDefault="00C8203D" w:rsidP="00C14EEF">
      <w:pPr>
        <w:shd w:val="clear" w:color="auto" w:fill="FFFFFF"/>
        <w:rPr>
          <w:rFonts w:ascii="Arial" w:hAnsi="Arial" w:cs="Arial"/>
          <w:szCs w:val="22"/>
        </w:rPr>
      </w:pPr>
      <w:bookmarkStart w:id="46" w:name="_Toc501108080"/>
      <w:r>
        <w:rPr>
          <w:rFonts w:ascii="Arial" w:hAnsi="Arial"/>
          <w:szCs w:val="22"/>
        </w:rPr>
        <w:t>Коефіцієнт термінової (швидкої) ліквідності визначає здатність компанії погашати короткострокові зобов’язання за рахунок оборотних активів.</w:t>
      </w:r>
      <w:r w:rsidR="00CB1B48">
        <w:rPr>
          <w:rFonts w:ascii="Arial" w:hAnsi="Arial"/>
          <w:szCs w:val="22"/>
        </w:rPr>
        <w:t xml:space="preserve"> </w:t>
      </w:r>
    </w:p>
    <w:p w:rsidR="00C8203D" w:rsidRPr="00337277" w:rsidRDefault="00C8203D" w:rsidP="00C14EEF">
      <w:pPr>
        <w:shd w:val="clear" w:color="auto" w:fill="FFFFFF"/>
        <w:rPr>
          <w:rFonts w:ascii="Arial" w:hAnsi="Arial" w:cs="Arial"/>
          <w:szCs w:val="22"/>
          <w:lang w:eastAsia="uk-UA"/>
        </w:rPr>
      </w:pPr>
    </w:p>
    <w:p w:rsidR="00C8203D" w:rsidRPr="00E62BCB" w:rsidRDefault="00C8203D" w:rsidP="00C14EEF">
      <w:pPr>
        <w:shd w:val="clear" w:color="auto" w:fill="FFFFFF"/>
        <w:rPr>
          <w:rFonts w:ascii="Arial" w:hAnsi="Arial" w:cs="Arial"/>
          <w:szCs w:val="22"/>
        </w:rPr>
      </w:pPr>
      <w:r>
        <w:rPr>
          <w:rFonts w:ascii="Arial" w:hAnsi="Arial"/>
          <w:szCs w:val="22"/>
        </w:rPr>
        <w:t>Впродовж звітного періоду КП Луцькводоканал</w:t>
      </w:r>
      <w:r w:rsidR="00CB1B48">
        <w:rPr>
          <w:rFonts w:ascii="Arial" w:hAnsi="Arial"/>
          <w:szCs w:val="22"/>
        </w:rPr>
        <w:t xml:space="preserve"> </w:t>
      </w:r>
      <w:r>
        <w:rPr>
          <w:rFonts w:ascii="Arial" w:hAnsi="Arial"/>
          <w:szCs w:val="22"/>
        </w:rPr>
        <w:t>продемонструвало такий самий стан, що й був у попередньому звітному періоді: Добрий стан у 2014 фіскальному році характеризувався значенням вище «1», але за останні чотири роки (2015-2019) коефіцієнт швидкої ліквідності опустився нижче «1», але з тенденцією до зростання.</w:t>
      </w:r>
    </w:p>
    <w:p w:rsidR="00C8203D" w:rsidRPr="00337277" w:rsidRDefault="00C8203D" w:rsidP="00C14EEF">
      <w:pPr>
        <w:shd w:val="clear" w:color="auto" w:fill="FFFFFF"/>
        <w:rPr>
          <w:rFonts w:ascii="Arial" w:hAnsi="Arial" w:cs="Arial"/>
          <w:szCs w:val="22"/>
          <w:lang w:eastAsia="uk-UA"/>
        </w:rPr>
      </w:pPr>
    </w:p>
    <w:p w:rsidR="00C8203D" w:rsidRPr="00BC23C5" w:rsidRDefault="00C8203D" w:rsidP="00C60F58">
      <w:pPr>
        <w:pStyle w:val="af5"/>
        <w:shd w:val="clear" w:color="auto" w:fill="FFFFFF"/>
        <w:spacing w:after="0" w:line="240" w:lineRule="auto"/>
        <w:jc w:val="both"/>
        <w:rPr>
          <w:rFonts w:ascii="Arial" w:hAnsi="Arial" w:cs="Arial"/>
          <w:color w:val="111111"/>
          <w:sz w:val="22"/>
          <w:szCs w:val="22"/>
        </w:rPr>
      </w:pPr>
      <w:r>
        <w:rPr>
          <w:rFonts w:ascii="Arial" w:hAnsi="Arial"/>
          <w:sz w:val="22"/>
          <w:szCs w:val="22"/>
        </w:rPr>
        <w:t>Компанії, які мають коефіцієнт термінової ліквідності менше "1", не мають достатньо ліквідних активів, щоб сплатити свої поточні зобов'язання, що слід взяти до уваги.</w:t>
      </w:r>
      <w:r w:rsidR="00CB1B48">
        <w:rPr>
          <w:rFonts w:ascii="Arial" w:hAnsi="Arial"/>
          <w:color w:val="111111"/>
          <w:sz w:val="22"/>
          <w:szCs w:val="22"/>
        </w:rPr>
        <w:t xml:space="preserve"> </w:t>
      </w:r>
      <w:r>
        <w:rPr>
          <w:rFonts w:ascii="Arial" w:hAnsi="Arial"/>
          <w:color w:val="111111"/>
          <w:sz w:val="22"/>
          <w:szCs w:val="22"/>
        </w:rPr>
        <w:t xml:space="preserve">Якщо коефіцієнт термінової ліквідності - значно нижчий за поточний коефіцієнт, це означає, що оборотні активи компанії дуже залежать від товарних запасів, але це не стосується КП </w:t>
      </w:r>
      <w:r w:rsidR="0072112B">
        <w:rPr>
          <w:rFonts w:ascii="Arial" w:hAnsi="Arial"/>
          <w:color w:val="111111"/>
          <w:sz w:val="22"/>
          <w:szCs w:val="22"/>
        </w:rPr>
        <w:t>Луцьк</w:t>
      </w:r>
      <w:r>
        <w:rPr>
          <w:rFonts w:ascii="Arial" w:hAnsi="Arial"/>
          <w:color w:val="111111"/>
          <w:sz w:val="22"/>
          <w:szCs w:val="22"/>
        </w:rPr>
        <w:t>водоканал, де ці два коефіцієнти - близькі.</w:t>
      </w:r>
    </w:p>
    <w:p w:rsidR="00C8203D" w:rsidRPr="00337277" w:rsidRDefault="00C8203D" w:rsidP="00C14EEF">
      <w:pPr>
        <w:shd w:val="clear" w:color="auto" w:fill="FFFFFF"/>
        <w:rPr>
          <w:rFonts w:ascii="Arial" w:hAnsi="Arial" w:cs="Arial"/>
          <w:szCs w:val="22"/>
          <w:lang w:eastAsia="uk-UA"/>
        </w:rPr>
      </w:pPr>
    </w:p>
    <w:p w:rsidR="00C8203D" w:rsidRPr="00E62BCB" w:rsidRDefault="00C8203D" w:rsidP="00C14EEF">
      <w:pPr>
        <w:shd w:val="clear" w:color="auto" w:fill="FFFFFF"/>
        <w:rPr>
          <w:rFonts w:ascii="Arial" w:hAnsi="Arial" w:cs="Arial"/>
          <w:szCs w:val="22"/>
        </w:rPr>
      </w:pPr>
      <w:r>
        <w:rPr>
          <w:rFonts w:ascii="Arial" w:hAnsi="Arial"/>
          <w:szCs w:val="22"/>
        </w:rPr>
        <w:t xml:space="preserve">Коефіцієнт готівки </w:t>
      </w:r>
      <w:r w:rsidR="00C60F58">
        <w:rPr>
          <w:rFonts w:ascii="Arial" w:hAnsi="Arial"/>
          <w:szCs w:val="22"/>
        </w:rPr>
        <w:t>визначає</w:t>
      </w:r>
      <w:r>
        <w:rPr>
          <w:rFonts w:ascii="Arial" w:hAnsi="Arial"/>
          <w:szCs w:val="22"/>
        </w:rPr>
        <w:t xml:space="preserve"> здатність компанії погашати короткострокові зобов’язання за допомогою готівкових коштів та їхніх еквівалентів.</w:t>
      </w:r>
    </w:p>
    <w:p w:rsidR="00C8203D" w:rsidRPr="00337277" w:rsidRDefault="00C8203D" w:rsidP="00C14EEF">
      <w:pPr>
        <w:shd w:val="clear" w:color="auto" w:fill="FFFFFF"/>
        <w:rPr>
          <w:rFonts w:ascii="Arial" w:hAnsi="Arial" w:cs="Arial"/>
          <w:szCs w:val="22"/>
          <w:lang w:eastAsia="uk-UA"/>
        </w:rPr>
      </w:pPr>
    </w:p>
    <w:p w:rsidR="00C8203D" w:rsidRPr="00E62BCB" w:rsidRDefault="00C8203D" w:rsidP="00C14EEF">
      <w:pPr>
        <w:shd w:val="clear" w:color="auto" w:fill="FFFFFF"/>
        <w:rPr>
          <w:rFonts w:ascii="Arial" w:hAnsi="Arial" w:cs="Arial"/>
          <w:szCs w:val="22"/>
        </w:rPr>
      </w:pPr>
      <w:r>
        <w:rPr>
          <w:rFonts w:ascii="Arial" w:hAnsi="Arial"/>
          <w:szCs w:val="22"/>
        </w:rPr>
        <w:t>Впродовж 2014-2019 фіскальних років, цей показник був стабільно нижче «1», а у 2017-2019 фіскальних роках він становив майже «0».</w:t>
      </w:r>
      <w:r w:rsidR="00CB1B48">
        <w:rPr>
          <w:rFonts w:ascii="Arial" w:hAnsi="Arial"/>
          <w:szCs w:val="22"/>
        </w:rPr>
        <w:t xml:space="preserve"> </w:t>
      </w:r>
      <w:r>
        <w:rPr>
          <w:rFonts w:ascii="Arial" w:hAnsi="Arial"/>
          <w:szCs w:val="22"/>
        </w:rPr>
        <w:t>Це означає, що КП Луцькводоканал має більше поточних зобов’язань, ніж грошових коштів та їх еквівалентів, та недостатньо грошових коштів, щоб погасити короткострокову заборгованість.</w:t>
      </w:r>
      <w:r>
        <w:rPr>
          <w:rFonts w:ascii="Arial" w:hAnsi="Arial"/>
          <w:color w:val="111111"/>
          <w:szCs w:val="22"/>
        </w:rPr>
        <w:t xml:space="preserve"> Це може бути не поганою новиною, якщо компанія має умови, які спричиняють похибку у балансовому звіті, такі як більш тривалі за звичайні умови кредитування у постачальників, ефективно керований товарно-матеріальний запас та мала кількість кредитів, наданих своїм клієнтам.</w:t>
      </w:r>
    </w:p>
    <w:p w:rsidR="00C8203D" w:rsidRPr="00337277" w:rsidRDefault="00C8203D" w:rsidP="00C14EEF">
      <w:pPr>
        <w:shd w:val="clear" w:color="auto" w:fill="FFFFFF"/>
        <w:rPr>
          <w:rFonts w:ascii="Arial" w:hAnsi="Arial" w:cs="Arial"/>
          <w:szCs w:val="22"/>
          <w:lang w:eastAsia="uk-UA"/>
        </w:rPr>
      </w:pPr>
    </w:p>
    <w:p w:rsidR="00C8203D" w:rsidRPr="00E62BCB" w:rsidRDefault="00C8203D" w:rsidP="00C14EEF">
      <w:pPr>
        <w:shd w:val="clear" w:color="auto" w:fill="FFFFFF"/>
        <w:rPr>
          <w:rFonts w:ascii="Arial" w:hAnsi="Arial" w:cs="Arial"/>
          <w:szCs w:val="22"/>
        </w:rPr>
      </w:pPr>
      <w:r>
        <w:rPr>
          <w:rFonts w:ascii="Arial" w:hAnsi="Arial"/>
          <w:szCs w:val="22"/>
        </w:rPr>
        <w:t>Коефіцієнт операційного потоку готівки - це показник кількості разів, коли компанія може виплачувати поточні зобов’язання коштами, отриманими впродовж певного періоду.</w:t>
      </w:r>
      <w:r w:rsidR="00CB1B48">
        <w:rPr>
          <w:rFonts w:ascii="Arial" w:hAnsi="Arial"/>
          <w:szCs w:val="22"/>
        </w:rPr>
        <w:t xml:space="preserve"> </w:t>
      </w:r>
      <w:r>
        <w:rPr>
          <w:rFonts w:ascii="Arial" w:hAnsi="Arial"/>
          <w:szCs w:val="22"/>
        </w:rPr>
        <w:t>Як ми бачимо з таблиці вище, це значення - стабільно менше одного за весь звітний період, це означає, що компанія отримала недостатньо грошових коштів для покриття своїх поточних зобов’язань та</w:t>
      </w:r>
      <w:r w:rsidR="00C60F58">
        <w:rPr>
          <w:rFonts w:ascii="Arial" w:hAnsi="Arial"/>
          <w:szCs w:val="22"/>
        </w:rPr>
        <w:t xml:space="preserve"> потребує додаткового капіталу.</w:t>
      </w:r>
    </w:p>
    <w:p w:rsidR="00C8203D" w:rsidRPr="00E62BCB" w:rsidRDefault="00C8203D" w:rsidP="00C14EEF">
      <w:pPr>
        <w:rPr>
          <w:rFonts w:ascii="Arial" w:hAnsi="Arial" w:cs="Arial"/>
          <w:b/>
          <w:szCs w:val="22"/>
        </w:rPr>
      </w:pPr>
    </w:p>
    <w:p w:rsidR="00C8203D" w:rsidRPr="008104FF" w:rsidRDefault="00C8203D" w:rsidP="00C14EEF">
      <w:pPr>
        <w:rPr>
          <w:rFonts w:ascii="Arial Narrow" w:hAnsi="Arial Narrow" w:cs="Arial"/>
          <w:b/>
          <w:sz w:val="24"/>
          <w:szCs w:val="24"/>
        </w:rPr>
      </w:pPr>
      <w:r>
        <w:rPr>
          <w:rFonts w:ascii="Arial Narrow" w:hAnsi="Arial Narrow"/>
          <w:b/>
          <w:sz w:val="24"/>
          <w:szCs w:val="24"/>
        </w:rPr>
        <w:t>Фінансові коефіцієнти використання позикових засобів</w:t>
      </w:r>
    </w:p>
    <w:p w:rsidR="00C8203D" w:rsidRPr="00E62BCB" w:rsidRDefault="00C8203D" w:rsidP="00C14EEF">
      <w:pPr>
        <w:shd w:val="clear" w:color="auto" w:fill="FFFFFF"/>
        <w:rPr>
          <w:rFonts w:ascii="Arial" w:hAnsi="Arial" w:cs="Arial"/>
          <w:szCs w:val="22"/>
        </w:rPr>
      </w:pPr>
      <w:r>
        <w:rPr>
          <w:rFonts w:ascii="Arial" w:hAnsi="Arial"/>
          <w:szCs w:val="22"/>
        </w:rPr>
        <w:t>Коефіцієнти використання позикових засобів вимірюють обсяг капіталу, що надходить від боргу та використовується для оцінки рівня боргу компанії. Серед загальних коефіцієнтів використання позикових засобів: Коефіцієнт заборгованості, Співвідношення позикового капіталу до власного, Коефіцієнт покриття відсотків, Коефіцієнт покриття виплат з обслуговування боргу.</w:t>
      </w:r>
    </w:p>
    <w:p w:rsidR="00C8203D" w:rsidRPr="00337277" w:rsidRDefault="00C8203D" w:rsidP="00C14EEF">
      <w:pPr>
        <w:shd w:val="clear" w:color="auto" w:fill="FFFFFF"/>
        <w:rPr>
          <w:rFonts w:ascii="Arial" w:hAnsi="Arial" w:cs="Arial"/>
          <w:szCs w:val="22"/>
          <w:lang w:eastAsia="uk-UA"/>
        </w:rPr>
      </w:pPr>
    </w:p>
    <w:p w:rsidR="00C8203D" w:rsidRPr="00E62BCB" w:rsidRDefault="00C8203D" w:rsidP="00C14EEF">
      <w:pPr>
        <w:shd w:val="clear" w:color="auto" w:fill="FFFFFF"/>
        <w:rPr>
          <w:rFonts w:ascii="Arial" w:hAnsi="Arial" w:cs="Arial"/>
          <w:szCs w:val="22"/>
        </w:rPr>
      </w:pPr>
      <w:r>
        <w:rPr>
          <w:rFonts w:ascii="Arial" w:hAnsi="Arial"/>
          <w:b/>
          <w:i/>
          <w:szCs w:val="22"/>
        </w:rPr>
        <w:t>Коефіцієнт заборгованості</w:t>
      </w:r>
      <w:r>
        <w:rPr>
          <w:rFonts w:ascii="Arial" w:hAnsi="Arial"/>
          <w:szCs w:val="22"/>
        </w:rPr>
        <w:t xml:space="preserve"> вимірює відносну величину активів компанії, що надаються за рахунок боргу.</w:t>
      </w:r>
    </w:p>
    <w:p w:rsidR="00C8203D" w:rsidRPr="00337277" w:rsidRDefault="00C8203D" w:rsidP="00C14EEF">
      <w:pPr>
        <w:shd w:val="clear" w:color="auto" w:fill="FFFFFF"/>
        <w:rPr>
          <w:rFonts w:ascii="Arial" w:hAnsi="Arial" w:cs="Arial"/>
          <w:szCs w:val="22"/>
          <w:lang w:val="ru-RU" w:eastAsia="uk-UA"/>
        </w:rPr>
      </w:pPr>
    </w:p>
    <w:p w:rsidR="00C8203D" w:rsidRPr="00BC23C5" w:rsidRDefault="00C8203D" w:rsidP="00C14EEF">
      <w:pPr>
        <w:pStyle w:val="af5"/>
        <w:shd w:val="clear" w:color="auto" w:fill="FFFFFF"/>
        <w:spacing w:after="0" w:line="240" w:lineRule="auto"/>
        <w:jc w:val="both"/>
        <w:rPr>
          <w:rFonts w:ascii="Arial" w:hAnsi="Arial" w:cs="Arial"/>
          <w:color w:val="111111"/>
          <w:sz w:val="22"/>
          <w:szCs w:val="22"/>
        </w:rPr>
      </w:pPr>
      <w:r>
        <w:rPr>
          <w:rFonts w:ascii="Arial" w:hAnsi="Arial"/>
          <w:sz w:val="22"/>
          <w:szCs w:val="22"/>
        </w:rPr>
        <w:t>Чим вищий коефіцієнт заборгованості, тим більша частка позичених коштів компанії, що означає більший фінансовий ризик.</w:t>
      </w:r>
      <w:r>
        <w:rPr>
          <w:rFonts w:ascii="Arial" w:hAnsi="Arial"/>
          <w:color w:val="111111"/>
          <w:sz w:val="22"/>
          <w:szCs w:val="22"/>
        </w:rPr>
        <w:t xml:space="preserve"> У той же час використання запозичених коштів - важливий інструмент, який компанії використовують для зростання. Багато підприємств раціонально використовують борги.</w:t>
      </w:r>
      <w:r w:rsidR="00CB1B48">
        <w:rPr>
          <w:rFonts w:ascii="Arial" w:hAnsi="Arial"/>
          <w:color w:val="111111"/>
          <w:sz w:val="22"/>
          <w:szCs w:val="22"/>
        </w:rPr>
        <w:t xml:space="preserve"> </w:t>
      </w:r>
      <w:r>
        <w:rPr>
          <w:rFonts w:ascii="Arial" w:hAnsi="Arial"/>
          <w:color w:val="111111"/>
          <w:sz w:val="22"/>
          <w:szCs w:val="22"/>
        </w:rPr>
        <w:t>У випадку водоканалу, рівень боргу в 40% (0,4) може бути легко керований для компанії в секторі комунальних послуг, де грошові потоки - стабільні, а підвищений коефіцієнт заборгованості є нормою.</w:t>
      </w:r>
      <w:r w:rsidR="00CB1B48">
        <w:rPr>
          <w:rFonts w:ascii="Arial" w:hAnsi="Arial"/>
          <w:color w:val="111111"/>
          <w:sz w:val="22"/>
          <w:szCs w:val="22"/>
        </w:rPr>
        <w:t xml:space="preserve"> </w:t>
      </w:r>
      <w:r>
        <w:rPr>
          <w:rFonts w:ascii="Arial" w:hAnsi="Arial"/>
          <w:color w:val="111111"/>
          <w:sz w:val="22"/>
          <w:szCs w:val="22"/>
        </w:rPr>
        <w:t>Загалом цей коефіцієнт має бути менше 1 (100%) - це означає, що компанія має більше активів, ніж боргу.</w:t>
      </w:r>
      <w:r w:rsidR="00CB1B48">
        <w:rPr>
          <w:rFonts w:ascii="Arial" w:hAnsi="Arial"/>
          <w:color w:val="111111"/>
          <w:sz w:val="22"/>
          <w:szCs w:val="22"/>
        </w:rPr>
        <w:t xml:space="preserve"> </w:t>
      </w:r>
    </w:p>
    <w:p w:rsidR="00C8203D" w:rsidRPr="00E62BCB" w:rsidRDefault="00C8203D" w:rsidP="00C14EEF">
      <w:pPr>
        <w:pStyle w:val="af5"/>
        <w:shd w:val="clear" w:color="auto" w:fill="FFFFFF"/>
        <w:spacing w:after="0" w:line="240" w:lineRule="auto"/>
        <w:jc w:val="both"/>
        <w:rPr>
          <w:rFonts w:ascii="Arial" w:hAnsi="Arial" w:cs="Arial"/>
          <w:color w:val="111111"/>
          <w:sz w:val="22"/>
          <w:szCs w:val="22"/>
          <w:lang w:eastAsia="uk-UA"/>
        </w:rPr>
      </w:pPr>
    </w:p>
    <w:p w:rsidR="00C8203D" w:rsidRPr="00E62BCB" w:rsidRDefault="00C8203D" w:rsidP="00C14EEF">
      <w:pPr>
        <w:pStyle w:val="af5"/>
        <w:shd w:val="clear" w:color="auto" w:fill="FFFFFF"/>
        <w:spacing w:after="0" w:line="240" w:lineRule="auto"/>
        <w:jc w:val="both"/>
        <w:rPr>
          <w:rFonts w:ascii="Arial" w:hAnsi="Arial" w:cs="Arial"/>
          <w:color w:val="111111"/>
          <w:sz w:val="22"/>
          <w:szCs w:val="22"/>
        </w:rPr>
      </w:pPr>
      <w:r>
        <w:rPr>
          <w:rFonts w:ascii="Arial" w:hAnsi="Arial"/>
          <w:color w:val="111111"/>
          <w:sz w:val="22"/>
          <w:szCs w:val="22"/>
        </w:rPr>
        <w:t>За 2014-2017 рр, Коефіцієнт заборгованості КП Луцькводоканал становив менше 40%, що є позитивним результатом.</w:t>
      </w:r>
    </w:p>
    <w:p w:rsidR="00C8203D" w:rsidRPr="00337277" w:rsidRDefault="00C8203D" w:rsidP="00C14EEF">
      <w:pPr>
        <w:shd w:val="clear" w:color="auto" w:fill="FFFFFF"/>
        <w:rPr>
          <w:rFonts w:ascii="Arial" w:hAnsi="Arial" w:cs="Arial"/>
          <w:szCs w:val="22"/>
          <w:lang w:val="ru-RU" w:eastAsia="uk-UA"/>
        </w:rPr>
      </w:pPr>
    </w:p>
    <w:p w:rsidR="00C8203D" w:rsidRPr="00E62BCB" w:rsidRDefault="00C8203D" w:rsidP="00C14EEF">
      <w:pPr>
        <w:shd w:val="clear" w:color="auto" w:fill="FFFFFF"/>
        <w:rPr>
          <w:rFonts w:ascii="Arial" w:hAnsi="Arial" w:cs="Arial"/>
          <w:szCs w:val="22"/>
        </w:rPr>
      </w:pPr>
      <w:r>
        <w:rPr>
          <w:rFonts w:ascii="Arial" w:hAnsi="Arial"/>
          <w:szCs w:val="22"/>
        </w:rPr>
        <w:t>Співвідношення позикового капіталу до власного розраховує відношення загальної заборгованості та фінансових зобов’язань до власного капіталу.</w:t>
      </w:r>
      <w:r w:rsidR="00CB1B48">
        <w:rPr>
          <w:rFonts w:ascii="Arial" w:hAnsi="Arial"/>
          <w:szCs w:val="22"/>
        </w:rPr>
        <w:t xml:space="preserve"> </w:t>
      </w:r>
      <w:r>
        <w:rPr>
          <w:rFonts w:ascii="Arial" w:hAnsi="Arial"/>
          <w:szCs w:val="22"/>
        </w:rPr>
        <w:t>Як і з попереднім коефіцієнтом, ситуація досить схожа: Коефіцієнт у 2014-2019 фіскальних роках - менше «1».</w:t>
      </w:r>
    </w:p>
    <w:p w:rsidR="00C8203D" w:rsidRPr="00337277" w:rsidRDefault="00C8203D" w:rsidP="00C14EEF">
      <w:pPr>
        <w:shd w:val="clear" w:color="auto" w:fill="FFFFFF"/>
        <w:rPr>
          <w:rFonts w:ascii="Arial" w:hAnsi="Arial" w:cs="Arial"/>
          <w:szCs w:val="22"/>
          <w:lang w:val="ru-RU" w:eastAsia="uk-UA"/>
        </w:rPr>
      </w:pPr>
    </w:p>
    <w:p w:rsidR="00C8203D" w:rsidRPr="00E62BCB" w:rsidRDefault="00C8203D" w:rsidP="00C14EEF">
      <w:pPr>
        <w:shd w:val="clear" w:color="auto" w:fill="FFFFFF"/>
        <w:rPr>
          <w:rFonts w:ascii="Arial" w:hAnsi="Arial" w:cs="Arial"/>
          <w:szCs w:val="22"/>
        </w:rPr>
      </w:pPr>
      <w:r>
        <w:rPr>
          <w:rFonts w:ascii="Arial" w:hAnsi="Arial"/>
          <w:b/>
          <w:i/>
          <w:szCs w:val="22"/>
        </w:rPr>
        <w:t>Коефіцієнт покриття відсотків</w:t>
      </w:r>
      <w:r>
        <w:rPr>
          <w:rFonts w:ascii="Arial" w:hAnsi="Arial"/>
          <w:szCs w:val="22"/>
        </w:rPr>
        <w:t xml:space="preserve"> визначає, наскільки легко компанія може сплачувати відсотки.</w:t>
      </w:r>
      <w:r w:rsidR="00CB1B48">
        <w:rPr>
          <w:rFonts w:ascii="Arial" w:hAnsi="Arial"/>
          <w:szCs w:val="22"/>
        </w:rPr>
        <w:t xml:space="preserve"> </w:t>
      </w:r>
      <w:r>
        <w:rPr>
          <w:rFonts w:ascii="Arial" w:hAnsi="Arial"/>
          <w:color w:val="111111"/>
          <w:szCs w:val="22"/>
        </w:rPr>
        <w:t>Іншими словами, він визначає запас міцності компанії для сплати відсотків за своїм боргом протягом певного періоду.</w:t>
      </w:r>
      <w:r w:rsidR="00CB1B48">
        <w:rPr>
          <w:rFonts w:ascii="Arial" w:hAnsi="Arial"/>
          <w:color w:val="111111"/>
          <w:szCs w:val="22"/>
        </w:rPr>
        <w:t xml:space="preserve"> </w:t>
      </w:r>
      <w:r>
        <w:rPr>
          <w:rFonts w:ascii="Arial" w:hAnsi="Arial"/>
          <w:szCs w:val="22"/>
        </w:rPr>
        <w:t>У цьому випадку КП Луцькводоканал демонструє недостатні показники за всі роки, зокрема за 2014-2016 фіскальні роки, коли показники мали негативне значення.</w:t>
      </w:r>
      <w:r w:rsidR="00CB1B48">
        <w:rPr>
          <w:rFonts w:ascii="Arial" w:hAnsi="Arial"/>
          <w:szCs w:val="22"/>
        </w:rPr>
        <w:t xml:space="preserve"> </w:t>
      </w:r>
      <w:r>
        <w:rPr>
          <w:rFonts w:ascii="Arial" w:hAnsi="Arial"/>
          <w:szCs w:val="22"/>
        </w:rPr>
        <w:t>Але у 2017-2019 роках було досягнуте позитивне значення.</w:t>
      </w:r>
    </w:p>
    <w:p w:rsidR="00C8203D" w:rsidRPr="00337277" w:rsidRDefault="00C8203D" w:rsidP="00C14EEF">
      <w:pPr>
        <w:shd w:val="clear" w:color="auto" w:fill="FFFFFF"/>
        <w:rPr>
          <w:rFonts w:ascii="Arial" w:hAnsi="Arial" w:cs="Arial"/>
          <w:bCs/>
          <w:szCs w:val="22"/>
          <w:lang w:val="ru-RU" w:eastAsia="uk-UA"/>
        </w:rPr>
      </w:pPr>
    </w:p>
    <w:p w:rsidR="00C8203D" w:rsidRPr="00BC23C5" w:rsidRDefault="00C8203D" w:rsidP="00C14EEF">
      <w:pPr>
        <w:pStyle w:val="af5"/>
        <w:shd w:val="clear" w:color="auto" w:fill="FFFFFF"/>
        <w:spacing w:after="0" w:line="240" w:lineRule="auto"/>
        <w:jc w:val="both"/>
        <w:rPr>
          <w:rFonts w:ascii="Arial" w:hAnsi="Arial" w:cs="Arial"/>
          <w:color w:val="111111"/>
          <w:sz w:val="22"/>
          <w:szCs w:val="22"/>
        </w:rPr>
      </w:pPr>
      <w:r>
        <w:rPr>
          <w:rFonts w:ascii="Arial" w:hAnsi="Arial"/>
          <w:color w:val="111111"/>
          <w:sz w:val="22"/>
          <w:szCs w:val="22"/>
        </w:rPr>
        <w:t>Загалом, коефіцієнт покриття відсотків є дуже гарною оцінкою короткострокового фінансового стану компанії. Хоча робити майбутні прогнози, аналізуючи коефіцієнти покриття інтересів компанії за минулі періоди, може бути гарним способом оцінювання інвестиційних можливостей, за будь-якими співвідношеннями або показниками важко точно передбачити довгостроковий фінансовий стан компанії.</w:t>
      </w:r>
    </w:p>
    <w:p w:rsidR="00C8203D" w:rsidRPr="00E62BCB" w:rsidRDefault="00C8203D" w:rsidP="00C14EEF">
      <w:pPr>
        <w:shd w:val="clear" w:color="auto" w:fill="FFFFFF"/>
        <w:rPr>
          <w:rFonts w:ascii="Arial" w:hAnsi="Arial" w:cs="Arial"/>
          <w:bCs/>
          <w:szCs w:val="22"/>
          <w:lang w:eastAsia="uk-UA"/>
        </w:rPr>
      </w:pPr>
    </w:p>
    <w:p w:rsidR="00C8203D" w:rsidRPr="00E62BCB" w:rsidRDefault="00C8203D" w:rsidP="00C14EEF">
      <w:pPr>
        <w:shd w:val="clear" w:color="auto" w:fill="FFFFFF"/>
        <w:rPr>
          <w:rFonts w:ascii="Arial" w:hAnsi="Arial" w:cs="Arial"/>
          <w:szCs w:val="22"/>
        </w:rPr>
      </w:pPr>
      <w:r>
        <w:rPr>
          <w:rFonts w:ascii="Arial" w:hAnsi="Arial"/>
          <w:b/>
          <w:i/>
          <w:szCs w:val="22"/>
        </w:rPr>
        <w:t xml:space="preserve">Коефіцієнт покриття виплат з обслуговування боргу </w:t>
      </w:r>
      <w:r>
        <w:rPr>
          <w:rFonts w:ascii="Arial" w:hAnsi="Arial"/>
          <w:szCs w:val="22"/>
        </w:rPr>
        <w:t>визначає, наскільки легко компанія може сплачувати свої боргові зобов’язання.</w:t>
      </w:r>
      <w:r w:rsidR="00CB1B48">
        <w:rPr>
          <w:rFonts w:ascii="Arial" w:hAnsi="Arial"/>
          <w:szCs w:val="22"/>
        </w:rPr>
        <w:t xml:space="preserve"> </w:t>
      </w:r>
      <w:r>
        <w:rPr>
          <w:rFonts w:ascii="Arial" w:hAnsi="Arial"/>
          <w:szCs w:val="22"/>
        </w:rPr>
        <w:t>В ідеалі цей коефіцієнт повинен бути не меншим за "1" - в цьому випадку компанія зможе покрити 100% щорічної сплати боргу.</w:t>
      </w:r>
      <w:r w:rsidR="00CB1B48">
        <w:rPr>
          <w:rFonts w:ascii="Arial" w:hAnsi="Arial"/>
          <w:szCs w:val="22"/>
        </w:rPr>
        <w:t xml:space="preserve"> </w:t>
      </w:r>
      <w:r>
        <w:rPr>
          <w:rFonts w:ascii="Arial" w:hAnsi="Arial"/>
          <w:szCs w:val="22"/>
        </w:rPr>
        <w:t>За зазначений звітний період КП Луцькводоканал продемонструвало негативну тенденцію та мало недостатній дох</w:t>
      </w:r>
      <w:r w:rsidR="0049061D">
        <w:rPr>
          <w:rFonts w:ascii="Arial" w:hAnsi="Arial"/>
          <w:szCs w:val="22"/>
        </w:rPr>
        <w:t>і</w:t>
      </w:r>
      <w:r>
        <w:rPr>
          <w:rFonts w:ascii="Arial" w:hAnsi="Arial"/>
          <w:szCs w:val="22"/>
        </w:rPr>
        <w:t>д для сплати своїх поточних боргових зобов’язань.</w:t>
      </w:r>
    </w:p>
    <w:p w:rsidR="00C8203D" w:rsidRPr="00337277" w:rsidRDefault="00C8203D" w:rsidP="00C14EEF">
      <w:pPr>
        <w:shd w:val="clear" w:color="auto" w:fill="FFFFFF"/>
        <w:rPr>
          <w:rFonts w:ascii="Arial" w:hAnsi="Arial" w:cs="Arial"/>
          <w:bCs/>
          <w:szCs w:val="22"/>
          <w:lang w:val="ru-RU" w:eastAsia="uk-UA"/>
        </w:rPr>
      </w:pPr>
    </w:p>
    <w:p w:rsidR="00C8203D" w:rsidRPr="008104FF" w:rsidRDefault="00C8203D" w:rsidP="00C14EEF">
      <w:pPr>
        <w:pStyle w:val="2"/>
        <w:spacing w:before="0" w:after="0"/>
        <w:contextualSpacing w:val="0"/>
      </w:pPr>
      <w:bookmarkStart w:id="47" w:name="_Toc34725234"/>
      <w:bookmarkStart w:id="48" w:name="_Toc48392541"/>
      <w:r>
        <w:t>Коефіцієнти ефективності</w:t>
      </w:r>
      <w:bookmarkEnd w:id="47"/>
      <w:bookmarkEnd w:id="48"/>
    </w:p>
    <w:p w:rsidR="00C8203D" w:rsidRPr="00E62BCB" w:rsidRDefault="00C8203D" w:rsidP="00C14EEF">
      <w:pPr>
        <w:shd w:val="clear" w:color="auto" w:fill="FFFFFF"/>
        <w:rPr>
          <w:rFonts w:ascii="Arial" w:hAnsi="Arial" w:cs="Arial"/>
          <w:szCs w:val="22"/>
        </w:rPr>
      </w:pPr>
      <w:r>
        <w:rPr>
          <w:rFonts w:ascii="Arial" w:hAnsi="Arial"/>
          <w:szCs w:val="22"/>
        </w:rPr>
        <w:t>Коефіцієнт ефективності, також відомий як коефіцієнт фінансової діяльності, використовується для вимірювання того, наскільки ефективно компанія використовує свої активи та ресурси. Серед загальних коефіцієнтів ефективності:</w:t>
      </w:r>
    </w:p>
    <w:p w:rsidR="00C8203D" w:rsidRPr="00337277" w:rsidRDefault="00C8203D" w:rsidP="00C14EEF">
      <w:pPr>
        <w:shd w:val="clear" w:color="auto" w:fill="FFFFFF"/>
        <w:rPr>
          <w:rFonts w:ascii="Arial" w:hAnsi="Arial" w:cs="Arial"/>
          <w:szCs w:val="22"/>
          <w:lang w:eastAsia="uk-UA"/>
        </w:rPr>
      </w:pPr>
    </w:p>
    <w:p w:rsidR="00C8203D" w:rsidRPr="00E62BCB" w:rsidRDefault="00C8203D" w:rsidP="00C14EEF">
      <w:pPr>
        <w:shd w:val="clear" w:color="auto" w:fill="FFFFFF"/>
        <w:rPr>
          <w:rFonts w:ascii="Arial" w:hAnsi="Arial" w:cs="Arial"/>
          <w:szCs w:val="22"/>
        </w:rPr>
      </w:pPr>
      <w:r>
        <w:rPr>
          <w:rFonts w:ascii="Arial" w:hAnsi="Arial"/>
          <w:b/>
          <w:i/>
          <w:szCs w:val="22"/>
        </w:rPr>
        <w:t xml:space="preserve">Коефіцієнт </w:t>
      </w:r>
      <w:proofErr w:type="spellStart"/>
      <w:r>
        <w:rPr>
          <w:rFonts w:ascii="Arial" w:hAnsi="Arial"/>
          <w:b/>
          <w:i/>
          <w:szCs w:val="22"/>
        </w:rPr>
        <w:t>обіговості</w:t>
      </w:r>
      <w:proofErr w:type="spellEnd"/>
      <w:r>
        <w:rPr>
          <w:rFonts w:ascii="Arial" w:hAnsi="Arial"/>
          <w:b/>
          <w:i/>
          <w:szCs w:val="22"/>
        </w:rPr>
        <w:t xml:space="preserve"> активів</w:t>
      </w:r>
      <w:r>
        <w:rPr>
          <w:rFonts w:ascii="Arial" w:hAnsi="Arial"/>
          <w:szCs w:val="22"/>
        </w:rPr>
        <w:t xml:space="preserve"> визначає здатність компанії генерувати продажі за рахунок активів.</w:t>
      </w:r>
    </w:p>
    <w:p w:rsidR="00C8203D" w:rsidRPr="00337277" w:rsidRDefault="00C8203D" w:rsidP="00C14EEF">
      <w:pPr>
        <w:shd w:val="clear" w:color="auto" w:fill="FFFFFF"/>
        <w:rPr>
          <w:rFonts w:ascii="Arial" w:hAnsi="Arial" w:cs="Arial"/>
          <w:szCs w:val="22"/>
          <w:lang w:eastAsia="uk-UA"/>
        </w:rPr>
      </w:pPr>
    </w:p>
    <w:p w:rsidR="00C8203D" w:rsidRPr="00BC23C5" w:rsidRDefault="00C8203D" w:rsidP="00C14EEF">
      <w:pPr>
        <w:pStyle w:val="af5"/>
        <w:shd w:val="clear" w:color="auto" w:fill="FFFFFF"/>
        <w:spacing w:after="0" w:line="240" w:lineRule="auto"/>
        <w:jc w:val="both"/>
        <w:rPr>
          <w:rFonts w:ascii="Arial" w:hAnsi="Arial" w:cs="Arial"/>
          <w:color w:val="111111"/>
          <w:sz w:val="22"/>
          <w:szCs w:val="22"/>
        </w:rPr>
      </w:pPr>
      <w:r>
        <w:rPr>
          <w:rFonts w:ascii="Arial" w:hAnsi="Arial"/>
          <w:color w:val="111111"/>
          <w:sz w:val="22"/>
          <w:szCs w:val="22"/>
        </w:rPr>
        <w:t xml:space="preserve">Чим вищий коефіцієнт </w:t>
      </w:r>
      <w:proofErr w:type="spellStart"/>
      <w:r>
        <w:rPr>
          <w:rFonts w:ascii="Arial" w:hAnsi="Arial"/>
          <w:color w:val="111111"/>
          <w:sz w:val="22"/>
          <w:szCs w:val="22"/>
        </w:rPr>
        <w:t>обіговості</w:t>
      </w:r>
      <w:proofErr w:type="spellEnd"/>
      <w:r>
        <w:rPr>
          <w:rFonts w:ascii="Arial" w:hAnsi="Arial"/>
          <w:color w:val="111111"/>
          <w:sz w:val="22"/>
          <w:szCs w:val="22"/>
        </w:rPr>
        <w:t xml:space="preserve"> активів, тим краще працює компанія, оскільки більш високі коефіцієнти означають, що компанія приносить більше доходу на долар активів. Коефіцієнт </w:t>
      </w:r>
      <w:proofErr w:type="spellStart"/>
      <w:r>
        <w:rPr>
          <w:rFonts w:ascii="Arial" w:hAnsi="Arial"/>
          <w:color w:val="111111"/>
          <w:sz w:val="22"/>
          <w:szCs w:val="22"/>
        </w:rPr>
        <w:t>обіговості</w:t>
      </w:r>
      <w:proofErr w:type="spellEnd"/>
      <w:r>
        <w:rPr>
          <w:rFonts w:ascii="Arial" w:hAnsi="Arial"/>
          <w:color w:val="111111"/>
          <w:sz w:val="22"/>
          <w:szCs w:val="22"/>
        </w:rPr>
        <w:t xml:space="preserve"> активів, як правило, для компаній у одних секторах - вищій, ніж в інших.</w:t>
      </w:r>
      <w:r w:rsidR="00CB1B48">
        <w:rPr>
          <w:rFonts w:ascii="Arial" w:hAnsi="Arial"/>
          <w:color w:val="111111"/>
          <w:sz w:val="22"/>
          <w:szCs w:val="22"/>
        </w:rPr>
        <w:t xml:space="preserve"> </w:t>
      </w:r>
      <w:r>
        <w:rPr>
          <w:rFonts w:ascii="Arial" w:hAnsi="Arial"/>
          <w:color w:val="111111"/>
          <w:sz w:val="22"/>
          <w:szCs w:val="22"/>
        </w:rPr>
        <w:t xml:space="preserve">Компанії, що мають відносно невелику базу активів, але мають високий обсяг продажів, мають найвищий середній коефіцієнт </w:t>
      </w:r>
      <w:proofErr w:type="spellStart"/>
      <w:r>
        <w:rPr>
          <w:rFonts w:ascii="Arial" w:hAnsi="Arial"/>
          <w:color w:val="111111"/>
          <w:sz w:val="22"/>
          <w:szCs w:val="22"/>
        </w:rPr>
        <w:t>обіговості</w:t>
      </w:r>
      <w:proofErr w:type="spellEnd"/>
      <w:r>
        <w:rPr>
          <w:rFonts w:ascii="Arial" w:hAnsi="Arial"/>
          <w:color w:val="111111"/>
          <w:sz w:val="22"/>
          <w:szCs w:val="22"/>
        </w:rPr>
        <w:t xml:space="preserve"> активів.</w:t>
      </w:r>
      <w:r w:rsidR="00CB1B48">
        <w:rPr>
          <w:rFonts w:ascii="Arial" w:hAnsi="Arial"/>
          <w:color w:val="111111"/>
          <w:sz w:val="22"/>
          <w:szCs w:val="22"/>
        </w:rPr>
        <w:t xml:space="preserve"> </w:t>
      </w:r>
      <w:r>
        <w:rPr>
          <w:rFonts w:ascii="Arial" w:hAnsi="Arial"/>
          <w:color w:val="111111"/>
          <w:sz w:val="22"/>
          <w:szCs w:val="22"/>
        </w:rPr>
        <w:t xml:space="preserve">Зазвичай водоканали мають велику базу активів та низьку </w:t>
      </w:r>
      <w:proofErr w:type="spellStart"/>
      <w:r>
        <w:rPr>
          <w:rFonts w:ascii="Arial" w:hAnsi="Arial"/>
          <w:color w:val="111111"/>
          <w:sz w:val="22"/>
          <w:szCs w:val="22"/>
        </w:rPr>
        <w:t>обіговість</w:t>
      </w:r>
      <w:proofErr w:type="spellEnd"/>
      <w:r>
        <w:rPr>
          <w:rFonts w:ascii="Arial" w:hAnsi="Arial"/>
          <w:color w:val="111111"/>
          <w:sz w:val="22"/>
          <w:szCs w:val="22"/>
        </w:rPr>
        <w:t xml:space="preserve"> активів.</w:t>
      </w:r>
    </w:p>
    <w:p w:rsidR="00C8203D" w:rsidRPr="00BC23C5" w:rsidRDefault="00C8203D" w:rsidP="00C14EEF">
      <w:pPr>
        <w:pStyle w:val="af5"/>
        <w:shd w:val="clear" w:color="auto" w:fill="FFFFFF"/>
        <w:spacing w:after="0" w:line="240" w:lineRule="auto"/>
        <w:jc w:val="both"/>
        <w:rPr>
          <w:rFonts w:ascii="Arial" w:hAnsi="Arial" w:cs="Arial"/>
          <w:color w:val="111111"/>
          <w:sz w:val="22"/>
          <w:szCs w:val="22"/>
        </w:rPr>
      </w:pPr>
      <w:r>
        <w:rPr>
          <w:rFonts w:ascii="Arial" w:hAnsi="Arial"/>
          <w:color w:val="111111"/>
          <w:sz w:val="22"/>
          <w:szCs w:val="22"/>
        </w:rPr>
        <w:t xml:space="preserve">Таким чином, постійний позитивний коефіцієнт </w:t>
      </w:r>
      <w:proofErr w:type="spellStart"/>
      <w:r>
        <w:rPr>
          <w:rFonts w:ascii="Arial" w:hAnsi="Arial"/>
          <w:color w:val="111111"/>
          <w:sz w:val="22"/>
          <w:szCs w:val="22"/>
        </w:rPr>
        <w:t>обіговості</w:t>
      </w:r>
      <w:proofErr w:type="spellEnd"/>
      <w:r>
        <w:rPr>
          <w:rFonts w:ascii="Arial" w:hAnsi="Arial"/>
          <w:color w:val="111111"/>
          <w:sz w:val="22"/>
          <w:szCs w:val="22"/>
        </w:rPr>
        <w:t xml:space="preserve"> активів для КП Луцькводоканал є прийнятним.</w:t>
      </w:r>
    </w:p>
    <w:p w:rsidR="00C8203D" w:rsidRPr="00337277" w:rsidRDefault="00C8203D" w:rsidP="00C14EEF">
      <w:pPr>
        <w:shd w:val="clear" w:color="auto" w:fill="FFFFFF"/>
        <w:rPr>
          <w:rFonts w:ascii="Arial" w:hAnsi="Arial" w:cs="Arial"/>
          <w:szCs w:val="22"/>
          <w:lang w:val="ru-RU" w:eastAsia="uk-UA"/>
        </w:rPr>
      </w:pPr>
    </w:p>
    <w:p w:rsidR="00C8203D" w:rsidRPr="00E62BCB" w:rsidRDefault="00C8203D" w:rsidP="00C14EEF">
      <w:pPr>
        <w:shd w:val="clear" w:color="auto" w:fill="FFFFFF"/>
        <w:rPr>
          <w:rFonts w:ascii="Arial" w:hAnsi="Arial" w:cs="Arial"/>
          <w:szCs w:val="22"/>
        </w:rPr>
      </w:pPr>
      <w:r>
        <w:rPr>
          <w:rFonts w:ascii="Arial" w:hAnsi="Arial"/>
          <w:szCs w:val="22"/>
        </w:rPr>
        <w:t xml:space="preserve">Коефіцієнт </w:t>
      </w:r>
      <w:proofErr w:type="spellStart"/>
      <w:r>
        <w:rPr>
          <w:rFonts w:ascii="Arial" w:hAnsi="Arial"/>
          <w:szCs w:val="22"/>
        </w:rPr>
        <w:t>обіговості</w:t>
      </w:r>
      <w:proofErr w:type="spellEnd"/>
      <w:r>
        <w:rPr>
          <w:rFonts w:ascii="Arial" w:hAnsi="Arial"/>
          <w:szCs w:val="22"/>
        </w:rPr>
        <w:t xml:space="preserve"> запасів визначає, скільки разів замінюється запас компанії за певний період.</w:t>
      </w:r>
      <w:r w:rsidR="00CB1B48">
        <w:rPr>
          <w:rFonts w:ascii="Arial" w:hAnsi="Arial"/>
          <w:szCs w:val="22"/>
        </w:rPr>
        <w:t xml:space="preserve"> </w:t>
      </w:r>
      <w:r>
        <w:rPr>
          <w:rFonts w:ascii="Arial" w:hAnsi="Arial"/>
          <w:szCs w:val="22"/>
        </w:rPr>
        <w:t xml:space="preserve">Коефіцієнт, близький до 30, прийнятний для водоканалів це стосується і КП Луцькводоканал його коефіцієнт </w:t>
      </w:r>
      <w:proofErr w:type="spellStart"/>
      <w:r>
        <w:rPr>
          <w:rFonts w:ascii="Arial" w:hAnsi="Arial"/>
          <w:szCs w:val="22"/>
        </w:rPr>
        <w:t>обіговості</w:t>
      </w:r>
      <w:proofErr w:type="spellEnd"/>
      <w:r>
        <w:rPr>
          <w:rFonts w:ascii="Arial" w:hAnsi="Arial"/>
          <w:szCs w:val="22"/>
        </w:rPr>
        <w:t xml:space="preserve"> запасів - понад "30"</w:t>
      </w:r>
      <w:r w:rsidR="00CB1B48">
        <w:rPr>
          <w:rFonts w:ascii="Arial" w:hAnsi="Arial"/>
          <w:szCs w:val="22"/>
        </w:rPr>
        <w:t xml:space="preserve"> </w:t>
      </w:r>
      <w:r>
        <w:rPr>
          <w:rFonts w:ascii="Arial" w:hAnsi="Arial"/>
          <w:szCs w:val="22"/>
        </w:rPr>
        <w:t>(61,75 за 2019 фіскальний рік)..</w:t>
      </w:r>
    </w:p>
    <w:p w:rsidR="00C8203D" w:rsidRPr="00337277" w:rsidRDefault="00C8203D" w:rsidP="00C14EEF">
      <w:pPr>
        <w:shd w:val="clear" w:color="auto" w:fill="FFFFFF"/>
        <w:rPr>
          <w:rFonts w:ascii="Arial" w:hAnsi="Arial" w:cs="Arial"/>
          <w:szCs w:val="22"/>
          <w:lang w:eastAsia="uk-UA"/>
        </w:rPr>
      </w:pPr>
    </w:p>
    <w:p w:rsidR="00C8203D" w:rsidRPr="00337277" w:rsidRDefault="00C8203D" w:rsidP="00C14EEF">
      <w:pPr>
        <w:shd w:val="clear" w:color="auto" w:fill="FFFFFF"/>
        <w:rPr>
          <w:rFonts w:ascii="Arial" w:hAnsi="Arial" w:cs="Arial"/>
          <w:szCs w:val="22"/>
          <w:lang w:eastAsia="uk-UA"/>
        </w:rPr>
      </w:pPr>
    </w:p>
    <w:p w:rsidR="00C8203D" w:rsidRPr="00F60A7F" w:rsidRDefault="00C8203D" w:rsidP="00C14EEF">
      <w:pPr>
        <w:pStyle w:val="2"/>
        <w:spacing w:before="0" w:after="0"/>
        <w:contextualSpacing w:val="0"/>
      </w:pPr>
      <w:bookmarkStart w:id="49" w:name="_Toc34725235"/>
      <w:bookmarkStart w:id="50" w:name="_Toc48392542"/>
      <w:r>
        <w:t>Коефіцієнти прибутковості</w:t>
      </w:r>
      <w:bookmarkEnd w:id="49"/>
      <w:bookmarkEnd w:id="50"/>
    </w:p>
    <w:p w:rsidR="00C8203D" w:rsidRPr="00E62BCB" w:rsidRDefault="00C8203D" w:rsidP="00C14EEF">
      <w:pPr>
        <w:shd w:val="clear" w:color="auto" w:fill="FFFFFF"/>
        <w:rPr>
          <w:rFonts w:ascii="Arial" w:hAnsi="Arial" w:cs="Arial"/>
          <w:szCs w:val="22"/>
        </w:rPr>
      </w:pPr>
      <w:r>
        <w:rPr>
          <w:rFonts w:ascii="Arial" w:hAnsi="Arial"/>
          <w:szCs w:val="22"/>
        </w:rPr>
        <w:t>Коефіцієнт прибутковості вимірює здатність компанії отримувати дохід відносно прибутку, активів балансу, операційних витрат та капіталу. Серед загальних коефіцієнтів прибутковості:</w:t>
      </w:r>
    </w:p>
    <w:p w:rsidR="00C8203D" w:rsidRPr="00337277" w:rsidRDefault="00C8203D" w:rsidP="00C14EEF">
      <w:pPr>
        <w:shd w:val="clear" w:color="auto" w:fill="FFFFFF"/>
        <w:rPr>
          <w:rFonts w:ascii="Arial" w:hAnsi="Arial" w:cs="Arial"/>
          <w:szCs w:val="22"/>
          <w:lang w:eastAsia="uk-UA"/>
        </w:rPr>
      </w:pPr>
    </w:p>
    <w:p w:rsidR="00C8203D" w:rsidRPr="00E62BCB" w:rsidRDefault="00C8203D" w:rsidP="00C14EEF">
      <w:pPr>
        <w:shd w:val="clear" w:color="auto" w:fill="FFFFFF"/>
        <w:rPr>
          <w:rFonts w:ascii="Arial" w:hAnsi="Arial" w:cs="Arial"/>
          <w:szCs w:val="22"/>
        </w:rPr>
      </w:pPr>
      <w:r>
        <w:rPr>
          <w:rFonts w:ascii="Arial" w:hAnsi="Arial"/>
          <w:b/>
          <w:i/>
          <w:szCs w:val="22"/>
        </w:rPr>
        <w:t>Коефіцієнт валової маржі</w:t>
      </w:r>
      <w:r>
        <w:rPr>
          <w:rFonts w:ascii="Arial" w:hAnsi="Arial"/>
          <w:szCs w:val="22"/>
        </w:rPr>
        <w:t xml:space="preserve"> порівнює валовий прибуток компанії з її чистими продажами, щоб показати, який прибуток отримає компанія після вирахування собівартості проданих товарів.</w:t>
      </w:r>
      <w:r w:rsidR="00CB1B48">
        <w:rPr>
          <w:rFonts w:ascii="Arial" w:hAnsi="Arial"/>
          <w:szCs w:val="22"/>
        </w:rPr>
        <w:t xml:space="preserve"> </w:t>
      </w:r>
      <w:r>
        <w:rPr>
          <w:rFonts w:ascii="Arial" w:hAnsi="Arial"/>
          <w:szCs w:val="22"/>
        </w:rPr>
        <w:t>КП Луцькводоканал продемонструвало позитивний Коефіцієнт валової маржі впродовж 2017-2019 фіскальних років.</w:t>
      </w:r>
      <w:r w:rsidR="00CB1B48">
        <w:rPr>
          <w:rFonts w:ascii="Arial" w:hAnsi="Arial"/>
          <w:szCs w:val="22"/>
        </w:rPr>
        <w:t xml:space="preserve"> </w:t>
      </w:r>
      <w:r>
        <w:rPr>
          <w:rFonts w:ascii="Arial" w:hAnsi="Arial"/>
          <w:szCs w:val="22"/>
        </w:rPr>
        <w:t>Це означає, що компанія здатна покривати свої операційні витрати.</w:t>
      </w:r>
    </w:p>
    <w:p w:rsidR="00C8203D" w:rsidRPr="00337277" w:rsidRDefault="00C8203D" w:rsidP="00C14EEF">
      <w:pPr>
        <w:shd w:val="clear" w:color="auto" w:fill="FFFFFF"/>
        <w:rPr>
          <w:rFonts w:ascii="Arial" w:hAnsi="Arial" w:cs="Arial"/>
          <w:szCs w:val="22"/>
          <w:lang w:eastAsia="uk-UA"/>
        </w:rPr>
      </w:pPr>
    </w:p>
    <w:p w:rsidR="00C8203D" w:rsidRPr="00E62BCB" w:rsidRDefault="00C8203D" w:rsidP="00C14EEF">
      <w:pPr>
        <w:shd w:val="clear" w:color="auto" w:fill="FFFFFF"/>
        <w:rPr>
          <w:rFonts w:ascii="Arial" w:hAnsi="Arial" w:cs="Arial"/>
          <w:szCs w:val="22"/>
        </w:rPr>
      </w:pPr>
      <w:r w:rsidRPr="00864F8D">
        <w:rPr>
          <w:rFonts w:ascii="Arial" w:hAnsi="Arial"/>
          <w:b/>
          <w:i/>
          <w:szCs w:val="22"/>
        </w:rPr>
        <w:t>Коефіцієнт операційної маржі</w:t>
      </w:r>
      <w:r>
        <w:rPr>
          <w:rFonts w:ascii="Arial" w:hAnsi="Arial"/>
          <w:szCs w:val="22"/>
        </w:rPr>
        <w:t xml:space="preserve"> порівнює операційний дохід компанії з чистими продажами для визначення операційної ефективності.</w:t>
      </w:r>
      <w:r w:rsidR="00CB1B48">
        <w:rPr>
          <w:rFonts w:ascii="Arial" w:hAnsi="Arial"/>
          <w:szCs w:val="22"/>
        </w:rPr>
        <w:t xml:space="preserve"> </w:t>
      </w:r>
      <w:r>
        <w:rPr>
          <w:rFonts w:ascii="Arial" w:hAnsi="Arial"/>
          <w:szCs w:val="22"/>
        </w:rPr>
        <w:t>За звітний період Коефіцієнт операційної маржі КП Луцькводоканал був порівняно малий (0,01% у 2019 фіскальному році), це набагато більше, ніж -3% у 2014-му фіскальному році, але такий рівень є нормальним для комунальних підприємств сектору води (регламентна діяльність), що зазвичай ма</w:t>
      </w:r>
      <w:r w:rsidR="00864F8D">
        <w:rPr>
          <w:rFonts w:ascii="Arial" w:hAnsi="Arial"/>
          <w:szCs w:val="22"/>
        </w:rPr>
        <w:t>ють</w:t>
      </w:r>
      <w:r>
        <w:rPr>
          <w:rFonts w:ascii="Arial" w:hAnsi="Arial"/>
          <w:szCs w:val="22"/>
        </w:rPr>
        <w:t xml:space="preserve"> низьку рентабельність.</w:t>
      </w:r>
      <w:r w:rsidR="00CB1B48">
        <w:rPr>
          <w:rFonts w:ascii="Arial" w:hAnsi="Arial"/>
          <w:szCs w:val="22"/>
        </w:rPr>
        <w:t xml:space="preserve"> </w:t>
      </w:r>
      <w:r>
        <w:rPr>
          <w:rFonts w:ascii="Arial" w:hAnsi="Arial"/>
          <w:szCs w:val="22"/>
        </w:rPr>
        <w:t xml:space="preserve">Насправді це означає, що на кожну 1 грн </w:t>
      </w:r>
      <w:r>
        <w:rPr>
          <w:rStyle w:val="definition-url"/>
          <w:rFonts w:ascii="Arial" w:hAnsi="Arial"/>
          <w:szCs w:val="22"/>
        </w:rPr>
        <w:t>продажів</w:t>
      </w:r>
      <w:r>
        <w:rPr>
          <w:rFonts w:ascii="Arial" w:hAnsi="Arial"/>
          <w:szCs w:val="22"/>
        </w:rPr>
        <w:t xml:space="preserve"> компанія має 0,01 операційного прибутку.</w:t>
      </w:r>
    </w:p>
    <w:p w:rsidR="00C8203D" w:rsidRPr="00337277" w:rsidRDefault="00C8203D" w:rsidP="00C14EEF">
      <w:pPr>
        <w:shd w:val="clear" w:color="auto" w:fill="FFFFFF"/>
        <w:rPr>
          <w:rFonts w:ascii="Arial" w:hAnsi="Arial" w:cs="Arial"/>
          <w:szCs w:val="22"/>
          <w:lang w:val="ru-RU" w:eastAsia="uk-UA"/>
        </w:rPr>
      </w:pPr>
    </w:p>
    <w:p w:rsidR="00C8203D" w:rsidRPr="00E62BCB" w:rsidRDefault="00C8203D" w:rsidP="00C14EEF">
      <w:pPr>
        <w:shd w:val="clear" w:color="auto" w:fill="FFFFFF"/>
        <w:rPr>
          <w:rFonts w:ascii="Arial" w:hAnsi="Arial" w:cs="Arial"/>
          <w:szCs w:val="22"/>
        </w:rPr>
      </w:pPr>
      <w:r>
        <w:rPr>
          <w:rFonts w:ascii="Arial" w:hAnsi="Arial"/>
          <w:szCs w:val="22"/>
          <w:shd w:val="clear" w:color="auto" w:fill="FFFFFF"/>
        </w:rPr>
        <w:t>Тиск на оперативну маржу буде спричинено ростом операційних витрат, що можливий у зонах продажу,</w:t>
      </w:r>
      <w:r w:rsidR="00CB1B48">
        <w:rPr>
          <w:rFonts w:ascii="Arial" w:hAnsi="Arial"/>
          <w:szCs w:val="22"/>
          <w:shd w:val="clear" w:color="auto" w:fill="FFFFFF"/>
        </w:rPr>
        <w:t xml:space="preserve"> </w:t>
      </w:r>
      <w:r>
        <w:rPr>
          <w:rFonts w:ascii="Arial" w:hAnsi="Arial"/>
          <w:szCs w:val="22"/>
          <w:shd w:val="clear" w:color="auto" w:fill="FFFFFF"/>
        </w:rPr>
        <w:t>загальних та адміністративних витрат (ЗАВ), зарплат, зносу/ амортизації.</w:t>
      </w:r>
    </w:p>
    <w:p w:rsidR="00C8203D" w:rsidRPr="00E62BCB" w:rsidRDefault="00C8203D" w:rsidP="00C14EEF">
      <w:pPr>
        <w:shd w:val="clear" w:color="auto" w:fill="FFFFFF"/>
        <w:rPr>
          <w:rFonts w:ascii="Arial" w:hAnsi="Arial" w:cs="Arial"/>
          <w:color w:val="111111"/>
          <w:szCs w:val="22"/>
          <w:lang w:eastAsia="uk-UA"/>
        </w:rPr>
      </w:pPr>
    </w:p>
    <w:p w:rsidR="00C8203D" w:rsidRPr="00E62BCB" w:rsidRDefault="00C8203D" w:rsidP="00C14EEF">
      <w:pPr>
        <w:shd w:val="clear" w:color="auto" w:fill="FFFFFF"/>
        <w:rPr>
          <w:rFonts w:ascii="Arial" w:hAnsi="Arial" w:cs="Arial"/>
          <w:szCs w:val="22"/>
        </w:rPr>
      </w:pPr>
      <w:r>
        <w:rPr>
          <w:rFonts w:ascii="Arial" w:hAnsi="Arial"/>
          <w:b/>
          <w:i/>
          <w:szCs w:val="22"/>
        </w:rPr>
        <w:t>Коефіцієнт рентабельності активів</w:t>
      </w:r>
      <w:r>
        <w:rPr>
          <w:rFonts w:ascii="Arial" w:hAnsi="Arial"/>
          <w:szCs w:val="22"/>
        </w:rPr>
        <w:t xml:space="preserve"> вимірює наскільки ефективно компанія використовує свої активи для отримання прибутку.</w:t>
      </w:r>
      <w:r w:rsidR="00CB1B48">
        <w:rPr>
          <w:rFonts w:ascii="Arial" w:hAnsi="Arial"/>
          <w:szCs w:val="22"/>
        </w:rPr>
        <w:t xml:space="preserve"> </w:t>
      </w:r>
      <w:r>
        <w:rPr>
          <w:rFonts w:ascii="Arial" w:hAnsi="Arial"/>
          <w:szCs w:val="22"/>
        </w:rPr>
        <w:t xml:space="preserve">Цілком природно, що компанії в такій галузі, як водна сфера, мають багато активів та низьку </w:t>
      </w:r>
      <w:proofErr w:type="spellStart"/>
      <w:r>
        <w:rPr>
          <w:rFonts w:ascii="Arial" w:hAnsi="Arial"/>
          <w:szCs w:val="22"/>
        </w:rPr>
        <w:t>обіговість</w:t>
      </w:r>
      <w:proofErr w:type="spellEnd"/>
      <w:r>
        <w:rPr>
          <w:rFonts w:ascii="Arial" w:hAnsi="Arial"/>
          <w:szCs w:val="22"/>
        </w:rPr>
        <w:t xml:space="preserve"> активів.</w:t>
      </w:r>
      <w:r w:rsidR="00CB1B48">
        <w:rPr>
          <w:rFonts w:ascii="Arial" w:hAnsi="Arial"/>
          <w:color w:val="111111"/>
          <w:szCs w:val="22"/>
        </w:rPr>
        <w:t xml:space="preserve"> </w:t>
      </w:r>
      <w:r>
        <w:rPr>
          <w:rFonts w:ascii="Arial" w:hAnsi="Arial"/>
          <w:color w:val="111111"/>
          <w:szCs w:val="22"/>
        </w:rPr>
        <w:t>Тож для цього коефіцієнта для КП Луцькводоканал прийнятний досить низький рівень.</w:t>
      </w:r>
      <w:r w:rsidR="00CB1B48">
        <w:rPr>
          <w:rFonts w:ascii="Arial" w:hAnsi="Arial"/>
          <w:color w:val="111111"/>
          <w:szCs w:val="22"/>
        </w:rPr>
        <w:t xml:space="preserve"> </w:t>
      </w:r>
      <w:r>
        <w:rPr>
          <w:rFonts w:ascii="Arial" w:hAnsi="Arial"/>
          <w:color w:val="111111"/>
          <w:szCs w:val="22"/>
        </w:rPr>
        <w:t>Крім того, він має позитивне значення за 2019 фіскальний рік.</w:t>
      </w:r>
    </w:p>
    <w:p w:rsidR="00C8203D" w:rsidRPr="00337277" w:rsidRDefault="00C8203D" w:rsidP="00C14EEF">
      <w:pPr>
        <w:shd w:val="clear" w:color="auto" w:fill="FFFFFF"/>
        <w:rPr>
          <w:rFonts w:ascii="Arial" w:hAnsi="Arial" w:cs="Arial"/>
          <w:b/>
          <w:bCs/>
          <w:szCs w:val="22"/>
          <w:lang w:eastAsia="uk-UA"/>
        </w:rPr>
      </w:pPr>
    </w:p>
    <w:p w:rsidR="00C8203D" w:rsidRPr="00E62BCB" w:rsidRDefault="00C8203D" w:rsidP="00C14EEF">
      <w:pPr>
        <w:shd w:val="clear" w:color="auto" w:fill="FFFFFF"/>
        <w:rPr>
          <w:rFonts w:ascii="Arial" w:hAnsi="Arial" w:cs="Arial"/>
          <w:szCs w:val="22"/>
        </w:rPr>
      </w:pPr>
      <w:r w:rsidRPr="00864F8D">
        <w:rPr>
          <w:rFonts w:ascii="Arial" w:hAnsi="Arial"/>
          <w:b/>
          <w:i/>
          <w:szCs w:val="22"/>
        </w:rPr>
        <w:t>Коефіцієнт рентабельності власного капіталу</w:t>
      </w:r>
      <w:r>
        <w:rPr>
          <w:rFonts w:ascii="Arial" w:hAnsi="Arial"/>
          <w:szCs w:val="22"/>
        </w:rPr>
        <w:t xml:space="preserve"> вимірює, наскільки ефективно компанія використовує свій власний капітал для отримання прибутку.</w:t>
      </w:r>
      <w:r w:rsidR="00CB1B48">
        <w:rPr>
          <w:rFonts w:ascii="Arial" w:hAnsi="Arial"/>
          <w:szCs w:val="22"/>
        </w:rPr>
        <w:t xml:space="preserve"> </w:t>
      </w:r>
      <w:r>
        <w:rPr>
          <w:rFonts w:ascii="Arial" w:hAnsi="Arial"/>
          <w:color w:val="111111"/>
          <w:szCs w:val="22"/>
        </w:rPr>
        <w:t>Рентабельність власного капіталу (ROE) - це фінансовий результат отриманий шляхом ділення чистого доходу на власний капітал. Оскільки власний капітал - це активи компанії за вирахуванням боргу, ROE можна вважати рентабельністю чистих активів. Зазвичай у комунальних підприємств у балансовому звіті багато активів та боргу порівняно з відносно невеликою сумою чистого доходу. Нормальна ROE у водяному секторі може становити 10% або менше.</w:t>
      </w:r>
    </w:p>
    <w:p w:rsidR="00C8203D" w:rsidRPr="00E62BCB" w:rsidRDefault="00C8203D" w:rsidP="00C14EEF">
      <w:pPr>
        <w:jc w:val="left"/>
        <w:rPr>
          <w:rFonts w:ascii="Arial" w:hAnsi="Arial" w:cs="Arial"/>
          <w:szCs w:val="22"/>
        </w:rPr>
      </w:pPr>
    </w:p>
    <w:p w:rsidR="00C8203D" w:rsidRPr="00E62BCB" w:rsidRDefault="00C8203D" w:rsidP="00864F8D">
      <w:pPr>
        <w:rPr>
          <w:rFonts w:ascii="Arial" w:hAnsi="Arial" w:cs="Arial"/>
          <w:szCs w:val="22"/>
        </w:rPr>
      </w:pPr>
      <w:r>
        <w:rPr>
          <w:rFonts w:ascii="Arial" w:hAnsi="Arial"/>
          <w:szCs w:val="22"/>
        </w:rPr>
        <w:t>Нажаль, впродовж 2014-2018 років, ROE КП Луцькводоканал мал</w:t>
      </w:r>
      <w:r w:rsidR="00864F8D">
        <w:rPr>
          <w:rFonts w:ascii="Arial" w:hAnsi="Arial"/>
          <w:szCs w:val="22"/>
        </w:rPr>
        <w:t>а</w:t>
      </w:r>
      <w:r>
        <w:rPr>
          <w:rFonts w:ascii="Arial" w:hAnsi="Arial"/>
          <w:szCs w:val="22"/>
        </w:rPr>
        <w:t xml:space="preserve"> негативне значення та лише у 2019 фіскальному році стал</w:t>
      </w:r>
      <w:r w:rsidR="00864F8D">
        <w:rPr>
          <w:rFonts w:ascii="Arial" w:hAnsi="Arial"/>
          <w:szCs w:val="22"/>
        </w:rPr>
        <w:t>а</w:t>
      </w:r>
      <w:r>
        <w:rPr>
          <w:rFonts w:ascii="Arial" w:hAnsi="Arial"/>
          <w:szCs w:val="22"/>
        </w:rPr>
        <w:t xml:space="preserve"> позитивн</w:t>
      </w:r>
      <w:r w:rsidR="00864F8D">
        <w:rPr>
          <w:rFonts w:ascii="Arial" w:hAnsi="Arial"/>
          <w:szCs w:val="22"/>
        </w:rPr>
        <w:t>ою</w:t>
      </w:r>
      <w:r>
        <w:rPr>
          <w:rFonts w:ascii="Arial" w:hAnsi="Arial"/>
          <w:szCs w:val="22"/>
        </w:rPr>
        <w:t>, але близьк</w:t>
      </w:r>
      <w:r w:rsidR="00864F8D">
        <w:rPr>
          <w:rFonts w:ascii="Arial" w:hAnsi="Arial"/>
          <w:szCs w:val="22"/>
        </w:rPr>
        <w:t>ою</w:t>
      </w:r>
      <w:r>
        <w:rPr>
          <w:rFonts w:ascii="Arial" w:hAnsi="Arial"/>
          <w:szCs w:val="22"/>
        </w:rPr>
        <w:t xml:space="preserve"> до 0.</w:t>
      </w:r>
    </w:p>
    <w:p w:rsidR="00C8203D" w:rsidRPr="00E62BCB" w:rsidRDefault="00C8203D" w:rsidP="00C14EEF">
      <w:pPr>
        <w:jc w:val="left"/>
        <w:rPr>
          <w:rFonts w:ascii="Arial" w:hAnsi="Arial" w:cs="Arial"/>
          <w:szCs w:val="22"/>
        </w:rPr>
      </w:pPr>
    </w:p>
    <w:p w:rsidR="00C8203D" w:rsidRPr="00F60A7F" w:rsidRDefault="00C8203D" w:rsidP="00C14EEF">
      <w:pPr>
        <w:pStyle w:val="2"/>
        <w:spacing w:before="0" w:after="0"/>
        <w:contextualSpacing w:val="0"/>
      </w:pPr>
      <w:bookmarkStart w:id="51" w:name="_Toc34725236"/>
      <w:bookmarkStart w:id="52" w:name="_Toc48392543"/>
      <w:r>
        <w:t>Коефіцієнти фінансової стійкості</w:t>
      </w:r>
      <w:bookmarkEnd w:id="51"/>
      <w:bookmarkEnd w:id="52"/>
    </w:p>
    <w:p w:rsidR="00C8203D" w:rsidRPr="00E62BCB" w:rsidRDefault="00C8203D" w:rsidP="00C14EEF">
      <w:pPr>
        <w:rPr>
          <w:rFonts w:ascii="Arial" w:hAnsi="Arial" w:cs="Arial"/>
          <w:szCs w:val="22"/>
        </w:rPr>
      </w:pPr>
      <w:r>
        <w:rPr>
          <w:rFonts w:ascii="Arial" w:hAnsi="Arial"/>
          <w:szCs w:val="22"/>
        </w:rPr>
        <w:t>Фінансова стабільність підприємства означає його платоспроможність з часом, за умови фінансового балансу між власними та позиковими коштами. Фінансова звітність підприємства характеризується такими параметрами.</w:t>
      </w:r>
    </w:p>
    <w:p w:rsidR="00C8203D" w:rsidRPr="00337277" w:rsidRDefault="00C8203D" w:rsidP="00C14EEF">
      <w:pPr>
        <w:rPr>
          <w:rFonts w:ascii="Arial" w:hAnsi="Arial" w:cs="Arial"/>
          <w:szCs w:val="22"/>
        </w:rPr>
      </w:pPr>
    </w:p>
    <w:p w:rsidR="00C8203D" w:rsidRPr="00E62BCB" w:rsidRDefault="00C8203D" w:rsidP="00C14EEF">
      <w:pPr>
        <w:rPr>
          <w:rFonts w:ascii="Arial" w:hAnsi="Arial" w:cs="Arial"/>
          <w:i/>
          <w:szCs w:val="22"/>
        </w:rPr>
      </w:pPr>
      <w:r>
        <w:rPr>
          <w:rFonts w:ascii="Arial" w:hAnsi="Arial"/>
          <w:b/>
          <w:i/>
          <w:szCs w:val="22"/>
        </w:rPr>
        <w:t>Коефіцієнт фінансової незалежності</w:t>
      </w:r>
    </w:p>
    <w:p w:rsidR="00C8203D" w:rsidRPr="00E62BCB" w:rsidRDefault="00C8203D" w:rsidP="00C14EEF">
      <w:pPr>
        <w:rPr>
          <w:rFonts w:ascii="Arial" w:hAnsi="Arial" w:cs="Arial"/>
          <w:color w:val="000000"/>
          <w:szCs w:val="22"/>
        </w:rPr>
      </w:pPr>
      <w:r>
        <w:rPr>
          <w:rFonts w:ascii="Arial" w:hAnsi="Arial"/>
          <w:szCs w:val="22"/>
        </w:rPr>
        <w:t>Цей коефіцієнт (коефіцієнт автономії) визначає частку коштів власників підприємства у загальній сумі коштів, вкладених у майно підприємства. Коефіцієнт характеризує здатність підприємства виконувати свої зовнішні зобов'язання за рахунок власних коштів, його операційну незалежність від запозичень.</w:t>
      </w:r>
    </w:p>
    <w:p w:rsidR="00C8203D" w:rsidRPr="00E62BCB" w:rsidRDefault="00C8203D" w:rsidP="00C14EEF">
      <w:pPr>
        <w:rPr>
          <w:rFonts w:ascii="Arial" w:hAnsi="Arial" w:cs="Arial"/>
          <w:color w:val="000000"/>
          <w:szCs w:val="22"/>
        </w:rPr>
      </w:pPr>
    </w:p>
    <w:p w:rsidR="00C8203D" w:rsidRPr="00E62BCB" w:rsidRDefault="00C8203D" w:rsidP="00C14EEF">
      <w:pPr>
        <w:rPr>
          <w:rFonts w:ascii="Arial" w:hAnsi="Arial" w:cs="Arial"/>
          <w:szCs w:val="22"/>
        </w:rPr>
      </w:pPr>
      <w:r>
        <w:rPr>
          <w:rStyle w:val="hps"/>
          <w:rFonts w:ascii="Arial" w:hAnsi="Arial"/>
          <w:szCs w:val="22"/>
        </w:rPr>
        <w:t>Як видно</w:t>
      </w:r>
      <w:r>
        <w:rPr>
          <w:rFonts w:ascii="Arial" w:hAnsi="Arial"/>
          <w:szCs w:val="22"/>
        </w:rPr>
        <w:t xml:space="preserve">, </w:t>
      </w:r>
      <w:r w:rsidR="00864F8D">
        <w:rPr>
          <w:rFonts w:ascii="Arial" w:hAnsi="Arial"/>
          <w:szCs w:val="22"/>
        </w:rPr>
        <w:t>коефіцієнт</w:t>
      </w:r>
      <w:r>
        <w:rPr>
          <w:rFonts w:ascii="Arial" w:hAnsi="Arial"/>
          <w:szCs w:val="22"/>
        </w:rPr>
        <w:t xml:space="preserve"> </w:t>
      </w:r>
      <w:r>
        <w:rPr>
          <w:rStyle w:val="hps"/>
          <w:rFonts w:ascii="Arial" w:hAnsi="Arial"/>
          <w:szCs w:val="22"/>
        </w:rPr>
        <w:t>продемонстрував стабільність лише впродовж останніх років із певним зменшенням.</w:t>
      </w:r>
      <w:r>
        <w:rPr>
          <w:rFonts w:ascii="Arial" w:hAnsi="Arial"/>
          <w:szCs w:val="22"/>
        </w:rPr>
        <w:t xml:space="preserve"> Це врешті-решт призводить до зменшення кількості зобов’язань, які підприємство може виконати, використовуючи власні кошти. Також при зменшенні цього показника зменшується незалежність підприємства від запозичень. </w:t>
      </w:r>
    </w:p>
    <w:p w:rsidR="00C8203D" w:rsidRPr="00337277" w:rsidRDefault="00C8203D" w:rsidP="00C14EEF">
      <w:pPr>
        <w:rPr>
          <w:rFonts w:ascii="Arial" w:hAnsi="Arial" w:cs="Arial"/>
          <w:b/>
          <w:color w:val="000000"/>
          <w:szCs w:val="22"/>
          <w:lang w:val="ru-RU"/>
        </w:rPr>
      </w:pPr>
    </w:p>
    <w:p w:rsidR="00C8203D" w:rsidRPr="00E62BCB" w:rsidRDefault="00C8203D" w:rsidP="00C14EEF">
      <w:pPr>
        <w:rPr>
          <w:rFonts w:ascii="Arial" w:hAnsi="Arial" w:cs="Arial"/>
          <w:b/>
          <w:i/>
          <w:szCs w:val="22"/>
        </w:rPr>
      </w:pPr>
      <w:r>
        <w:rPr>
          <w:rFonts w:ascii="Arial" w:hAnsi="Arial"/>
          <w:b/>
          <w:i/>
          <w:szCs w:val="22"/>
        </w:rPr>
        <w:t>Коефіцієнт фінансової залежності</w:t>
      </w:r>
    </w:p>
    <w:p w:rsidR="00C8203D" w:rsidRPr="00E62BCB" w:rsidRDefault="00C8203D" w:rsidP="00C14EEF">
      <w:pPr>
        <w:rPr>
          <w:rFonts w:ascii="Arial" w:hAnsi="Arial" w:cs="Arial"/>
          <w:szCs w:val="22"/>
        </w:rPr>
      </w:pPr>
      <w:r>
        <w:rPr>
          <w:rFonts w:ascii="Arial" w:hAnsi="Arial"/>
          <w:szCs w:val="22"/>
        </w:rPr>
        <w:t xml:space="preserve">Цей показник - протилежний попередньому та демонструє загальну кількість одиниць джерел на одиницю власного капіталу. </w:t>
      </w:r>
    </w:p>
    <w:p w:rsidR="00C8203D" w:rsidRPr="00337277" w:rsidRDefault="00C8203D" w:rsidP="00C14EEF">
      <w:pPr>
        <w:rPr>
          <w:rFonts w:ascii="Arial" w:hAnsi="Arial" w:cs="Arial"/>
          <w:szCs w:val="22"/>
          <w:lang w:val="ru-RU"/>
        </w:rPr>
      </w:pPr>
    </w:p>
    <w:p w:rsidR="00C8203D" w:rsidRPr="00E62BCB" w:rsidRDefault="00C8203D" w:rsidP="00C14EEF">
      <w:pPr>
        <w:rPr>
          <w:rFonts w:ascii="Arial" w:hAnsi="Arial" w:cs="Arial"/>
          <w:szCs w:val="22"/>
        </w:rPr>
      </w:pPr>
      <w:r>
        <w:rPr>
          <w:rFonts w:ascii="Arial" w:hAnsi="Arial"/>
          <w:szCs w:val="22"/>
        </w:rPr>
        <w:t xml:space="preserve">Коефіцієнт має негативну тенденцію до зростання. Це можна було очікувати, оскільки показник - протилежний попередньому. Тому, при зменшенні коефіцієнта фінансової незалежності цей коефіцієнт буде зростати. </w:t>
      </w:r>
    </w:p>
    <w:p w:rsidR="00C8203D" w:rsidRPr="00337277" w:rsidRDefault="00C8203D" w:rsidP="00C14EEF">
      <w:pPr>
        <w:rPr>
          <w:rFonts w:ascii="Arial" w:hAnsi="Arial" w:cs="Arial"/>
          <w:b/>
          <w:color w:val="000000"/>
          <w:szCs w:val="22"/>
          <w:lang w:val="ru-RU"/>
        </w:rPr>
      </w:pPr>
    </w:p>
    <w:p w:rsidR="00C8203D" w:rsidRPr="00E62BCB" w:rsidRDefault="00C8203D" w:rsidP="00C14EEF">
      <w:pPr>
        <w:rPr>
          <w:rFonts w:ascii="Arial" w:hAnsi="Arial" w:cs="Arial"/>
          <w:b/>
          <w:i/>
          <w:szCs w:val="22"/>
        </w:rPr>
      </w:pPr>
      <w:r>
        <w:rPr>
          <w:rFonts w:ascii="Arial" w:hAnsi="Arial"/>
          <w:b/>
          <w:i/>
          <w:szCs w:val="22"/>
        </w:rPr>
        <w:t>Коефіцієнт залежності підприємства від довгострокових зобов'язань</w:t>
      </w:r>
    </w:p>
    <w:p w:rsidR="00C8203D" w:rsidRPr="00E62BCB" w:rsidRDefault="00C8203D" w:rsidP="00C14EEF">
      <w:pPr>
        <w:rPr>
          <w:rFonts w:ascii="Arial" w:hAnsi="Arial" w:cs="Arial"/>
          <w:color w:val="000000"/>
          <w:szCs w:val="22"/>
        </w:rPr>
      </w:pPr>
      <w:r>
        <w:rPr>
          <w:rFonts w:ascii="Arial" w:hAnsi="Arial"/>
          <w:szCs w:val="22"/>
        </w:rPr>
        <w:t xml:space="preserve">Демонструє зв'язок між довгостроковими зобов'язаннями або джерелами зобов'язань та джерелами власного капіталу. Чим вище значення цього показника, тим більша залежність підприємства від довгострокових зобов'язань. </w:t>
      </w:r>
    </w:p>
    <w:p w:rsidR="00C8203D" w:rsidRPr="00E62BCB" w:rsidRDefault="00C8203D" w:rsidP="00C14EEF">
      <w:pPr>
        <w:rPr>
          <w:rFonts w:ascii="Arial" w:hAnsi="Arial" w:cs="Arial"/>
          <w:color w:val="000000"/>
          <w:szCs w:val="22"/>
        </w:rPr>
      </w:pPr>
    </w:p>
    <w:p w:rsidR="00C8203D" w:rsidRPr="00E62BCB" w:rsidRDefault="00C8203D" w:rsidP="00C14EEF">
      <w:pPr>
        <w:tabs>
          <w:tab w:val="left" w:pos="360"/>
        </w:tabs>
        <w:rPr>
          <w:rFonts w:ascii="Arial" w:hAnsi="Arial" w:cs="Arial"/>
          <w:szCs w:val="22"/>
        </w:rPr>
      </w:pPr>
      <w:r>
        <w:rPr>
          <w:rStyle w:val="hps"/>
          <w:rFonts w:ascii="Arial" w:hAnsi="Arial"/>
          <w:szCs w:val="22"/>
        </w:rPr>
        <w:t>Як ми бачимо</w:t>
      </w:r>
      <w:r>
        <w:rPr>
          <w:rFonts w:ascii="Arial" w:hAnsi="Arial"/>
          <w:szCs w:val="22"/>
        </w:rPr>
        <w:t xml:space="preserve">, коефіцієнт </w:t>
      </w:r>
      <w:r>
        <w:rPr>
          <w:rStyle w:val="hps"/>
          <w:rFonts w:ascii="Arial" w:hAnsi="Arial"/>
          <w:szCs w:val="22"/>
        </w:rPr>
        <w:t>має</w:t>
      </w:r>
      <w:r>
        <w:rPr>
          <w:rFonts w:ascii="Arial" w:hAnsi="Arial"/>
          <w:szCs w:val="22"/>
        </w:rPr>
        <w:t xml:space="preserve"> </w:t>
      </w:r>
      <w:r>
        <w:rPr>
          <w:rStyle w:val="hps"/>
          <w:rFonts w:ascii="Arial" w:hAnsi="Arial"/>
          <w:szCs w:val="22"/>
        </w:rPr>
        <w:t>нейтральну тенденцію</w:t>
      </w:r>
      <w:r>
        <w:rPr>
          <w:rFonts w:ascii="Arial" w:hAnsi="Arial"/>
          <w:szCs w:val="22"/>
        </w:rPr>
        <w:t xml:space="preserve"> </w:t>
      </w:r>
      <w:r>
        <w:rPr>
          <w:rStyle w:val="hps"/>
          <w:rFonts w:ascii="Arial" w:hAnsi="Arial"/>
          <w:szCs w:val="22"/>
        </w:rPr>
        <w:t>через відсутність довгострокової заборгованості впродовж звітного періоду</w:t>
      </w:r>
      <w:r>
        <w:rPr>
          <w:rFonts w:ascii="Arial" w:hAnsi="Arial"/>
          <w:szCs w:val="22"/>
        </w:rPr>
        <w:t>.</w:t>
      </w:r>
      <w:r w:rsidR="00CB1B48">
        <w:rPr>
          <w:rStyle w:val="hps"/>
          <w:rFonts w:ascii="Arial" w:hAnsi="Arial"/>
          <w:szCs w:val="22"/>
        </w:rPr>
        <w:t xml:space="preserve"> </w:t>
      </w:r>
      <w:r>
        <w:rPr>
          <w:rStyle w:val="hps"/>
          <w:rFonts w:ascii="Arial" w:hAnsi="Arial"/>
          <w:szCs w:val="22"/>
        </w:rPr>
        <w:t>Але, звичайно, ця ситуація буде іншою, якщо КП візьме довгострокову позику.</w:t>
      </w:r>
    </w:p>
    <w:p w:rsidR="00C8203D" w:rsidRPr="00E62BCB" w:rsidRDefault="00C8203D" w:rsidP="00C14EEF">
      <w:pPr>
        <w:pStyle w:val="a8"/>
        <w:spacing w:after="0"/>
        <w:rPr>
          <w:rFonts w:ascii="Arial" w:hAnsi="Arial" w:cs="Arial"/>
          <w:szCs w:val="22"/>
        </w:rPr>
      </w:pPr>
    </w:p>
    <w:p w:rsidR="00C8203D" w:rsidRPr="00BC23C5" w:rsidRDefault="00C8203D" w:rsidP="00C14EEF">
      <w:pPr>
        <w:pStyle w:val="af5"/>
        <w:shd w:val="clear" w:color="auto" w:fill="FFFFFF"/>
        <w:spacing w:after="0" w:line="240" w:lineRule="auto"/>
        <w:jc w:val="both"/>
        <w:rPr>
          <w:rFonts w:ascii="Arial" w:hAnsi="Arial" w:cs="Arial"/>
          <w:color w:val="111111"/>
          <w:sz w:val="22"/>
          <w:szCs w:val="22"/>
        </w:rPr>
      </w:pPr>
      <w:r>
        <w:rPr>
          <w:rFonts w:ascii="Arial" w:hAnsi="Arial"/>
          <w:sz w:val="22"/>
          <w:szCs w:val="22"/>
        </w:rPr>
        <w:t>Оборотний капітал, також відомий як чистий оборотний капітал (NWC), - це різниця між поточними активами, запасами компанії та її поточними зобов'язаннями, такими як кредиторська заборгованість.</w:t>
      </w:r>
    </w:p>
    <w:p w:rsidR="00C8203D" w:rsidRPr="00BC23C5" w:rsidRDefault="00C8203D" w:rsidP="00C14EEF">
      <w:pPr>
        <w:pStyle w:val="af5"/>
        <w:shd w:val="clear" w:color="auto" w:fill="FFFFFF"/>
        <w:spacing w:after="0" w:line="240" w:lineRule="auto"/>
        <w:jc w:val="both"/>
        <w:rPr>
          <w:rFonts w:ascii="Arial" w:hAnsi="Arial" w:cs="Arial"/>
          <w:color w:val="111111"/>
          <w:sz w:val="22"/>
          <w:szCs w:val="22"/>
        </w:rPr>
      </w:pPr>
      <w:r>
        <w:rPr>
          <w:rFonts w:ascii="Arial" w:hAnsi="Arial"/>
          <w:sz w:val="22"/>
          <w:szCs w:val="22"/>
        </w:rPr>
        <w:t>Оборотний капітал - це показник ліквідності, ефективності роботи компанії та її короткострокового фінансового стану.</w:t>
      </w:r>
      <w:r>
        <w:rPr>
          <w:rFonts w:ascii="Arial" w:hAnsi="Arial"/>
          <w:color w:val="111111"/>
          <w:sz w:val="22"/>
          <w:szCs w:val="22"/>
        </w:rPr>
        <w:t xml:space="preserve"> Якщо компанія має значний оборотний капітал, то вона має потенціал для інвестицій та зростання. Якщо поточні активи компанії не перевищують її поточних зобов’язань, це може призвести до проблем із зростанням або виплатою кредиторам, або навіть банкрутства.</w:t>
      </w:r>
    </w:p>
    <w:p w:rsidR="00C8203D" w:rsidRPr="00337277" w:rsidRDefault="00C8203D" w:rsidP="00C14EEF">
      <w:pPr>
        <w:pStyle w:val="af5"/>
        <w:shd w:val="clear" w:color="auto" w:fill="FFFFFF"/>
        <w:spacing w:after="0" w:line="240" w:lineRule="auto"/>
        <w:jc w:val="both"/>
        <w:rPr>
          <w:rFonts w:ascii="Arial" w:hAnsi="Arial" w:cs="Arial"/>
          <w:color w:val="111111"/>
          <w:sz w:val="22"/>
          <w:szCs w:val="22"/>
          <w:lang w:val="ru-RU"/>
        </w:rPr>
      </w:pPr>
    </w:p>
    <w:p w:rsidR="00C8203D" w:rsidRPr="00BC23C5" w:rsidRDefault="00C8203D" w:rsidP="00C14EEF">
      <w:pPr>
        <w:pStyle w:val="af5"/>
        <w:shd w:val="clear" w:color="auto" w:fill="FFFFFF"/>
        <w:spacing w:after="0" w:line="240" w:lineRule="auto"/>
        <w:jc w:val="both"/>
        <w:rPr>
          <w:rFonts w:ascii="Arial" w:hAnsi="Arial" w:cs="Arial"/>
          <w:color w:val="111111"/>
          <w:sz w:val="22"/>
          <w:szCs w:val="22"/>
        </w:rPr>
      </w:pPr>
      <w:r>
        <w:rPr>
          <w:rFonts w:ascii="Arial" w:hAnsi="Arial"/>
          <w:color w:val="111111"/>
          <w:sz w:val="22"/>
          <w:szCs w:val="22"/>
        </w:rPr>
        <w:t>Дані в таблиці коефіцієнтів демонструють, що впродовж останніх п'яти років звітного періоду КП Луцькводоканал мав негативний Коефіцієнт Оборотного Капіталу із тенденцією до зростання, що слід враховувати у подальшому моделюванні.</w:t>
      </w:r>
    </w:p>
    <w:p w:rsidR="00C8203D" w:rsidRPr="00337277" w:rsidRDefault="00C8203D" w:rsidP="00C14EEF">
      <w:pPr>
        <w:pStyle w:val="af5"/>
        <w:shd w:val="clear" w:color="auto" w:fill="FFFFFF"/>
        <w:spacing w:after="0" w:line="240" w:lineRule="auto"/>
        <w:jc w:val="both"/>
        <w:rPr>
          <w:rFonts w:ascii="Arial" w:hAnsi="Arial" w:cs="Arial"/>
          <w:color w:val="111111"/>
          <w:sz w:val="22"/>
          <w:szCs w:val="22"/>
          <w:lang w:val="ru-RU"/>
        </w:rPr>
      </w:pPr>
    </w:p>
    <w:p w:rsidR="00C8203D" w:rsidRPr="00337277" w:rsidRDefault="00C8203D" w:rsidP="00C14EEF">
      <w:pPr>
        <w:pStyle w:val="af5"/>
        <w:shd w:val="clear" w:color="auto" w:fill="FFFFFF"/>
        <w:spacing w:after="0" w:line="240" w:lineRule="auto"/>
        <w:jc w:val="both"/>
        <w:rPr>
          <w:rFonts w:ascii="Arial" w:hAnsi="Arial" w:cs="Arial"/>
          <w:color w:val="111111"/>
          <w:sz w:val="22"/>
          <w:szCs w:val="22"/>
          <w:lang w:val="ru-RU"/>
        </w:rPr>
      </w:pPr>
    </w:p>
    <w:p w:rsidR="00BC23C5" w:rsidRDefault="00BC23C5" w:rsidP="00C14EEF">
      <w:pPr>
        <w:pStyle w:val="1"/>
        <w:spacing w:before="0" w:after="0"/>
        <w:contextualSpacing w:val="0"/>
        <w:sectPr w:rsidR="00BC23C5" w:rsidSect="00EB5D32">
          <w:pgSz w:w="11906" w:h="16838" w:code="9"/>
          <w:pgMar w:top="1418" w:right="851" w:bottom="851" w:left="1418" w:header="567" w:footer="454" w:gutter="0"/>
          <w:cols w:space="720"/>
          <w:docGrid w:linePitch="299"/>
        </w:sectPr>
      </w:pPr>
    </w:p>
    <w:p w:rsidR="00A21E0F" w:rsidRPr="00F60A7F" w:rsidRDefault="00A21E0F" w:rsidP="00C14EEF">
      <w:pPr>
        <w:pStyle w:val="1"/>
        <w:spacing w:before="0" w:after="0"/>
        <w:contextualSpacing w:val="0"/>
      </w:pPr>
      <w:bookmarkStart w:id="53" w:name="_Toc48392544"/>
      <w:bookmarkEnd w:id="46"/>
      <w:r>
        <w:t>АНАЛІЗ ТАРИФІВ ТА ВИТРАТ</w:t>
      </w:r>
      <w:bookmarkEnd w:id="53"/>
    </w:p>
    <w:p w:rsidR="00E446F7" w:rsidRPr="00AF614D" w:rsidRDefault="00E446F7" w:rsidP="00C14EEF">
      <w:pPr>
        <w:rPr>
          <w:rFonts w:ascii="Arial" w:hAnsi="Arial" w:cs="Arial"/>
          <w:szCs w:val="22"/>
        </w:rPr>
      </w:pPr>
      <w:r>
        <w:rPr>
          <w:rFonts w:ascii="Arial" w:hAnsi="Arial"/>
          <w:szCs w:val="22"/>
        </w:rPr>
        <w:t>Питання тарифів впродовж останніх років в Україні було дуже актуальним, та в багатьох випадках відповідні рішення приймалися на основі політичних, а не економічних причин.</w:t>
      </w:r>
      <w:r w:rsidR="00CB1B48">
        <w:rPr>
          <w:rFonts w:ascii="Arial" w:hAnsi="Arial"/>
          <w:szCs w:val="22"/>
        </w:rPr>
        <w:t xml:space="preserve"> </w:t>
      </w:r>
      <w:r>
        <w:rPr>
          <w:rFonts w:ascii="Arial" w:hAnsi="Arial"/>
          <w:szCs w:val="22"/>
        </w:rPr>
        <w:t>Така ситуація призвела до складного фінансового становища водоканалів в Україні.</w:t>
      </w:r>
      <w:r w:rsidR="00CB1B48">
        <w:rPr>
          <w:rFonts w:ascii="Arial" w:hAnsi="Arial"/>
          <w:szCs w:val="22"/>
        </w:rPr>
        <w:t xml:space="preserve"> </w:t>
      </w:r>
      <w:r>
        <w:rPr>
          <w:rFonts w:ascii="Arial" w:hAnsi="Arial"/>
          <w:szCs w:val="22"/>
        </w:rPr>
        <w:t>У багатьох випадках водоканали потребували додаткового фінансування з боку муніципалітетів, у разі покриття тарифами витрат менш, ніж на 100%.</w:t>
      </w:r>
      <w:r w:rsidR="00CB1B48">
        <w:rPr>
          <w:rFonts w:ascii="Arial" w:hAnsi="Arial"/>
          <w:szCs w:val="22"/>
        </w:rPr>
        <w:t xml:space="preserve"> </w:t>
      </w:r>
      <w:r>
        <w:rPr>
          <w:rFonts w:ascii="Arial" w:hAnsi="Arial"/>
          <w:szCs w:val="22"/>
        </w:rPr>
        <w:t>Покриття витрат тарифами КП Луцькводоканал за останні п’ять років представлено у таблиці 7.</w:t>
      </w:r>
    </w:p>
    <w:p w:rsidR="00A21E0F" w:rsidRPr="00337277" w:rsidRDefault="00A21E0F" w:rsidP="00C14EEF">
      <w:pPr>
        <w:rPr>
          <w:rFonts w:ascii="Arial" w:hAnsi="Arial" w:cs="Arial"/>
          <w:szCs w:val="22"/>
          <w:lang w:val="ru-RU"/>
        </w:rPr>
      </w:pPr>
    </w:p>
    <w:p w:rsidR="00C8203D" w:rsidRPr="00337277" w:rsidRDefault="00C8203D" w:rsidP="00C14EEF">
      <w:pPr>
        <w:rPr>
          <w:rFonts w:ascii="Arial" w:hAnsi="Arial" w:cs="Arial"/>
          <w:szCs w:val="22"/>
          <w:lang w:val="ru-RU"/>
        </w:rPr>
      </w:pPr>
    </w:p>
    <w:p w:rsidR="00A21E0F" w:rsidRPr="00F60A7F" w:rsidRDefault="00A21E0F" w:rsidP="00C14EEF">
      <w:pPr>
        <w:pStyle w:val="aa"/>
      </w:pPr>
      <w:bookmarkStart w:id="54" w:name="_Toc48643447"/>
      <w:r>
        <w:t xml:space="preserve">Таблиця </w:t>
      </w:r>
      <w:r w:rsidRPr="008D0C5C">
        <w:rPr>
          <w:szCs w:val="22"/>
        </w:rPr>
        <w:fldChar w:fldCharType="begin"/>
      </w:r>
      <w:r w:rsidRPr="008D0C5C">
        <w:rPr>
          <w:szCs w:val="22"/>
        </w:rPr>
        <w:instrText xml:space="preserve"> SEQ Table \* ARABIC </w:instrText>
      </w:r>
      <w:r w:rsidRPr="008D0C5C">
        <w:rPr>
          <w:szCs w:val="22"/>
        </w:rPr>
        <w:fldChar w:fldCharType="separate"/>
      </w:r>
      <w:r w:rsidR="00CB1B48">
        <w:rPr>
          <w:szCs w:val="22"/>
        </w:rPr>
        <w:t>7</w:t>
      </w:r>
      <w:r w:rsidRPr="008D0C5C">
        <w:rPr>
          <w:szCs w:val="22"/>
        </w:rPr>
        <w:fldChar w:fldCharType="end"/>
      </w:r>
      <w:r>
        <w:t>: Покриття фактичних витрат тарифом (у %) за минулі періоди</w:t>
      </w:r>
      <w:bookmarkEnd w:id="54"/>
    </w:p>
    <w:p w:rsidR="00A21E0F" w:rsidRPr="00C8203D" w:rsidRDefault="00C8203D" w:rsidP="00C14EEF">
      <w:pPr>
        <w:pStyle w:val="iCStandard"/>
        <w:rPr>
          <w:rFonts w:ascii="Arial" w:hAnsi="Arial" w:cs="Arial"/>
          <w:szCs w:val="22"/>
        </w:rPr>
      </w:pPr>
      <w:r>
        <w:rPr>
          <w:rFonts w:ascii="Arial" w:hAnsi="Arial" w:cs="Arial"/>
          <w:noProof/>
          <w:szCs w:val="22"/>
          <w:lang w:eastAsia="uk-UA"/>
        </w:rPr>
        <w:drawing>
          <wp:inline distT="0" distB="0" distL="0" distR="0" wp14:anchorId="10DA928C" wp14:editId="2C34B62A">
            <wp:extent cx="5212715" cy="774065"/>
            <wp:effectExtent l="0" t="0" r="6985" b="6985"/>
            <wp:docPr id="467" name="Рисунок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12715" cy="774065"/>
                    </a:xfrm>
                    <a:prstGeom prst="rect">
                      <a:avLst/>
                    </a:prstGeom>
                    <a:noFill/>
                  </pic:spPr>
                </pic:pic>
              </a:graphicData>
            </a:graphic>
          </wp:inline>
        </w:drawing>
      </w:r>
    </w:p>
    <w:p w:rsidR="0062732D" w:rsidRPr="00AF614D" w:rsidRDefault="0062732D" w:rsidP="00C14EEF">
      <w:pPr>
        <w:pStyle w:val="iCStandard"/>
        <w:rPr>
          <w:rFonts w:ascii="Arial" w:hAnsi="Arial" w:cs="Arial"/>
          <w:i/>
          <w:szCs w:val="22"/>
          <w:lang w:val="en-GB"/>
        </w:rPr>
      </w:pPr>
    </w:p>
    <w:p w:rsidR="00C8203D" w:rsidRPr="00F60A7F" w:rsidRDefault="00C8203D" w:rsidP="00C14EEF">
      <w:pPr>
        <w:rPr>
          <w:rFonts w:ascii="Arial" w:hAnsi="Arial" w:cs="Arial"/>
          <w:szCs w:val="22"/>
        </w:rPr>
      </w:pPr>
      <w:r>
        <w:rPr>
          <w:rFonts w:ascii="Arial" w:hAnsi="Arial"/>
          <w:szCs w:val="22"/>
        </w:rPr>
        <w:t>Представлені дані показують, що лише перше півріччя 2014 року було досить проблематичним для компанії, решта періоду покриття витрат було задовільним.</w:t>
      </w:r>
      <w:r w:rsidR="00CB1B48">
        <w:rPr>
          <w:rFonts w:ascii="Arial" w:hAnsi="Arial"/>
          <w:szCs w:val="22"/>
        </w:rPr>
        <w:t xml:space="preserve"> </w:t>
      </w:r>
      <w:r>
        <w:rPr>
          <w:rFonts w:ascii="Arial" w:hAnsi="Arial"/>
          <w:szCs w:val="22"/>
        </w:rPr>
        <w:t>Розглянемо детально склад тарифів на водопостачання/водовідведення КП Луцькводоканал.</w:t>
      </w:r>
      <w:r w:rsidR="00CB1B48">
        <w:rPr>
          <w:rFonts w:ascii="Arial" w:hAnsi="Arial"/>
          <w:szCs w:val="22"/>
        </w:rPr>
        <w:t xml:space="preserve"> </w:t>
      </w:r>
      <w:r>
        <w:rPr>
          <w:rFonts w:ascii="Arial" w:hAnsi="Arial"/>
          <w:szCs w:val="22"/>
        </w:rPr>
        <w:t>Слід зауважити, що компанія має два типи тарифів: для багатоквартирних будинків, та для юридичних осіб /приватних будинків.</w:t>
      </w:r>
      <w:r w:rsidR="00CB1B48">
        <w:rPr>
          <w:rFonts w:ascii="Arial" w:hAnsi="Arial"/>
          <w:szCs w:val="22"/>
        </w:rPr>
        <w:t xml:space="preserve"> </w:t>
      </w:r>
    </w:p>
    <w:p w:rsidR="00C8203D" w:rsidRPr="00337277" w:rsidRDefault="00C8203D" w:rsidP="00C14EEF">
      <w:pPr>
        <w:rPr>
          <w:rFonts w:ascii="Arial" w:hAnsi="Arial" w:cs="Arial"/>
          <w:szCs w:val="22"/>
        </w:rPr>
      </w:pPr>
    </w:p>
    <w:p w:rsidR="00E446F7" w:rsidRPr="00E446F7" w:rsidRDefault="00E446F7" w:rsidP="00C14EEF">
      <w:pPr>
        <w:pStyle w:val="aa"/>
        <w:rPr>
          <w:szCs w:val="22"/>
        </w:rPr>
      </w:pPr>
      <w:bookmarkStart w:id="55" w:name="_Toc48643448"/>
      <w:r>
        <w:t xml:space="preserve">Таблиця </w:t>
      </w:r>
      <w:r w:rsidRPr="00E446F7">
        <w:fldChar w:fldCharType="begin"/>
      </w:r>
      <w:r w:rsidRPr="00E446F7">
        <w:instrText xml:space="preserve"> SEQ Table \* ARABIC </w:instrText>
      </w:r>
      <w:r w:rsidRPr="00E446F7">
        <w:fldChar w:fldCharType="separate"/>
      </w:r>
      <w:r w:rsidR="00CB1B48">
        <w:t>8</w:t>
      </w:r>
      <w:r w:rsidRPr="00E446F7">
        <w:fldChar w:fldCharType="end"/>
      </w:r>
      <w:r>
        <w:t>: Тариф на водопостачання та водовідведення (грн/м</w:t>
      </w:r>
      <w:r w:rsidRPr="0087131C">
        <w:rPr>
          <w:vertAlign w:val="superscript"/>
        </w:rPr>
        <w:t>3</w:t>
      </w:r>
      <w:r>
        <w:t>), 2014-2019 рр</w:t>
      </w:r>
      <w:bookmarkEnd w:id="55"/>
    </w:p>
    <w:tbl>
      <w:tblPr>
        <w:tblW w:w="9478" w:type="dxa"/>
        <w:tblInd w:w="93" w:type="dxa"/>
        <w:tblLayout w:type="fixed"/>
        <w:tblLook w:val="04A0" w:firstRow="1" w:lastRow="0" w:firstColumn="1" w:lastColumn="0" w:noHBand="0" w:noVBand="1"/>
      </w:tblPr>
      <w:tblGrid>
        <w:gridCol w:w="1089"/>
        <w:gridCol w:w="1620"/>
        <w:gridCol w:w="1595"/>
        <w:gridCol w:w="1637"/>
        <w:gridCol w:w="1871"/>
        <w:gridCol w:w="1666"/>
      </w:tblGrid>
      <w:tr w:rsidR="00E446F7" w:rsidRPr="0087131C" w:rsidTr="00C8203D">
        <w:trPr>
          <w:trHeight w:val="615"/>
        </w:trPr>
        <w:tc>
          <w:tcPr>
            <w:tcW w:w="1089" w:type="dxa"/>
            <w:tcBorders>
              <w:top w:val="nil"/>
              <w:left w:val="single" w:sz="4" w:space="0" w:color="auto"/>
              <w:bottom w:val="single" w:sz="8" w:space="0" w:color="auto"/>
              <w:right w:val="single" w:sz="4" w:space="0" w:color="auto"/>
            </w:tcBorders>
            <w:shd w:val="clear" w:color="auto" w:fill="92D050"/>
            <w:vAlign w:val="center"/>
            <w:hideMark/>
          </w:tcPr>
          <w:p w:rsidR="00E446F7" w:rsidRPr="0087131C" w:rsidRDefault="00E446F7" w:rsidP="00C14EEF">
            <w:pPr>
              <w:jc w:val="center"/>
              <w:rPr>
                <w:rFonts w:asciiTheme="minorHAnsi" w:hAnsiTheme="minorHAnsi" w:cstheme="minorHAnsi"/>
                <w:b/>
                <w:bCs/>
                <w:color w:val="000000"/>
                <w:sz w:val="20"/>
              </w:rPr>
            </w:pPr>
            <w:r w:rsidRPr="0087131C">
              <w:rPr>
                <w:rFonts w:asciiTheme="minorHAnsi" w:hAnsiTheme="minorHAnsi"/>
                <w:b/>
                <w:bCs/>
                <w:color w:val="000000"/>
                <w:sz w:val="20"/>
              </w:rPr>
              <w:t>Рік</w:t>
            </w:r>
          </w:p>
        </w:tc>
        <w:tc>
          <w:tcPr>
            <w:tcW w:w="1620" w:type="dxa"/>
            <w:tcBorders>
              <w:top w:val="nil"/>
              <w:left w:val="nil"/>
              <w:bottom w:val="single" w:sz="8" w:space="0" w:color="auto"/>
              <w:right w:val="single" w:sz="4" w:space="0" w:color="auto"/>
            </w:tcBorders>
            <w:shd w:val="clear" w:color="auto" w:fill="92D050"/>
            <w:vAlign w:val="center"/>
            <w:hideMark/>
          </w:tcPr>
          <w:p w:rsidR="00E446F7" w:rsidRPr="0087131C" w:rsidRDefault="0087131C" w:rsidP="0087131C">
            <w:pPr>
              <w:ind w:left="-48" w:right="-108"/>
              <w:jc w:val="center"/>
              <w:rPr>
                <w:rFonts w:asciiTheme="minorHAnsi" w:hAnsiTheme="minorHAnsi" w:cstheme="minorHAnsi"/>
                <w:b/>
                <w:bCs/>
                <w:color w:val="000000"/>
                <w:sz w:val="20"/>
              </w:rPr>
            </w:pPr>
            <w:r>
              <w:rPr>
                <w:rFonts w:asciiTheme="minorHAnsi" w:hAnsiTheme="minorHAnsi"/>
                <w:b/>
                <w:bCs/>
                <w:color w:val="000000"/>
                <w:sz w:val="20"/>
              </w:rPr>
              <w:t>ВП</w:t>
            </w:r>
          </w:p>
        </w:tc>
        <w:tc>
          <w:tcPr>
            <w:tcW w:w="1595" w:type="dxa"/>
            <w:tcBorders>
              <w:top w:val="nil"/>
              <w:left w:val="nil"/>
              <w:bottom w:val="single" w:sz="8" w:space="0" w:color="auto"/>
              <w:right w:val="single" w:sz="4" w:space="0" w:color="auto"/>
            </w:tcBorders>
            <w:shd w:val="clear" w:color="auto" w:fill="92D050"/>
            <w:vAlign w:val="center"/>
            <w:hideMark/>
          </w:tcPr>
          <w:p w:rsidR="00E446F7" w:rsidRPr="0087131C" w:rsidRDefault="0087131C" w:rsidP="0087131C">
            <w:pPr>
              <w:ind w:left="-48" w:right="-108"/>
              <w:jc w:val="center"/>
              <w:rPr>
                <w:rFonts w:asciiTheme="minorHAnsi" w:hAnsiTheme="minorHAnsi" w:cstheme="minorHAnsi"/>
                <w:b/>
                <w:bCs/>
                <w:color w:val="000000"/>
                <w:sz w:val="20"/>
              </w:rPr>
            </w:pPr>
            <w:r>
              <w:rPr>
                <w:rFonts w:asciiTheme="minorHAnsi" w:hAnsiTheme="minorHAnsi"/>
                <w:b/>
                <w:bCs/>
                <w:color w:val="000000"/>
                <w:sz w:val="20"/>
              </w:rPr>
              <w:t>ВВ</w:t>
            </w:r>
          </w:p>
        </w:tc>
        <w:tc>
          <w:tcPr>
            <w:tcW w:w="1637" w:type="dxa"/>
            <w:tcBorders>
              <w:top w:val="nil"/>
              <w:left w:val="nil"/>
              <w:bottom w:val="single" w:sz="8" w:space="0" w:color="auto"/>
              <w:right w:val="single" w:sz="4" w:space="0" w:color="auto"/>
            </w:tcBorders>
            <w:shd w:val="clear" w:color="auto" w:fill="92D050"/>
            <w:vAlign w:val="center"/>
            <w:hideMark/>
          </w:tcPr>
          <w:p w:rsidR="00E446F7" w:rsidRPr="0087131C" w:rsidRDefault="00E446F7" w:rsidP="00C14EEF">
            <w:pPr>
              <w:jc w:val="center"/>
              <w:rPr>
                <w:rFonts w:asciiTheme="minorHAnsi" w:hAnsiTheme="minorHAnsi" w:cstheme="minorHAnsi"/>
                <w:b/>
                <w:bCs/>
                <w:color w:val="000000"/>
                <w:sz w:val="20"/>
              </w:rPr>
            </w:pPr>
            <w:r w:rsidRPr="0087131C">
              <w:rPr>
                <w:rFonts w:asciiTheme="minorHAnsi" w:hAnsiTheme="minorHAnsi"/>
                <w:b/>
                <w:bCs/>
                <w:color w:val="000000"/>
                <w:sz w:val="20"/>
              </w:rPr>
              <w:t>Загалом</w:t>
            </w:r>
          </w:p>
        </w:tc>
        <w:tc>
          <w:tcPr>
            <w:tcW w:w="1871" w:type="dxa"/>
            <w:tcBorders>
              <w:top w:val="nil"/>
              <w:left w:val="nil"/>
              <w:bottom w:val="single" w:sz="8" w:space="0" w:color="auto"/>
              <w:right w:val="single" w:sz="4" w:space="0" w:color="auto"/>
            </w:tcBorders>
            <w:shd w:val="clear" w:color="auto" w:fill="92D050"/>
            <w:vAlign w:val="center"/>
            <w:hideMark/>
          </w:tcPr>
          <w:p w:rsidR="00E446F7" w:rsidRPr="0087131C" w:rsidRDefault="00E446F7" w:rsidP="0087131C">
            <w:pPr>
              <w:jc w:val="center"/>
              <w:rPr>
                <w:rFonts w:asciiTheme="minorHAnsi" w:hAnsiTheme="minorHAnsi" w:cstheme="minorHAnsi"/>
                <w:b/>
                <w:bCs/>
                <w:color w:val="000000"/>
                <w:sz w:val="20"/>
              </w:rPr>
            </w:pPr>
            <w:r w:rsidRPr="0087131C">
              <w:rPr>
                <w:rFonts w:asciiTheme="minorHAnsi" w:hAnsiTheme="minorHAnsi"/>
                <w:b/>
                <w:bCs/>
                <w:color w:val="000000"/>
                <w:sz w:val="20"/>
              </w:rPr>
              <w:t>Загальна (із ПДВ)</w:t>
            </w:r>
          </w:p>
        </w:tc>
        <w:tc>
          <w:tcPr>
            <w:tcW w:w="1666" w:type="dxa"/>
            <w:tcBorders>
              <w:top w:val="nil"/>
              <w:left w:val="nil"/>
              <w:bottom w:val="single" w:sz="8" w:space="0" w:color="auto"/>
              <w:right w:val="single" w:sz="4" w:space="0" w:color="auto"/>
            </w:tcBorders>
            <w:shd w:val="clear" w:color="auto" w:fill="92D050"/>
            <w:vAlign w:val="center"/>
            <w:hideMark/>
          </w:tcPr>
          <w:p w:rsidR="00E446F7" w:rsidRPr="0087131C" w:rsidRDefault="00F0231A" w:rsidP="0087131C">
            <w:pPr>
              <w:ind w:left="-108" w:right="-143"/>
              <w:jc w:val="center"/>
              <w:rPr>
                <w:rFonts w:asciiTheme="minorHAnsi" w:hAnsiTheme="minorHAnsi" w:cstheme="minorHAnsi"/>
                <w:b/>
                <w:bCs/>
                <w:color w:val="000000"/>
                <w:sz w:val="20"/>
              </w:rPr>
            </w:pPr>
            <w:r w:rsidRPr="0087131C">
              <w:rPr>
                <w:rFonts w:asciiTheme="minorHAnsi" w:hAnsiTheme="minorHAnsi"/>
                <w:b/>
                <w:bCs/>
                <w:color w:val="000000"/>
                <w:sz w:val="20"/>
              </w:rPr>
              <w:t>Середнє Зростання /Зменшення (%)</w:t>
            </w:r>
          </w:p>
        </w:tc>
      </w:tr>
      <w:tr w:rsidR="00E446F7" w:rsidRPr="0087131C" w:rsidTr="00084592">
        <w:trPr>
          <w:trHeight w:val="300"/>
        </w:trPr>
        <w:tc>
          <w:tcPr>
            <w:tcW w:w="1089" w:type="dxa"/>
            <w:tcBorders>
              <w:top w:val="nil"/>
              <w:left w:val="nil"/>
              <w:bottom w:val="nil"/>
              <w:right w:val="nil"/>
            </w:tcBorders>
            <w:shd w:val="clear" w:color="auto" w:fill="auto"/>
            <w:noWrap/>
            <w:vAlign w:val="bottom"/>
            <w:hideMark/>
          </w:tcPr>
          <w:p w:rsidR="00E446F7" w:rsidRPr="0087131C" w:rsidRDefault="00E446F7" w:rsidP="00C14EEF">
            <w:pPr>
              <w:rPr>
                <w:rFonts w:asciiTheme="minorHAnsi" w:hAnsiTheme="minorHAnsi" w:cstheme="minorHAnsi"/>
                <w:color w:val="000000"/>
                <w:sz w:val="20"/>
              </w:rPr>
            </w:pPr>
            <w:r w:rsidRPr="0087131C">
              <w:rPr>
                <w:rFonts w:asciiTheme="minorHAnsi" w:hAnsiTheme="minorHAnsi"/>
                <w:color w:val="000000"/>
                <w:sz w:val="20"/>
              </w:rPr>
              <w:t>2014</w:t>
            </w:r>
          </w:p>
        </w:tc>
        <w:tc>
          <w:tcPr>
            <w:tcW w:w="1620" w:type="dxa"/>
            <w:tcBorders>
              <w:top w:val="nil"/>
              <w:left w:val="nil"/>
              <w:bottom w:val="nil"/>
              <w:right w:val="nil"/>
            </w:tcBorders>
            <w:shd w:val="clear" w:color="auto" w:fill="auto"/>
            <w:noWrap/>
            <w:vAlign w:val="bottom"/>
            <w:hideMark/>
          </w:tcPr>
          <w:p w:rsidR="00E446F7" w:rsidRPr="0087131C" w:rsidRDefault="00E446F7" w:rsidP="00C14EEF">
            <w:pPr>
              <w:jc w:val="center"/>
              <w:rPr>
                <w:rFonts w:asciiTheme="minorHAnsi" w:hAnsiTheme="minorHAnsi" w:cstheme="minorHAnsi"/>
                <w:color w:val="000000"/>
                <w:sz w:val="20"/>
              </w:rPr>
            </w:pPr>
            <w:r w:rsidRPr="0087131C">
              <w:rPr>
                <w:rFonts w:asciiTheme="minorHAnsi" w:hAnsiTheme="minorHAnsi"/>
                <w:color w:val="000000"/>
                <w:sz w:val="20"/>
              </w:rPr>
              <w:t>3,59</w:t>
            </w:r>
          </w:p>
        </w:tc>
        <w:tc>
          <w:tcPr>
            <w:tcW w:w="1595" w:type="dxa"/>
            <w:tcBorders>
              <w:top w:val="nil"/>
              <w:left w:val="nil"/>
              <w:bottom w:val="nil"/>
              <w:right w:val="nil"/>
            </w:tcBorders>
            <w:shd w:val="clear" w:color="auto" w:fill="auto"/>
            <w:noWrap/>
            <w:vAlign w:val="bottom"/>
            <w:hideMark/>
          </w:tcPr>
          <w:p w:rsidR="00E446F7" w:rsidRPr="0087131C" w:rsidRDefault="00E446F7" w:rsidP="00C14EEF">
            <w:pPr>
              <w:jc w:val="center"/>
              <w:rPr>
                <w:rFonts w:asciiTheme="minorHAnsi" w:hAnsiTheme="minorHAnsi" w:cstheme="minorHAnsi"/>
                <w:color w:val="000000"/>
                <w:sz w:val="20"/>
              </w:rPr>
            </w:pPr>
            <w:r w:rsidRPr="0087131C">
              <w:rPr>
                <w:rFonts w:asciiTheme="minorHAnsi" w:hAnsiTheme="minorHAnsi"/>
                <w:color w:val="000000"/>
                <w:sz w:val="20"/>
              </w:rPr>
              <w:t>3,51</w:t>
            </w:r>
          </w:p>
        </w:tc>
        <w:tc>
          <w:tcPr>
            <w:tcW w:w="1637" w:type="dxa"/>
            <w:tcBorders>
              <w:top w:val="nil"/>
              <w:left w:val="nil"/>
              <w:bottom w:val="nil"/>
              <w:right w:val="nil"/>
            </w:tcBorders>
            <w:shd w:val="clear" w:color="auto" w:fill="auto"/>
            <w:noWrap/>
            <w:vAlign w:val="bottom"/>
            <w:hideMark/>
          </w:tcPr>
          <w:p w:rsidR="00E446F7" w:rsidRPr="0087131C" w:rsidRDefault="00E446F7" w:rsidP="00C14EEF">
            <w:pPr>
              <w:jc w:val="center"/>
              <w:rPr>
                <w:rFonts w:asciiTheme="minorHAnsi" w:hAnsiTheme="minorHAnsi" w:cstheme="minorHAnsi"/>
                <w:color w:val="000000"/>
                <w:sz w:val="20"/>
              </w:rPr>
            </w:pPr>
            <w:r w:rsidRPr="0087131C">
              <w:rPr>
                <w:rFonts w:asciiTheme="minorHAnsi" w:hAnsiTheme="minorHAnsi"/>
                <w:color w:val="000000"/>
                <w:sz w:val="20"/>
              </w:rPr>
              <w:t>7,10</w:t>
            </w:r>
          </w:p>
        </w:tc>
        <w:tc>
          <w:tcPr>
            <w:tcW w:w="1871" w:type="dxa"/>
            <w:tcBorders>
              <w:top w:val="nil"/>
              <w:left w:val="nil"/>
              <w:bottom w:val="nil"/>
              <w:right w:val="nil"/>
            </w:tcBorders>
            <w:shd w:val="clear" w:color="auto" w:fill="auto"/>
            <w:noWrap/>
            <w:vAlign w:val="bottom"/>
            <w:hideMark/>
          </w:tcPr>
          <w:p w:rsidR="00E446F7" w:rsidRPr="0087131C" w:rsidRDefault="00E446F7" w:rsidP="00C14EEF">
            <w:pPr>
              <w:jc w:val="center"/>
              <w:rPr>
                <w:rFonts w:asciiTheme="minorHAnsi" w:hAnsiTheme="minorHAnsi" w:cstheme="minorHAnsi"/>
                <w:color w:val="000000"/>
                <w:sz w:val="20"/>
              </w:rPr>
            </w:pPr>
            <w:r w:rsidRPr="0087131C">
              <w:rPr>
                <w:rFonts w:asciiTheme="minorHAnsi" w:hAnsiTheme="minorHAnsi"/>
                <w:color w:val="000000"/>
                <w:sz w:val="20"/>
              </w:rPr>
              <w:t>8,52</w:t>
            </w:r>
          </w:p>
        </w:tc>
        <w:tc>
          <w:tcPr>
            <w:tcW w:w="1666" w:type="dxa"/>
            <w:tcBorders>
              <w:top w:val="nil"/>
              <w:left w:val="nil"/>
              <w:bottom w:val="nil"/>
              <w:right w:val="nil"/>
            </w:tcBorders>
            <w:shd w:val="clear" w:color="auto" w:fill="auto"/>
            <w:noWrap/>
            <w:vAlign w:val="bottom"/>
          </w:tcPr>
          <w:p w:rsidR="00E446F7" w:rsidRPr="0087131C" w:rsidRDefault="00E446F7" w:rsidP="00C14EEF">
            <w:pPr>
              <w:jc w:val="center"/>
              <w:rPr>
                <w:rFonts w:asciiTheme="minorHAnsi" w:hAnsiTheme="minorHAnsi" w:cstheme="minorHAnsi"/>
                <w:color w:val="000000"/>
                <w:sz w:val="20"/>
              </w:rPr>
            </w:pPr>
            <w:r w:rsidRPr="0087131C">
              <w:rPr>
                <w:rFonts w:asciiTheme="minorHAnsi" w:hAnsiTheme="minorHAnsi"/>
                <w:color w:val="000000"/>
                <w:sz w:val="20"/>
              </w:rPr>
              <w:t>0</w:t>
            </w:r>
          </w:p>
        </w:tc>
      </w:tr>
      <w:tr w:rsidR="00E446F7" w:rsidRPr="0087131C" w:rsidTr="00C8203D">
        <w:trPr>
          <w:trHeight w:val="300"/>
        </w:trPr>
        <w:tc>
          <w:tcPr>
            <w:tcW w:w="1089" w:type="dxa"/>
            <w:tcBorders>
              <w:top w:val="nil"/>
              <w:left w:val="nil"/>
              <w:bottom w:val="nil"/>
              <w:right w:val="nil"/>
            </w:tcBorders>
            <w:shd w:val="clear" w:color="auto" w:fill="92D050"/>
            <w:noWrap/>
            <w:vAlign w:val="bottom"/>
            <w:hideMark/>
          </w:tcPr>
          <w:p w:rsidR="00E446F7" w:rsidRPr="0087131C" w:rsidRDefault="00E446F7" w:rsidP="00C14EEF">
            <w:pPr>
              <w:rPr>
                <w:rFonts w:asciiTheme="minorHAnsi" w:hAnsiTheme="minorHAnsi" w:cstheme="minorHAnsi"/>
                <w:color w:val="000000"/>
                <w:sz w:val="20"/>
              </w:rPr>
            </w:pPr>
            <w:r w:rsidRPr="0087131C">
              <w:rPr>
                <w:rFonts w:asciiTheme="minorHAnsi" w:hAnsiTheme="minorHAnsi"/>
                <w:color w:val="000000"/>
                <w:sz w:val="20"/>
              </w:rPr>
              <w:t>2015</w:t>
            </w:r>
          </w:p>
        </w:tc>
        <w:tc>
          <w:tcPr>
            <w:tcW w:w="1620" w:type="dxa"/>
            <w:tcBorders>
              <w:top w:val="nil"/>
              <w:left w:val="nil"/>
              <w:bottom w:val="nil"/>
              <w:right w:val="nil"/>
            </w:tcBorders>
            <w:shd w:val="clear" w:color="auto" w:fill="92D050"/>
            <w:noWrap/>
            <w:vAlign w:val="bottom"/>
            <w:hideMark/>
          </w:tcPr>
          <w:p w:rsidR="00E446F7" w:rsidRPr="0087131C" w:rsidRDefault="00E446F7" w:rsidP="00C14EEF">
            <w:pPr>
              <w:jc w:val="center"/>
              <w:rPr>
                <w:rFonts w:asciiTheme="minorHAnsi" w:hAnsiTheme="minorHAnsi" w:cstheme="minorHAnsi"/>
                <w:color w:val="000000"/>
                <w:sz w:val="20"/>
              </w:rPr>
            </w:pPr>
            <w:r w:rsidRPr="0087131C">
              <w:rPr>
                <w:rFonts w:asciiTheme="minorHAnsi" w:hAnsiTheme="minorHAnsi"/>
                <w:color w:val="000000"/>
                <w:sz w:val="20"/>
              </w:rPr>
              <w:t>3,59</w:t>
            </w:r>
          </w:p>
        </w:tc>
        <w:tc>
          <w:tcPr>
            <w:tcW w:w="1595" w:type="dxa"/>
            <w:tcBorders>
              <w:top w:val="nil"/>
              <w:left w:val="nil"/>
              <w:bottom w:val="nil"/>
              <w:right w:val="nil"/>
            </w:tcBorders>
            <w:shd w:val="clear" w:color="auto" w:fill="92D050"/>
            <w:noWrap/>
            <w:vAlign w:val="bottom"/>
            <w:hideMark/>
          </w:tcPr>
          <w:p w:rsidR="00E446F7" w:rsidRPr="0087131C" w:rsidRDefault="00E446F7" w:rsidP="00C14EEF">
            <w:pPr>
              <w:jc w:val="center"/>
              <w:rPr>
                <w:rFonts w:asciiTheme="minorHAnsi" w:hAnsiTheme="minorHAnsi" w:cstheme="minorHAnsi"/>
                <w:color w:val="000000"/>
                <w:sz w:val="20"/>
              </w:rPr>
            </w:pPr>
            <w:r w:rsidRPr="0087131C">
              <w:rPr>
                <w:rFonts w:asciiTheme="minorHAnsi" w:hAnsiTheme="minorHAnsi"/>
                <w:color w:val="000000"/>
                <w:sz w:val="20"/>
              </w:rPr>
              <w:t>3,51</w:t>
            </w:r>
          </w:p>
        </w:tc>
        <w:tc>
          <w:tcPr>
            <w:tcW w:w="1637" w:type="dxa"/>
            <w:tcBorders>
              <w:top w:val="nil"/>
              <w:left w:val="nil"/>
              <w:bottom w:val="nil"/>
              <w:right w:val="nil"/>
            </w:tcBorders>
            <w:shd w:val="clear" w:color="auto" w:fill="92D050"/>
            <w:noWrap/>
            <w:vAlign w:val="bottom"/>
            <w:hideMark/>
          </w:tcPr>
          <w:p w:rsidR="00E446F7" w:rsidRPr="0087131C" w:rsidRDefault="00E446F7" w:rsidP="00C14EEF">
            <w:pPr>
              <w:jc w:val="center"/>
              <w:rPr>
                <w:rFonts w:asciiTheme="minorHAnsi" w:hAnsiTheme="minorHAnsi" w:cstheme="minorHAnsi"/>
                <w:color w:val="000000"/>
                <w:sz w:val="20"/>
              </w:rPr>
            </w:pPr>
            <w:r w:rsidRPr="0087131C">
              <w:rPr>
                <w:rFonts w:asciiTheme="minorHAnsi" w:hAnsiTheme="minorHAnsi"/>
                <w:color w:val="000000"/>
                <w:sz w:val="20"/>
              </w:rPr>
              <w:t>7,10</w:t>
            </w:r>
          </w:p>
        </w:tc>
        <w:tc>
          <w:tcPr>
            <w:tcW w:w="1871" w:type="dxa"/>
            <w:tcBorders>
              <w:top w:val="nil"/>
              <w:left w:val="nil"/>
              <w:bottom w:val="nil"/>
              <w:right w:val="nil"/>
            </w:tcBorders>
            <w:shd w:val="clear" w:color="auto" w:fill="92D050"/>
            <w:noWrap/>
            <w:vAlign w:val="bottom"/>
            <w:hideMark/>
          </w:tcPr>
          <w:p w:rsidR="00E446F7" w:rsidRPr="0087131C" w:rsidRDefault="00E446F7" w:rsidP="00C14EEF">
            <w:pPr>
              <w:jc w:val="center"/>
              <w:rPr>
                <w:rFonts w:asciiTheme="minorHAnsi" w:hAnsiTheme="minorHAnsi" w:cstheme="minorHAnsi"/>
                <w:color w:val="000000"/>
                <w:sz w:val="20"/>
              </w:rPr>
            </w:pPr>
            <w:r w:rsidRPr="0087131C">
              <w:rPr>
                <w:rFonts w:asciiTheme="minorHAnsi" w:hAnsiTheme="minorHAnsi"/>
                <w:color w:val="000000"/>
                <w:sz w:val="20"/>
              </w:rPr>
              <w:t>8,52</w:t>
            </w:r>
          </w:p>
        </w:tc>
        <w:tc>
          <w:tcPr>
            <w:tcW w:w="1666" w:type="dxa"/>
            <w:tcBorders>
              <w:top w:val="nil"/>
              <w:left w:val="nil"/>
              <w:bottom w:val="nil"/>
              <w:right w:val="nil"/>
            </w:tcBorders>
            <w:shd w:val="clear" w:color="auto" w:fill="92D050"/>
            <w:noWrap/>
            <w:vAlign w:val="bottom"/>
          </w:tcPr>
          <w:p w:rsidR="00E446F7" w:rsidRPr="0087131C" w:rsidRDefault="00E446F7" w:rsidP="00C14EEF">
            <w:pPr>
              <w:jc w:val="center"/>
              <w:rPr>
                <w:rFonts w:asciiTheme="minorHAnsi" w:hAnsiTheme="minorHAnsi" w:cstheme="minorHAnsi"/>
                <w:color w:val="000000"/>
                <w:sz w:val="20"/>
              </w:rPr>
            </w:pPr>
            <w:r w:rsidRPr="0087131C">
              <w:rPr>
                <w:rFonts w:asciiTheme="minorHAnsi" w:hAnsiTheme="minorHAnsi"/>
                <w:color w:val="000000"/>
                <w:sz w:val="20"/>
              </w:rPr>
              <w:t>0</w:t>
            </w:r>
          </w:p>
        </w:tc>
      </w:tr>
      <w:tr w:rsidR="00E446F7" w:rsidRPr="0087131C" w:rsidTr="00084592">
        <w:trPr>
          <w:trHeight w:val="300"/>
        </w:trPr>
        <w:tc>
          <w:tcPr>
            <w:tcW w:w="1089" w:type="dxa"/>
            <w:tcBorders>
              <w:top w:val="nil"/>
              <w:left w:val="nil"/>
              <w:bottom w:val="nil"/>
              <w:right w:val="nil"/>
            </w:tcBorders>
            <w:shd w:val="clear" w:color="auto" w:fill="auto"/>
            <w:noWrap/>
            <w:vAlign w:val="bottom"/>
            <w:hideMark/>
          </w:tcPr>
          <w:p w:rsidR="00E446F7" w:rsidRPr="0087131C" w:rsidRDefault="00E446F7" w:rsidP="00C14EEF">
            <w:pPr>
              <w:rPr>
                <w:rFonts w:asciiTheme="minorHAnsi" w:hAnsiTheme="minorHAnsi" w:cstheme="minorHAnsi"/>
                <w:color w:val="000000"/>
                <w:sz w:val="20"/>
              </w:rPr>
            </w:pPr>
            <w:r w:rsidRPr="0087131C">
              <w:rPr>
                <w:rFonts w:asciiTheme="minorHAnsi" w:hAnsiTheme="minorHAnsi"/>
                <w:color w:val="000000"/>
                <w:sz w:val="20"/>
              </w:rPr>
              <w:t>2016</w:t>
            </w:r>
          </w:p>
        </w:tc>
        <w:tc>
          <w:tcPr>
            <w:tcW w:w="1620" w:type="dxa"/>
            <w:tcBorders>
              <w:top w:val="nil"/>
              <w:left w:val="nil"/>
              <w:bottom w:val="nil"/>
              <w:right w:val="nil"/>
            </w:tcBorders>
            <w:shd w:val="clear" w:color="auto" w:fill="auto"/>
            <w:noWrap/>
            <w:vAlign w:val="bottom"/>
            <w:hideMark/>
          </w:tcPr>
          <w:p w:rsidR="00E446F7" w:rsidRPr="0087131C" w:rsidRDefault="00E446F7" w:rsidP="00C14EEF">
            <w:pPr>
              <w:jc w:val="center"/>
              <w:rPr>
                <w:rFonts w:asciiTheme="minorHAnsi" w:hAnsiTheme="minorHAnsi" w:cstheme="minorHAnsi"/>
                <w:color w:val="000000"/>
                <w:sz w:val="20"/>
              </w:rPr>
            </w:pPr>
            <w:r w:rsidRPr="0087131C">
              <w:rPr>
                <w:rFonts w:asciiTheme="minorHAnsi" w:hAnsiTheme="minorHAnsi"/>
                <w:color w:val="000000"/>
                <w:sz w:val="20"/>
              </w:rPr>
              <w:t>3,85/3,89</w:t>
            </w:r>
          </w:p>
        </w:tc>
        <w:tc>
          <w:tcPr>
            <w:tcW w:w="1595" w:type="dxa"/>
            <w:tcBorders>
              <w:top w:val="nil"/>
              <w:left w:val="nil"/>
              <w:bottom w:val="nil"/>
              <w:right w:val="nil"/>
            </w:tcBorders>
            <w:shd w:val="clear" w:color="auto" w:fill="auto"/>
            <w:noWrap/>
            <w:vAlign w:val="bottom"/>
            <w:hideMark/>
          </w:tcPr>
          <w:p w:rsidR="00E446F7" w:rsidRPr="0087131C" w:rsidRDefault="00E446F7" w:rsidP="00C14EEF">
            <w:pPr>
              <w:jc w:val="center"/>
              <w:rPr>
                <w:rFonts w:asciiTheme="minorHAnsi" w:hAnsiTheme="minorHAnsi" w:cstheme="minorHAnsi"/>
                <w:color w:val="000000"/>
                <w:sz w:val="20"/>
              </w:rPr>
            </w:pPr>
            <w:r w:rsidRPr="0087131C">
              <w:rPr>
                <w:rFonts w:asciiTheme="minorHAnsi" w:hAnsiTheme="minorHAnsi"/>
                <w:color w:val="000000"/>
                <w:sz w:val="20"/>
              </w:rPr>
              <w:t>3,9/4,19</w:t>
            </w:r>
          </w:p>
        </w:tc>
        <w:tc>
          <w:tcPr>
            <w:tcW w:w="1637" w:type="dxa"/>
            <w:tcBorders>
              <w:top w:val="nil"/>
              <w:left w:val="nil"/>
              <w:bottom w:val="nil"/>
              <w:right w:val="nil"/>
            </w:tcBorders>
            <w:shd w:val="clear" w:color="auto" w:fill="auto"/>
            <w:noWrap/>
            <w:vAlign w:val="bottom"/>
            <w:hideMark/>
          </w:tcPr>
          <w:p w:rsidR="00E446F7" w:rsidRPr="0087131C" w:rsidRDefault="00E446F7" w:rsidP="00C14EEF">
            <w:pPr>
              <w:jc w:val="center"/>
              <w:rPr>
                <w:rFonts w:asciiTheme="minorHAnsi" w:hAnsiTheme="minorHAnsi" w:cstheme="minorHAnsi"/>
                <w:color w:val="000000"/>
                <w:sz w:val="20"/>
              </w:rPr>
            </w:pPr>
            <w:r w:rsidRPr="0087131C">
              <w:rPr>
                <w:rFonts w:asciiTheme="minorHAnsi" w:hAnsiTheme="minorHAnsi"/>
                <w:color w:val="000000"/>
                <w:sz w:val="20"/>
              </w:rPr>
              <w:t>7,75/8,08</w:t>
            </w:r>
          </w:p>
        </w:tc>
        <w:tc>
          <w:tcPr>
            <w:tcW w:w="1871" w:type="dxa"/>
            <w:tcBorders>
              <w:top w:val="nil"/>
              <w:left w:val="nil"/>
              <w:bottom w:val="nil"/>
              <w:right w:val="nil"/>
            </w:tcBorders>
            <w:shd w:val="clear" w:color="auto" w:fill="auto"/>
            <w:noWrap/>
            <w:vAlign w:val="bottom"/>
            <w:hideMark/>
          </w:tcPr>
          <w:p w:rsidR="00E446F7" w:rsidRPr="0087131C" w:rsidRDefault="00E446F7" w:rsidP="00C14EEF">
            <w:pPr>
              <w:jc w:val="center"/>
              <w:rPr>
                <w:rFonts w:asciiTheme="minorHAnsi" w:hAnsiTheme="minorHAnsi" w:cstheme="minorHAnsi"/>
                <w:color w:val="000000"/>
                <w:sz w:val="20"/>
              </w:rPr>
            </w:pPr>
            <w:r w:rsidRPr="0087131C">
              <w:rPr>
                <w:rFonts w:asciiTheme="minorHAnsi" w:hAnsiTheme="minorHAnsi"/>
                <w:color w:val="000000"/>
                <w:sz w:val="20"/>
              </w:rPr>
              <w:t>9,3/9 696</w:t>
            </w:r>
          </w:p>
        </w:tc>
        <w:tc>
          <w:tcPr>
            <w:tcW w:w="1666" w:type="dxa"/>
            <w:tcBorders>
              <w:top w:val="nil"/>
              <w:left w:val="nil"/>
              <w:bottom w:val="nil"/>
              <w:right w:val="nil"/>
            </w:tcBorders>
            <w:shd w:val="clear" w:color="auto" w:fill="auto"/>
            <w:noWrap/>
            <w:vAlign w:val="bottom"/>
          </w:tcPr>
          <w:p w:rsidR="00E446F7" w:rsidRPr="0087131C" w:rsidRDefault="00F0231A" w:rsidP="00C14EEF">
            <w:pPr>
              <w:jc w:val="center"/>
              <w:rPr>
                <w:rFonts w:asciiTheme="minorHAnsi" w:hAnsiTheme="minorHAnsi" w:cstheme="minorHAnsi"/>
                <w:color w:val="000000"/>
                <w:sz w:val="20"/>
              </w:rPr>
            </w:pPr>
            <w:r w:rsidRPr="0087131C">
              <w:rPr>
                <w:rFonts w:asciiTheme="minorHAnsi" w:hAnsiTheme="minorHAnsi"/>
                <w:color w:val="000000"/>
                <w:sz w:val="20"/>
              </w:rPr>
              <w:t>11,47</w:t>
            </w:r>
          </w:p>
        </w:tc>
      </w:tr>
      <w:tr w:rsidR="00E446F7" w:rsidRPr="0087131C" w:rsidTr="00C8203D">
        <w:trPr>
          <w:trHeight w:val="300"/>
        </w:trPr>
        <w:tc>
          <w:tcPr>
            <w:tcW w:w="1089" w:type="dxa"/>
            <w:tcBorders>
              <w:top w:val="nil"/>
              <w:left w:val="nil"/>
              <w:bottom w:val="nil"/>
              <w:right w:val="nil"/>
            </w:tcBorders>
            <w:shd w:val="clear" w:color="auto" w:fill="92D050"/>
            <w:noWrap/>
            <w:vAlign w:val="bottom"/>
            <w:hideMark/>
          </w:tcPr>
          <w:p w:rsidR="00E446F7" w:rsidRPr="0087131C" w:rsidRDefault="00E446F7" w:rsidP="00C14EEF">
            <w:pPr>
              <w:rPr>
                <w:rFonts w:asciiTheme="minorHAnsi" w:hAnsiTheme="minorHAnsi" w:cstheme="minorHAnsi"/>
                <w:color w:val="000000"/>
                <w:sz w:val="20"/>
              </w:rPr>
            </w:pPr>
            <w:r w:rsidRPr="0087131C">
              <w:rPr>
                <w:rFonts w:asciiTheme="minorHAnsi" w:hAnsiTheme="minorHAnsi"/>
                <w:color w:val="000000"/>
                <w:sz w:val="20"/>
              </w:rPr>
              <w:t>2017</w:t>
            </w:r>
          </w:p>
        </w:tc>
        <w:tc>
          <w:tcPr>
            <w:tcW w:w="1620" w:type="dxa"/>
            <w:tcBorders>
              <w:top w:val="nil"/>
              <w:left w:val="nil"/>
              <w:bottom w:val="nil"/>
              <w:right w:val="nil"/>
            </w:tcBorders>
            <w:shd w:val="clear" w:color="auto" w:fill="92D050"/>
            <w:noWrap/>
            <w:vAlign w:val="bottom"/>
            <w:hideMark/>
          </w:tcPr>
          <w:p w:rsidR="00E446F7" w:rsidRPr="0087131C" w:rsidRDefault="00E446F7" w:rsidP="00C14EEF">
            <w:pPr>
              <w:jc w:val="center"/>
              <w:rPr>
                <w:rFonts w:asciiTheme="minorHAnsi" w:hAnsiTheme="minorHAnsi" w:cstheme="minorHAnsi"/>
                <w:color w:val="000000"/>
                <w:sz w:val="20"/>
              </w:rPr>
            </w:pPr>
            <w:r w:rsidRPr="0087131C">
              <w:rPr>
                <w:rFonts w:asciiTheme="minorHAnsi" w:hAnsiTheme="minorHAnsi"/>
                <w:color w:val="000000"/>
                <w:sz w:val="20"/>
              </w:rPr>
              <w:t>3,89/4,73/4,72</w:t>
            </w:r>
          </w:p>
        </w:tc>
        <w:tc>
          <w:tcPr>
            <w:tcW w:w="1595" w:type="dxa"/>
            <w:tcBorders>
              <w:top w:val="nil"/>
              <w:left w:val="nil"/>
              <w:bottom w:val="nil"/>
              <w:right w:val="nil"/>
            </w:tcBorders>
            <w:shd w:val="clear" w:color="auto" w:fill="92D050"/>
            <w:noWrap/>
            <w:vAlign w:val="bottom"/>
            <w:hideMark/>
          </w:tcPr>
          <w:p w:rsidR="00E446F7" w:rsidRPr="0087131C" w:rsidRDefault="00E446F7" w:rsidP="00C14EEF">
            <w:pPr>
              <w:jc w:val="center"/>
              <w:rPr>
                <w:rFonts w:asciiTheme="minorHAnsi" w:hAnsiTheme="minorHAnsi" w:cstheme="minorHAnsi"/>
                <w:color w:val="000000"/>
                <w:sz w:val="20"/>
              </w:rPr>
            </w:pPr>
            <w:r w:rsidRPr="0087131C">
              <w:rPr>
                <w:rFonts w:asciiTheme="minorHAnsi" w:hAnsiTheme="minorHAnsi"/>
                <w:color w:val="000000"/>
                <w:sz w:val="20"/>
              </w:rPr>
              <w:t>3,9/4,63/4,62</w:t>
            </w:r>
          </w:p>
        </w:tc>
        <w:tc>
          <w:tcPr>
            <w:tcW w:w="1637" w:type="dxa"/>
            <w:tcBorders>
              <w:top w:val="nil"/>
              <w:left w:val="nil"/>
              <w:bottom w:val="nil"/>
              <w:right w:val="nil"/>
            </w:tcBorders>
            <w:shd w:val="clear" w:color="auto" w:fill="92D050"/>
            <w:noWrap/>
            <w:vAlign w:val="bottom"/>
            <w:hideMark/>
          </w:tcPr>
          <w:p w:rsidR="00E446F7" w:rsidRPr="0087131C" w:rsidRDefault="00E446F7" w:rsidP="00C14EEF">
            <w:pPr>
              <w:jc w:val="center"/>
              <w:rPr>
                <w:rFonts w:asciiTheme="minorHAnsi" w:hAnsiTheme="minorHAnsi" w:cstheme="minorHAnsi"/>
                <w:color w:val="000000"/>
                <w:sz w:val="20"/>
              </w:rPr>
            </w:pPr>
            <w:r w:rsidRPr="0087131C">
              <w:rPr>
                <w:rFonts w:asciiTheme="minorHAnsi" w:hAnsiTheme="minorHAnsi"/>
                <w:color w:val="000000"/>
                <w:sz w:val="20"/>
              </w:rPr>
              <w:t>7,75/9,36/9,34</w:t>
            </w:r>
          </w:p>
        </w:tc>
        <w:tc>
          <w:tcPr>
            <w:tcW w:w="1871" w:type="dxa"/>
            <w:tcBorders>
              <w:top w:val="nil"/>
              <w:left w:val="nil"/>
              <w:bottom w:val="nil"/>
              <w:right w:val="nil"/>
            </w:tcBorders>
            <w:shd w:val="clear" w:color="auto" w:fill="92D050"/>
            <w:noWrap/>
            <w:vAlign w:val="bottom"/>
            <w:hideMark/>
          </w:tcPr>
          <w:p w:rsidR="00E446F7" w:rsidRPr="0087131C" w:rsidRDefault="00E446F7" w:rsidP="00C14EEF">
            <w:pPr>
              <w:jc w:val="center"/>
              <w:rPr>
                <w:rFonts w:asciiTheme="minorHAnsi" w:hAnsiTheme="minorHAnsi" w:cstheme="minorHAnsi"/>
                <w:color w:val="000000"/>
                <w:sz w:val="20"/>
              </w:rPr>
            </w:pPr>
            <w:r w:rsidRPr="0087131C">
              <w:rPr>
                <w:rFonts w:asciiTheme="minorHAnsi" w:hAnsiTheme="minorHAnsi"/>
                <w:color w:val="000000"/>
                <w:sz w:val="20"/>
              </w:rPr>
              <w:t>9,3/11 232/11,22</w:t>
            </w:r>
          </w:p>
        </w:tc>
        <w:tc>
          <w:tcPr>
            <w:tcW w:w="1666" w:type="dxa"/>
            <w:tcBorders>
              <w:top w:val="nil"/>
              <w:left w:val="nil"/>
              <w:bottom w:val="nil"/>
              <w:right w:val="nil"/>
            </w:tcBorders>
            <w:shd w:val="clear" w:color="auto" w:fill="92D050"/>
            <w:noWrap/>
            <w:vAlign w:val="bottom"/>
          </w:tcPr>
          <w:p w:rsidR="00E446F7" w:rsidRPr="0087131C" w:rsidRDefault="00F0231A" w:rsidP="00C14EEF">
            <w:pPr>
              <w:jc w:val="center"/>
              <w:rPr>
                <w:rFonts w:asciiTheme="minorHAnsi" w:hAnsiTheme="minorHAnsi" w:cstheme="minorHAnsi"/>
                <w:color w:val="000000"/>
                <w:sz w:val="20"/>
              </w:rPr>
            </w:pPr>
            <w:r w:rsidRPr="0087131C">
              <w:rPr>
                <w:rFonts w:asciiTheme="minorHAnsi" w:hAnsiTheme="minorHAnsi"/>
                <w:color w:val="000000"/>
                <w:sz w:val="20"/>
              </w:rPr>
              <w:t>11,43</w:t>
            </w:r>
          </w:p>
        </w:tc>
      </w:tr>
      <w:tr w:rsidR="00E446F7" w:rsidRPr="0087131C" w:rsidTr="00084592">
        <w:trPr>
          <w:trHeight w:val="300"/>
        </w:trPr>
        <w:tc>
          <w:tcPr>
            <w:tcW w:w="1089" w:type="dxa"/>
            <w:tcBorders>
              <w:top w:val="nil"/>
              <w:left w:val="nil"/>
              <w:bottom w:val="nil"/>
              <w:right w:val="nil"/>
            </w:tcBorders>
            <w:shd w:val="clear" w:color="auto" w:fill="auto"/>
            <w:noWrap/>
            <w:vAlign w:val="bottom"/>
            <w:hideMark/>
          </w:tcPr>
          <w:p w:rsidR="00E446F7" w:rsidRPr="0087131C" w:rsidRDefault="00E446F7" w:rsidP="00C14EEF">
            <w:pPr>
              <w:rPr>
                <w:rFonts w:asciiTheme="minorHAnsi" w:hAnsiTheme="minorHAnsi" w:cstheme="minorHAnsi"/>
                <w:color w:val="000000"/>
                <w:sz w:val="20"/>
              </w:rPr>
            </w:pPr>
            <w:r w:rsidRPr="0087131C">
              <w:rPr>
                <w:rFonts w:asciiTheme="minorHAnsi" w:hAnsiTheme="minorHAnsi"/>
                <w:color w:val="000000"/>
                <w:sz w:val="20"/>
              </w:rPr>
              <w:t>2018</w:t>
            </w:r>
          </w:p>
        </w:tc>
        <w:tc>
          <w:tcPr>
            <w:tcW w:w="1620" w:type="dxa"/>
            <w:tcBorders>
              <w:top w:val="nil"/>
              <w:left w:val="nil"/>
              <w:bottom w:val="nil"/>
              <w:right w:val="nil"/>
            </w:tcBorders>
            <w:shd w:val="clear" w:color="auto" w:fill="auto"/>
            <w:noWrap/>
            <w:vAlign w:val="bottom"/>
            <w:hideMark/>
          </w:tcPr>
          <w:p w:rsidR="00E446F7" w:rsidRPr="0087131C" w:rsidRDefault="00E446F7" w:rsidP="00C14EEF">
            <w:pPr>
              <w:jc w:val="center"/>
              <w:rPr>
                <w:rFonts w:asciiTheme="minorHAnsi" w:hAnsiTheme="minorHAnsi" w:cstheme="minorHAnsi"/>
                <w:color w:val="000000"/>
                <w:sz w:val="20"/>
              </w:rPr>
            </w:pPr>
            <w:r w:rsidRPr="0087131C">
              <w:rPr>
                <w:rFonts w:asciiTheme="minorHAnsi" w:hAnsiTheme="minorHAnsi"/>
                <w:color w:val="000000"/>
                <w:sz w:val="20"/>
              </w:rPr>
              <w:t>4,82/5,64</w:t>
            </w:r>
          </w:p>
        </w:tc>
        <w:tc>
          <w:tcPr>
            <w:tcW w:w="1595" w:type="dxa"/>
            <w:tcBorders>
              <w:top w:val="nil"/>
              <w:left w:val="nil"/>
              <w:bottom w:val="nil"/>
              <w:right w:val="nil"/>
            </w:tcBorders>
            <w:shd w:val="clear" w:color="auto" w:fill="auto"/>
            <w:noWrap/>
            <w:vAlign w:val="bottom"/>
            <w:hideMark/>
          </w:tcPr>
          <w:p w:rsidR="00E446F7" w:rsidRPr="0087131C" w:rsidRDefault="00E446F7" w:rsidP="00C14EEF">
            <w:pPr>
              <w:jc w:val="center"/>
              <w:rPr>
                <w:rFonts w:asciiTheme="minorHAnsi" w:hAnsiTheme="minorHAnsi" w:cstheme="minorHAnsi"/>
                <w:color w:val="000000"/>
                <w:sz w:val="20"/>
              </w:rPr>
            </w:pPr>
            <w:r w:rsidRPr="0087131C">
              <w:rPr>
                <w:rFonts w:asciiTheme="minorHAnsi" w:hAnsiTheme="minorHAnsi"/>
                <w:color w:val="000000"/>
                <w:sz w:val="20"/>
              </w:rPr>
              <w:t>5,09/5,88</w:t>
            </w:r>
          </w:p>
        </w:tc>
        <w:tc>
          <w:tcPr>
            <w:tcW w:w="1637" w:type="dxa"/>
            <w:tcBorders>
              <w:top w:val="nil"/>
              <w:left w:val="nil"/>
              <w:bottom w:val="nil"/>
              <w:right w:val="nil"/>
            </w:tcBorders>
            <w:shd w:val="clear" w:color="auto" w:fill="auto"/>
            <w:noWrap/>
            <w:vAlign w:val="bottom"/>
            <w:hideMark/>
          </w:tcPr>
          <w:p w:rsidR="00E446F7" w:rsidRPr="0087131C" w:rsidRDefault="00E446F7" w:rsidP="00C14EEF">
            <w:pPr>
              <w:jc w:val="center"/>
              <w:rPr>
                <w:rFonts w:asciiTheme="minorHAnsi" w:hAnsiTheme="minorHAnsi" w:cstheme="minorHAnsi"/>
                <w:color w:val="000000"/>
                <w:sz w:val="20"/>
              </w:rPr>
            </w:pPr>
            <w:r w:rsidRPr="0087131C">
              <w:rPr>
                <w:rFonts w:asciiTheme="minorHAnsi" w:hAnsiTheme="minorHAnsi"/>
                <w:color w:val="000000"/>
                <w:sz w:val="20"/>
              </w:rPr>
              <w:t>9,91/11,52</w:t>
            </w:r>
          </w:p>
        </w:tc>
        <w:tc>
          <w:tcPr>
            <w:tcW w:w="1871" w:type="dxa"/>
            <w:tcBorders>
              <w:top w:val="nil"/>
              <w:left w:val="nil"/>
              <w:bottom w:val="nil"/>
              <w:right w:val="nil"/>
            </w:tcBorders>
            <w:shd w:val="clear" w:color="auto" w:fill="auto"/>
            <w:noWrap/>
            <w:vAlign w:val="bottom"/>
            <w:hideMark/>
          </w:tcPr>
          <w:p w:rsidR="00E446F7" w:rsidRPr="0087131C" w:rsidRDefault="00E446F7" w:rsidP="00C14EEF">
            <w:pPr>
              <w:jc w:val="center"/>
              <w:rPr>
                <w:rFonts w:asciiTheme="minorHAnsi" w:hAnsiTheme="minorHAnsi" w:cstheme="minorHAnsi"/>
                <w:color w:val="000000"/>
                <w:sz w:val="20"/>
              </w:rPr>
            </w:pPr>
            <w:r w:rsidRPr="0087131C">
              <w:rPr>
                <w:rFonts w:asciiTheme="minorHAnsi" w:hAnsiTheme="minorHAnsi"/>
                <w:color w:val="000000"/>
                <w:sz w:val="20"/>
              </w:rPr>
              <w:t>11 892/13 824</w:t>
            </w:r>
          </w:p>
        </w:tc>
        <w:tc>
          <w:tcPr>
            <w:tcW w:w="1666" w:type="dxa"/>
            <w:tcBorders>
              <w:top w:val="nil"/>
              <w:left w:val="nil"/>
              <w:bottom w:val="nil"/>
              <w:right w:val="nil"/>
            </w:tcBorders>
            <w:shd w:val="clear" w:color="auto" w:fill="auto"/>
            <w:noWrap/>
            <w:vAlign w:val="bottom"/>
          </w:tcPr>
          <w:p w:rsidR="00E446F7" w:rsidRPr="0087131C" w:rsidRDefault="00F0231A" w:rsidP="00C14EEF">
            <w:pPr>
              <w:jc w:val="center"/>
              <w:rPr>
                <w:rFonts w:asciiTheme="minorHAnsi" w:hAnsiTheme="minorHAnsi" w:cstheme="minorHAnsi"/>
                <w:color w:val="000000"/>
                <w:sz w:val="20"/>
              </w:rPr>
            </w:pPr>
            <w:r w:rsidRPr="0087131C">
              <w:rPr>
                <w:rFonts w:asciiTheme="minorHAnsi" w:hAnsiTheme="minorHAnsi"/>
                <w:color w:val="000000"/>
                <w:sz w:val="20"/>
              </w:rPr>
              <w:t>21,48</w:t>
            </w:r>
          </w:p>
        </w:tc>
      </w:tr>
      <w:tr w:rsidR="00E446F7" w:rsidRPr="0087131C" w:rsidTr="00C8203D">
        <w:trPr>
          <w:trHeight w:val="300"/>
        </w:trPr>
        <w:tc>
          <w:tcPr>
            <w:tcW w:w="1089" w:type="dxa"/>
            <w:tcBorders>
              <w:top w:val="nil"/>
              <w:left w:val="nil"/>
              <w:bottom w:val="nil"/>
              <w:right w:val="nil"/>
            </w:tcBorders>
            <w:shd w:val="clear" w:color="auto" w:fill="92D050"/>
            <w:noWrap/>
            <w:vAlign w:val="bottom"/>
            <w:hideMark/>
          </w:tcPr>
          <w:p w:rsidR="00E446F7" w:rsidRPr="0087131C" w:rsidRDefault="00E446F7" w:rsidP="00C14EEF">
            <w:pPr>
              <w:rPr>
                <w:rFonts w:asciiTheme="minorHAnsi" w:hAnsiTheme="minorHAnsi" w:cstheme="minorHAnsi"/>
                <w:color w:val="000000"/>
                <w:sz w:val="20"/>
              </w:rPr>
            </w:pPr>
            <w:r w:rsidRPr="0087131C">
              <w:rPr>
                <w:rFonts w:asciiTheme="minorHAnsi" w:hAnsiTheme="minorHAnsi"/>
                <w:color w:val="000000"/>
                <w:sz w:val="20"/>
              </w:rPr>
              <w:t>2019</w:t>
            </w:r>
          </w:p>
        </w:tc>
        <w:tc>
          <w:tcPr>
            <w:tcW w:w="1620" w:type="dxa"/>
            <w:tcBorders>
              <w:top w:val="nil"/>
              <w:left w:val="nil"/>
              <w:bottom w:val="nil"/>
              <w:right w:val="nil"/>
            </w:tcBorders>
            <w:shd w:val="clear" w:color="auto" w:fill="92D050"/>
            <w:noWrap/>
            <w:vAlign w:val="bottom"/>
            <w:hideMark/>
          </w:tcPr>
          <w:p w:rsidR="00E446F7" w:rsidRPr="0087131C" w:rsidRDefault="00E446F7" w:rsidP="00C14EEF">
            <w:pPr>
              <w:jc w:val="center"/>
              <w:rPr>
                <w:rFonts w:asciiTheme="minorHAnsi" w:hAnsiTheme="minorHAnsi" w:cstheme="minorHAnsi"/>
                <w:color w:val="000000"/>
                <w:sz w:val="20"/>
              </w:rPr>
            </w:pPr>
            <w:r w:rsidRPr="0087131C">
              <w:rPr>
                <w:rFonts w:asciiTheme="minorHAnsi" w:hAnsiTheme="minorHAnsi"/>
                <w:color w:val="000000"/>
                <w:sz w:val="20"/>
              </w:rPr>
              <w:t>5,64/5,92</w:t>
            </w:r>
          </w:p>
        </w:tc>
        <w:tc>
          <w:tcPr>
            <w:tcW w:w="1595" w:type="dxa"/>
            <w:tcBorders>
              <w:top w:val="nil"/>
              <w:left w:val="nil"/>
              <w:bottom w:val="nil"/>
              <w:right w:val="nil"/>
            </w:tcBorders>
            <w:shd w:val="clear" w:color="auto" w:fill="92D050"/>
            <w:noWrap/>
            <w:vAlign w:val="bottom"/>
            <w:hideMark/>
          </w:tcPr>
          <w:p w:rsidR="00E446F7" w:rsidRPr="0087131C" w:rsidRDefault="00E446F7" w:rsidP="00C14EEF">
            <w:pPr>
              <w:jc w:val="center"/>
              <w:rPr>
                <w:rFonts w:asciiTheme="minorHAnsi" w:hAnsiTheme="minorHAnsi" w:cstheme="minorHAnsi"/>
                <w:color w:val="000000"/>
                <w:sz w:val="20"/>
              </w:rPr>
            </w:pPr>
            <w:r w:rsidRPr="0087131C">
              <w:rPr>
                <w:rFonts w:asciiTheme="minorHAnsi" w:hAnsiTheme="minorHAnsi"/>
                <w:color w:val="000000"/>
                <w:sz w:val="20"/>
              </w:rPr>
              <w:t>5,88/6,62</w:t>
            </w:r>
          </w:p>
        </w:tc>
        <w:tc>
          <w:tcPr>
            <w:tcW w:w="1637" w:type="dxa"/>
            <w:tcBorders>
              <w:top w:val="nil"/>
              <w:left w:val="nil"/>
              <w:bottom w:val="nil"/>
              <w:right w:val="nil"/>
            </w:tcBorders>
            <w:shd w:val="clear" w:color="auto" w:fill="92D050"/>
            <w:noWrap/>
            <w:vAlign w:val="bottom"/>
            <w:hideMark/>
          </w:tcPr>
          <w:p w:rsidR="00E446F7" w:rsidRPr="0087131C" w:rsidRDefault="00E446F7" w:rsidP="00C14EEF">
            <w:pPr>
              <w:jc w:val="center"/>
              <w:rPr>
                <w:rFonts w:asciiTheme="minorHAnsi" w:hAnsiTheme="minorHAnsi" w:cstheme="minorHAnsi"/>
                <w:color w:val="000000"/>
                <w:sz w:val="20"/>
              </w:rPr>
            </w:pPr>
            <w:r w:rsidRPr="0087131C">
              <w:rPr>
                <w:rFonts w:asciiTheme="minorHAnsi" w:hAnsiTheme="minorHAnsi"/>
                <w:color w:val="000000"/>
                <w:sz w:val="20"/>
              </w:rPr>
              <w:t>11,52/12,54</w:t>
            </w:r>
          </w:p>
        </w:tc>
        <w:tc>
          <w:tcPr>
            <w:tcW w:w="1871" w:type="dxa"/>
            <w:tcBorders>
              <w:top w:val="nil"/>
              <w:left w:val="nil"/>
              <w:bottom w:val="nil"/>
              <w:right w:val="nil"/>
            </w:tcBorders>
            <w:shd w:val="clear" w:color="auto" w:fill="92D050"/>
            <w:noWrap/>
            <w:vAlign w:val="bottom"/>
            <w:hideMark/>
          </w:tcPr>
          <w:p w:rsidR="00E446F7" w:rsidRPr="0087131C" w:rsidRDefault="00E446F7" w:rsidP="00C14EEF">
            <w:pPr>
              <w:jc w:val="center"/>
              <w:rPr>
                <w:rFonts w:asciiTheme="minorHAnsi" w:hAnsiTheme="minorHAnsi" w:cstheme="minorHAnsi"/>
                <w:color w:val="000000"/>
                <w:sz w:val="20"/>
              </w:rPr>
            </w:pPr>
            <w:r w:rsidRPr="0087131C">
              <w:rPr>
                <w:rFonts w:asciiTheme="minorHAnsi" w:hAnsiTheme="minorHAnsi"/>
                <w:color w:val="000000"/>
                <w:sz w:val="20"/>
              </w:rPr>
              <w:t>13 824/15 048</w:t>
            </w:r>
          </w:p>
        </w:tc>
        <w:tc>
          <w:tcPr>
            <w:tcW w:w="1666" w:type="dxa"/>
            <w:tcBorders>
              <w:top w:val="nil"/>
              <w:left w:val="nil"/>
              <w:bottom w:val="nil"/>
              <w:right w:val="nil"/>
            </w:tcBorders>
            <w:shd w:val="clear" w:color="auto" w:fill="92D050"/>
            <w:noWrap/>
            <w:vAlign w:val="bottom"/>
          </w:tcPr>
          <w:p w:rsidR="00E446F7" w:rsidRPr="0087131C" w:rsidRDefault="00F0231A" w:rsidP="00C14EEF">
            <w:pPr>
              <w:jc w:val="center"/>
              <w:rPr>
                <w:rFonts w:asciiTheme="minorHAnsi" w:hAnsiTheme="minorHAnsi" w:cstheme="minorHAnsi"/>
                <w:color w:val="000000"/>
                <w:sz w:val="20"/>
              </w:rPr>
            </w:pPr>
            <w:r w:rsidRPr="0087131C">
              <w:rPr>
                <w:rFonts w:asciiTheme="minorHAnsi" w:hAnsiTheme="minorHAnsi"/>
                <w:color w:val="000000"/>
                <w:sz w:val="20"/>
              </w:rPr>
              <w:t>12,27</w:t>
            </w:r>
          </w:p>
        </w:tc>
      </w:tr>
      <w:tr w:rsidR="00E446F7" w:rsidRPr="0087131C" w:rsidTr="00084592">
        <w:trPr>
          <w:trHeight w:val="600"/>
        </w:trPr>
        <w:tc>
          <w:tcPr>
            <w:tcW w:w="1089" w:type="dxa"/>
            <w:tcBorders>
              <w:top w:val="nil"/>
              <w:left w:val="nil"/>
              <w:bottom w:val="single" w:sz="4" w:space="0" w:color="auto"/>
              <w:right w:val="nil"/>
            </w:tcBorders>
            <w:shd w:val="clear" w:color="auto" w:fill="auto"/>
            <w:vAlign w:val="bottom"/>
            <w:hideMark/>
          </w:tcPr>
          <w:p w:rsidR="00E446F7" w:rsidRPr="0087131C" w:rsidRDefault="00E446F7" w:rsidP="00C14EEF">
            <w:pPr>
              <w:jc w:val="left"/>
              <w:rPr>
                <w:rFonts w:asciiTheme="minorHAnsi" w:hAnsiTheme="minorHAnsi" w:cstheme="minorHAnsi"/>
                <w:b/>
                <w:color w:val="000000"/>
                <w:sz w:val="20"/>
              </w:rPr>
            </w:pPr>
            <w:r w:rsidRPr="0087131C">
              <w:rPr>
                <w:rFonts w:asciiTheme="minorHAnsi" w:hAnsiTheme="minorHAnsi"/>
                <w:b/>
                <w:color w:val="000000"/>
                <w:sz w:val="20"/>
              </w:rPr>
              <w:t>Заплановано на 2020 р.</w:t>
            </w:r>
          </w:p>
        </w:tc>
        <w:tc>
          <w:tcPr>
            <w:tcW w:w="1620" w:type="dxa"/>
            <w:tcBorders>
              <w:top w:val="nil"/>
              <w:left w:val="nil"/>
              <w:bottom w:val="single" w:sz="4" w:space="0" w:color="auto"/>
              <w:right w:val="nil"/>
            </w:tcBorders>
            <w:shd w:val="clear" w:color="auto" w:fill="auto"/>
            <w:noWrap/>
            <w:vAlign w:val="bottom"/>
            <w:hideMark/>
          </w:tcPr>
          <w:p w:rsidR="00E446F7" w:rsidRPr="0087131C" w:rsidRDefault="00E446F7" w:rsidP="00C14EEF">
            <w:pPr>
              <w:jc w:val="center"/>
              <w:rPr>
                <w:rFonts w:asciiTheme="minorHAnsi" w:hAnsiTheme="minorHAnsi" w:cstheme="minorHAnsi"/>
                <w:b/>
                <w:color w:val="000000"/>
                <w:sz w:val="20"/>
              </w:rPr>
            </w:pPr>
            <w:r w:rsidRPr="0087131C">
              <w:rPr>
                <w:rFonts w:asciiTheme="minorHAnsi" w:hAnsiTheme="minorHAnsi"/>
                <w:b/>
                <w:color w:val="000000"/>
                <w:sz w:val="20"/>
              </w:rPr>
              <w:t>7,26</w:t>
            </w:r>
          </w:p>
        </w:tc>
        <w:tc>
          <w:tcPr>
            <w:tcW w:w="1595" w:type="dxa"/>
            <w:tcBorders>
              <w:top w:val="nil"/>
              <w:left w:val="nil"/>
              <w:bottom w:val="single" w:sz="4" w:space="0" w:color="auto"/>
              <w:right w:val="nil"/>
            </w:tcBorders>
            <w:shd w:val="clear" w:color="auto" w:fill="auto"/>
            <w:noWrap/>
            <w:vAlign w:val="bottom"/>
            <w:hideMark/>
          </w:tcPr>
          <w:p w:rsidR="00E446F7" w:rsidRPr="0087131C" w:rsidRDefault="00E446F7" w:rsidP="00C14EEF">
            <w:pPr>
              <w:jc w:val="center"/>
              <w:rPr>
                <w:rFonts w:asciiTheme="minorHAnsi" w:hAnsiTheme="minorHAnsi" w:cstheme="minorHAnsi"/>
                <w:b/>
                <w:color w:val="000000"/>
                <w:sz w:val="20"/>
              </w:rPr>
            </w:pPr>
            <w:r w:rsidRPr="0087131C">
              <w:rPr>
                <w:rFonts w:asciiTheme="minorHAnsi" w:hAnsiTheme="minorHAnsi"/>
                <w:b/>
                <w:color w:val="000000"/>
                <w:sz w:val="20"/>
              </w:rPr>
              <w:t>9,01</w:t>
            </w:r>
          </w:p>
        </w:tc>
        <w:tc>
          <w:tcPr>
            <w:tcW w:w="1637" w:type="dxa"/>
            <w:tcBorders>
              <w:top w:val="nil"/>
              <w:left w:val="nil"/>
              <w:bottom w:val="single" w:sz="4" w:space="0" w:color="auto"/>
              <w:right w:val="nil"/>
            </w:tcBorders>
            <w:shd w:val="clear" w:color="auto" w:fill="auto"/>
            <w:noWrap/>
            <w:vAlign w:val="bottom"/>
            <w:hideMark/>
          </w:tcPr>
          <w:p w:rsidR="00E446F7" w:rsidRPr="0087131C" w:rsidRDefault="00E446F7" w:rsidP="00C14EEF">
            <w:pPr>
              <w:jc w:val="center"/>
              <w:rPr>
                <w:rFonts w:asciiTheme="minorHAnsi" w:hAnsiTheme="minorHAnsi" w:cstheme="minorHAnsi"/>
                <w:b/>
                <w:color w:val="000000"/>
                <w:sz w:val="20"/>
              </w:rPr>
            </w:pPr>
            <w:r w:rsidRPr="0087131C">
              <w:rPr>
                <w:rFonts w:asciiTheme="minorHAnsi" w:hAnsiTheme="minorHAnsi"/>
                <w:b/>
                <w:color w:val="000000"/>
                <w:sz w:val="20"/>
              </w:rPr>
              <w:t>16,27</w:t>
            </w:r>
          </w:p>
        </w:tc>
        <w:tc>
          <w:tcPr>
            <w:tcW w:w="1871" w:type="dxa"/>
            <w:tcBorders>
              <w:top w:val="nil"/>
              <w:left w:val="nil"/>
              <w:bottom w:val="single" w:sz="4" w:space="0" w:color="auto"/>
              <w:right w:val="nil"/>
            </w:tcBorders>
            <w:shd w:val="clear" w:color="auto" w:fill="auto"/>
            <w:noWrap/>
            <w:vAlign w:val="bottom"/>
            <w:hideMark/>
          </w:tcPr>
          <w:p w:rsidR="00E446F7" w:rsidRPr="0087131C" w:rsidRDefault="00E446F7" w:rsidP="00C14EEF">
            <w:pPr>
              <w:jc w:val="center"/>
              <w:rPr>
                <w:rFonts w:asciiTheme="minorHAnsi" w:hAnsiTheme="minorHAnsi" w:cstheme="minorHAnsi"/>
                <w:b/>
                <w:color w:val="000000"/>
                <w:sz w:val="20"/>
              </w:rPr>
            </w:pPr>
            <w:r w:rsidRPr="0087131C">
              <w:rPr>
                <w:rFonts w:asciiTheme="minorHAnsi" w:hAnsiTheme="minorHAnsi"/>
                <w:b/>
                <w:color w:val="000000"/>
                <w:sz w:val="20"/>
              </w:rPr>
              <w:t>19 524</w:t>
            </w:r>
          </w:p>
        </w:tc>
        <w:tc>
          <w:tcPr>
            <w:tcW w:w="1666" w:type="dxa"/>
            <w:tcBorders>
              <w:top w:val="nil"/>
              <w:left w:val="nil"/>
              <w:bottom w:val="single" w:sz="4" w:space="0" w:color="auto"/>
              <w:right w:val="nil"/>
            </w:tcBorders>
            <w:shd w:val="clear" w:color="auto" w:fill="auto"/>
            <w:noWrap/>
            <w:vAlign w:val="bottom"/>
          </w:tcPr>
          <w:p w:rsidR="00E446F7" w:rsidRPr="0087131C" w:rsidRDefault="002524E6" w:rsidP="00C14EEF">
            <w:pPr>
              <w:jc w:val="center"/>
              <w:rPr>
                <w:rFonts w:asciiTheme="minorHAnsi" w:hAnsiTheme="minorHAnsi" w:cstheme="minorHAnsi"/>
                <w:b/>
                <w:color w:val="000000"/>
                <w:sz w:val="20"/>
              </w:rPr>
            </w:pPr>
            <w:r w:rsidRPr="0087131C">
              <w:rPr>
                <w:rFonts w:asciiTheme="minorHAnsi" w:hAnsiTheme="minorHAnsi"/>
                <w:b/>
                <w:color w:val="000000"/>
                <w:sz w:val="20"/>
              </w:rPr>
              <w:t>35,24</w:t>
            </w:r>
          </w:p>
        </w:tc>
      </w:tr>
    </w:tbl>
    <w:p w:rsidR="00A21E0F" w:rsidRPr="00AF614D" w:rsidRDefault="00A21E0F" w:rsidP="00C14EEF">
      <w:pPr>
        <w:rPr>
          <w:rFonts w:ascii="Times New Roman" w:hAnsi="Times New Roman"/>
          <w:i/>
          <w:sz w:val="24"/>
          <w:szCs w:val="24"/>
        </w:rPr>
      </w:pPr>
    </w:p>
    <w:p w:rsidR="00A21E0F" w:rsidRPr="00AF614D" w:rsidRDefault="00D13A56" w:rsidP="00C14EEF">
      <w:pPr>
        <w:rPr>
          <w:rFonts w:ascii="Arial" w:hAnsi="Arial" w:cs="Arial"/>
          <w:szCs w:val="22"/>
        </w:rPr>
      </w:pPr>
      <w:r>
        <w:rPr>
          <w:rFonts w:ascii="Arial" w:hAnsi="Arial"/>
          <w:szCs w:val="22"/>
        </w:rPr>
        <w:t>Майже впродовж всього звітного періоду (за винятком 2015 року) тарифи постійно зростали.</w:t>
      </w:r>
      <w:r w:rsidR="00CB1B48">
        <w:rPr>
          <w:rFonts w:ascii="Arial" w:hAnsi="Arial"/>
          <w:szCs w:val="22"/>
        </w:rPr>
        <w:t xml:space="preserve"> </w:t>
      </w:r>
      <w:r>
        <w:rPr>
          <w:rFonts w:ascii="Arial" w:hAnsi="Arial"/>
          <w:szCs w:val="22"/>
        </w:rPr>
        <w:t>Далі ми розглянемо основні складові цього зростання на основі офіційних даних, затверджених Національним регулятором (НКРЕКП).</w:t>
      </w:r>
    </w:p>
    <w:p w:rsidR="008E170B" w:rsidRPr="00AF614D" w:rsidRDefault="008E170B" w:rsidP="00C14EEF">
      <w:pPr>
        <w:rPr>
          <w:rFonts w:ascii="Arial" w:hAnsi="Arial" w:cs="Arial"/>
          <w:szCs w:val="22"/>
        </w:rPr>
      </w:pPr>
    </w:p>
    <w:p w:rsidR="00D13A56" w:rsidRPr="00AF614D" w:rsidRDefault="00D13A56" w:rsidP="00C14EEF">
      <w:pPr>
        <w:pStyle w:val="a8"/>
        <w:spacing w:after="0"/>
        <w:rPr>
          <w:rFonts w:ascii="Arial" w:hAnsi="Arial" w:cs="Arial"/>
          <w:b/>
          <w:szCs w:val="22"/>
        </w:rPr>
      </w:pPr>
      <w:r>
        <w:rPr>
          <w:rFonts w:ascii="Arial" w:hAnsi="Arial"/>
          <w:szCs w:val="22"/>
        </w:rPr>
        <w:t xml:space="preserve">Класифікація витрат КП Луцькводоканал та їхній аналіз представлені в </w:t>
      </w:r>
      <w:r>
        <w:rPr>
          <w:rFonts w:ascii="Arial" w:hAnsi="Arial"/>
          <w:b/>
          <w:szCs w:val="22"/>
        </w:rPr>
        <w:t>Таблиці 9</w:t>
      </w:r>
      <w:r>
        <w:rPr>
          <w:rFonts w:ascii="Arial" w:hAnsi="Arial"/>
          <w:szCs w:val="22"/>
        </w:rPr>
        <w:t>.</w:t>
      </w:r>
    </w:p>
    <w:p w:rsidR="00084592" w:rsidRPr="00AF614D" w:rsidRDefault="00084592" w:rsidP="00C14EEF">
      <w:pPr>
        <w:pStyle w:val="a8"/>
        <w:spacing w:after="0"/>
        <w:rPr>
          <w:rFonts w:ascii="Arial" w:hAnsi="Arial" w:cs="Arial"/>
          <w:szCs w:val="22"/>
        </w:rPr>
      </w:pPr>
    </w:p>
    <w:p w:rsidR="0087131C" w:rsidRDefault="0087131C">
      <w:pPr>
        <w:jc w:val="left"/>
        <w:rPr>
          <w:rFonts w:asciiTheme="minorHAnsi" w:hAnsiTheme="minorHAnsi"/>
          <w:b/>
          <w:bCs/>
          <w:noProof/>
          <w:szCs w:val="18"/>
        </w:rPr>
      </w:pPr>
      <w:r>
        <w:br w:type="page"/>
      </w:r>
    </w:p>
    <w:p w:rsidR="00A21E0F" w:rsidRPr="008D0C5C" w:rsidRDefault="00A21E0F" w:rsidP="00C14EEF">
      <w:pPr>
        <w:pStyle w:val="aa"/>
      </w:pPr>
      <w:bookmarkStart w:id="56" w:name="_Toc48643449"/>
      <w:r>
        <w:t xml:space="preserve">Таблиця </w:t>
      </w:r>
      <w:r w:rsidRPr="008D0C5C">
        <w:fldChar w:fldCharType="begin"/>
      </w:r>
      <w:r w:rsidRPr="008D0C5C">
        <w:instrText xml:space="preserve"> SEQ Table \* ARABIC </w:instrText>
      </w:r>
      <w:r w:rsidRPr="008D0C5C">
        <w:fldChar w:fldCharType="separate"/>
      </w:r>
      <w:r w:rsidR="00CB1B48">
        <w:t>9</w:t>
      </w:r>
      <w:r w:rsidRPr="008D0C5C">
        <w:fldChar w:fldCharType="end"/>
      </w:r>
      <w:r>
        <w:t>: Класифікація та аналіз витрат (багатоквартирні будинки) (діють з 28.05.2019)</w:t>
      </w:r>
      <w:bookmarkEnd w:id="56"/>
    </w:p>
    <w:tbl>
      <w:tblPr>
        <w:tblW w:w="9760" w:type="dxa"/>
        <w:tblInd w:w="93" w:type="dxa"/>
        <w:tblLook w:val="04A0" w:firstRow="1" w:lastRow="0" w:firstColumn="1" w:lastColumn="0" w:noHBand="0" w:noVBand="1"/>
      </w:tblPr>
      <w:tblGrid>
        <w:gridCol w:w="1031"/>
        <w:gridCol w:w="3879"/>
        <w:gridCol w:w="1247"/>
        <w:gridCol w:w="1109"/>
        <w:gridCol w:w="1385"/>
        <w:gridCol w:w="1109"/>
      </w:tblGrid>
      <w:tr w:rsidR="00D13A56" w:rsidRPr="00D13A56" w:rsidTr="0087131C">
        <w:trPr>
          <w:trHeight w:val="300"/>
          <w:tblHeader/>
        </w:trPr>
        <w:tc>
          <w:tcPr>
            <w:tcW w:w="4910" w:type="dxa"/>
            <w:gridSpan w:val="2"/>
            <w:tcBorders>
              <w:top w:val="single" w:sz="4" w:space="0" w:color="auto"/>
              <w:left w:val="single" w:sz="4" w:space="0" w:color="auto"/>
              <w:bottom w:val="single" w:sz="4" w:space="0" w:color="auto"/>
              <w:right w:val="single" w:sz="4" w:space="0" w:color="000000"/>
            </w:tcBorders>
            <w:shd w:val="clear" w:color="auto" w:fill="92D050"/>
            <w:noWrap/>
            <w:vAlign w:val="bottom"/>
            <w:hideMark/>
          </w:tcPr>
          <w:p w:rsidR="00D13A56" w:rsidRPr="00D13A56" w:rsidRDefault="00D13A56" w:rsidP="00C14EEF">
            <w:pPr>
              <w:jc w:val="center"/>
              <w:rPr>
                <w:rFonts w:asciiTheme="minorHAnsi" w:hAnsiTheme="minorHAnsi" w:cstheme="minorHAnsi"/>
                <w:szCs w:val="22"/>
              </w:rPr>
            </w:pPr>
            <w:bookmarkStart w:id="57" w:name="_Toc501108202"/>
            <w:r>
              <w:rPr>
                <w:rFonts w:asciiTheme="minorHAnsi" w:hAnsiTheme="minorHAnsi"/>
                <w:szCs w:val="22"/>
              </w:rPr>
              <w:t>Зазначені цифри надано без ПДВ</w:t>
            </w:r>
          </w:p>
        </w:tc>
        <w:tc>
          <w:tcPr>
            <w:tcW w:w="4850" w:type="dxa"/>
            <w:gridSpan w:val="4"/>
            <w:tcBorders>
              <w:top w:val="single" w:sz="4" w:space="0" w:color="auto"/>
              <w:left w:val="nil"/>
              <w:bottom w:val="single" w:sz="4" w:space="0" w:color="auto"/>
              <w:right w:val="single" w:sz="4" w:space="0" w:color="auto"/>
            </w:tcBorders>
            <w:shd w:val="clear" w:color="auto" w:fill="92D050"/>
            <w:noWrap/>
            <w:vAlign w:val="bottom"/>
            <w:hideMark/>
          </w:tcPr>
          <w:p w:rsidR="00D13A56" w:rsidRPr="00D13A56" w:rsidRDefault="00D13A56" w:rsidP="00C14EEF">
            <w:pPr>
              <w:jc w:val="center"/>
              <w:rPr>
                <w:rFonts w:asciiTheme="minorHAnsi" w:hAnsiTheme="minorHAnsi" w:cstheme="minorHAnsi"/>
                <w:szCs w:val="22"/>
              </w:rPr>
            </w:pPr>
            <w:r>
              <w:rPr>
                <w:rFonts w:asciiTheme="minorHAnsi" w:hAnsiTheme="minorHAnsi"/>
                <w:szCs w:val="22"/>
              </w:rPr>
              <w:t>2019 (централізоване водопостачання/водовідведення)</w:t>
            </w:r>
          </w:p>
        </w:tc>
      </w:tr>
      <w:tr w:rsidR="00D13A56" w:rsidRPr="00D13A56" w:rsidTr="0087131C">
        <w:trPr>
          <w:trHeight w:val="300"/>
          <w:tblHeader/>
        </w:trPr>
        <w:tc>
          <w:tcPr>
            <w:tcW w:w="1066" w:type="dxa"/>
            <w:vMerge w:val="restart"/>
            <w:tcBorders>
              <w:top w:val="nil"/>
              <w:left w:val="single" w:sz="4" w:space="0" w:color="auto"/>
              <w:bottom w:val="single" w:sz="4" w:space="0" w:color="auto"/>
              <w:right w:val="single" w:sz="4" w:space="0" w:color="auto"/>
            </w:tcBorders>
            <w:shd w:val="clear" w:color="auto" w:fill="92D050"/>
            <w:vAlign w:val="center"/>
            <w:hideMark/>
          </w:tcPr>
          <w:p w:rsidR="00D13A56" w:rsidRPr="00D13A56" w:rsidRDefault="00D13A56" w:rsidP="00C14EEF">
            <w:pPr>
              <w:jc w:val="center"/>
              <w:rPr>
                <w:rFonts w:asciiTheme="minorHAnsi" w:hAnsiTheme="minorHAnsi" w:cstheme="minorHAnsi"/>
                <w:b/>
                <w:bCs/>
                <w:szCs w:val="22"/>
              </w:rPr>
            </w:pPr>
            <w:r>
              <w:rPr>
                <w:rFonts w:asciiTheme="minorHAnsi" w:hAnsiTheme="minorHAnsi"/>
                <w:b/>
                <w:bCs/>
                <w:szCs w:val="22"/>
              </w:rPr>
              <w:t>№</w:t>
            </w:r>
          </w:p>
        </w:tc>
        <w:tc>
          <w:tcPr>
            <w:tcW w:w="3844" w:type="dxa"/>
            <w:vMerge w:val="restart"/>
            <w:tcBorders>
              <w:top w:val="nil"/>
              <w:left w:val="single" w:sz="4" w:space="0" w:color="auto"/>
              <w:bottom w:val="single" w:sz="4" w:space="0" w:color="auto"/>
              <w:right w:val="single" w:sz="4" w:space="0" w:color="auto"/>
            </w:tcBorders>
            <w:shd w:val="clear" w:color="auto" w:fill="92D050"/>
            <w:vAlign w:val="center"/>
            <w:hideMark/>
          </w:tcPr>
          <w:p w:rsidR="00D13A56" w:rsidRPr="00D13A56" w:rsidRDefault="00D13A56" w:rsidP="00C14EEF">
            <w:pPr>
              <w:jc w:val="center"/>
              <w:rPr>
                <w:rFonts w:asciiTheme="minorHAnsi" w:hAnsiTheme="minorHAnsi" w:cstheme="minorHAnsi"/>
                <w:b/>
                <w:bCs/>
                <w:szCs w:val="22"/>
              </w:rPr>
            </w:pPr>
            <w:r>
              <w:rPr>
                <w:rFonts w:asciiTheme="minorHAnsi" w:hAnsiTheme="minorHAnsi"/>
                <w:b/>
                <w:bCs/>
                <w:szCs w:val="22"/>
              </w:rPr>
              <w:t>Параметр</w:t>
            </w:r>
          </w:p>
        </w:tc>
        <w:tc>
          <w:tcPr>
            <w:tcW w:w="2356" w:type="dxa"/>
            <w:gridSpan w:val="2"/>
            <w:tcBorders>
              <w:top w:val="single" w:sz="4" w:space="0" w:color="auto"/>
              <w:left w:val="nil"/>
              <w:bottom w:val="single" w:sz="4" w:space="0" w:color="auto"/>
              <w:right w:val="single" w:sz="4" w:space="0" w:color="auto"/>
            </w:tcBorders>
            <w:shd w:val="clear" w:color="auto" w:fill="92D050"/>
            <w:noWrap/>
            <w:vAlign w:val="center"/>
            <w:hideMark/>
          </w:tcPr>
          <w:p w:rsidR="00D13A56" w:rsidRPr="00D13A56" w:rsidRDefault="00D13A56" w:rsidP="00C14EEF">
            <w:pPr>
              <w:jc w:val="center"/>
              <w:rPr>
                <w:rFonts w:asciiTheme="minorHAnsi" w:hAnsiTheme="minorHAnsi" w:cstheme="minorHAnsi"/>
                <w:b/>
                <w:bCs/>
                <w:szCs w:val="22"/>
              </w:rPr>
            </w:pPr>
            <w:r>
              <w:rPr>
                <w:rFonts w:asciiTheme="minorHAnsi" w:hAnsiTheme="minorHAnsi"/>
                <w:b/>
                <w:bCs/>
                <w:szCs w:val="22"/>
              </w:rPr>
              <w:t>Водопостачання</w:t>
            </w:r>
          </w:p>
        </w:tc>
        <w:tc>
          <w:tcPr>
            <w:tcW w:w="2494" w:type="dxa"/>
            <w:gridSpan w:val="2"/>
            <w:tcBorders>
              <w:top w:val="single" w:sz="4" w:space="0" w:color="auto"/>
              <w:left w:val="nil"/>
              <w:bottom w:val="single" w:sz="4" w:space="0" w:color="auto"/>
              <w:right w:val="single" w:sz="4" w:space="0" w:color="auto"/>
            </w:tcBorders>
            <w:shd w:val="clear" w:color="auto" w:fill="92D050"/>
            <w:noWrap/>
            <w:vAlign w:val="center"/>
            <w:hideMark/>
          </w:tcPr>
          <w:p w:rsidR="00D13A56" w:rsidRPr="00D13A56" w:rsidRDefault="00D13A56" w:rsidP="00C14EEF">
            <w:pPr>
              <w:jc w:val="center"/>
              <w:rPr>
                <w:rFonts w:asciiTheme="minorHAnsi" w:hAnsiTheme="minorHAnsi" w:cstheme="minorHAnsi"/>
                <w:b/>
                <w:bCs/>
                <w:szCs w:val="22"/>
              </w:rPr>
            </w:pPr>
            <w:r>
              <w:rPr>
                <w:rFonts w:asciiTheme="minorHAnsi" w:hAnsiTheme="minorHAnsi"/>
                <w:b/>
                <w:bCs/>
                <w:szCs w:val="22"/>
              </w:rPr>
              <w:t>Водовідведення</w:t>
            </w:r>
          </w:p>
        </w:tc>
      </w:tr>
      <w:tr w:rsidR="0087131C" w:rsidRPr="00D13A56" w:rsidTr="0087131C">
        <w:trPr>
          <w:trHeight w:val="780"/>
          <w:tblHeader/>
        </w:trPr>
        <w:tc>
          <w:tcPr>
            <w:tcW w:w="1066" w:type="dxa"/>
            <w:vMerge/>
            <w:tcBorders>
              <w:top w:val="nil"/>
              <w:left w:val="single" w:sz="4" w:space="0" w:color="auto"/>
              <w:bottom w:val="single" w:sz="4" w:space="0" w:color="auto"/>
              <w:right w:val="single" w:sz="4" w:space="0" w:color="auto"/>
            </w:tcBorders>
            <w:shd w:val="clear" w:color="auto" w:fill="92D050"/>
            <w:vAlign w:val="center"/>
            <w:hideMark/>
          </w:tcPr>
          <w:p w:rsidR="0087131C" w:rsidRPr="00D13A56" w:rsidRDefault="0087131C" w:rsidP="00C14EEF">
            <w:pPr>
              <w:jc w:val="left"/>
              <w:rPr>
                <w:rFonts w:asciiTheme="minorHAnsi" w:hAnsiTheme="minorHAnsi" w:cstheme="minorHAnsi"/>
                <w:b/>
                <w:bCs/>
                <w:szCs w:val="22"/>
                <w:lang w:val="en-US" w:eastAsia="uk-UA"/>
              </w:rPr>
            </w:pPr>
          </w:p>
        </w:tc>
        <w:tc>
          <w:tcPr>
            <w:tcW w:w="3844" w:type="dxa"/>
            <w:vMerge/>
            <w:tcBorders>
              <w:top w:val="nil"/>
              <w:left w:val="single" w:sz="4" w:space="0" w:color="auto"/>
              <w:bottom w:val="single" w:sz="4" w:space="0" w:color="auto"/>
              <w:right w:val="single" w:sz="4" w:space="0" w:color="auto"/>
            </w:tcBorders>
            <w:shd w:val="clear" w:color="auto" w:fill="92D050"/>
            <w:vAlign w:val="center"/>
            <w:hideMark/>
          </w:tcPr>
          <w:p w:rsidR="0087131C" w:rsidRPr="00D13A56" w:rsidRDefault="0087131C" w:rsidP="00C14EEF">
            <w:pPr>
              <w:jc w:val="left"/>
              <w:rPr>
                <w:rFonts w:asciiTheme="minorHAnsi" w:hAnsiTheme="minorHAnsi" w:cstheme="minorHAnsi"/>
                <w:b/>
                <w:bCs/>
                <w:szCs w:val="22"/>
                <w:lang w:val="en-US" w:eastAsia="uk-UA"/>
              </w:rPr>
            </w:pPr>
          </w:p>
        </w:tc>
        <w:tc>
          <w:tcPr>
            <w:tcW w:w="1247" w:type="dxa"/>
            <w:tcBorders>
              <w:top w:val="nil"/>
              <w:left w:val="nil"/>
              <w:right w:val="single" w:sz="4" w:space="0" w:color="auto"/>
            </w:tcBorders>
            <w:shd w:val="clear" w:color="auto" w:fill="92D050"/>
            <w:vAlign w:val="center"/>
            <w:hideMark/>
          </w:tcPr>
          <w:p w:rsidR="0087131C" w:rsidRPr="00D13A56" w:rsidRDefault="0087131C" w:rsidP="00C14EEF">
            <w:pPr>
              <w:jc w:val="center"/>
              <w:rPr>
                <w:rFonts w:asciiTheme="minorHAnsi" w:hAnsiTheme="minorHAnsi" w:cstheme="minorHAnsi"/>
                <w:szCs w:val="22"/>
              </w:rPr>
            </w:pPr>
            <w:r>
              <w:rPr>
                <w:rFonts w:asciiTheme="minorHAnsi" w:hAnsiTheme="minorHAnsi"/>
                <w:szCs w:val="22"/>
              </w:rPr>
              <w:t>Загалом</w:t>
            </w:r>
          </w:p>
          <w:p w:rsidR="0087131C" w:rsidRPr="00D13A56" w:rsidRDefault="0087131C" w:rsidP="0087131C">
            <w:pPr>
              <w:jc w:val="center"/>
              <w:rPr>
                <w:rFonts w:asciiTheme="minorHAnsi" w:hAnsiTheme="minorHAnsi" w:cstheme="minorHAnsi"/>
                <w:szCs w:val="22"/>
              </w:rPr>
            </w:pPr>
            <w:r>
              <w:rPr>
                <w:rFonts w:asciiTheme="minorHAnsi" w:hAnsiTheme="minorHAnsi"/>
                <w:szCs w:val="22"/>
              </w:rPr>
              <w:t>тис. грн</w:t>
            </w:r>
          </w:p>
        </w:tc>
        <w:tc>
          <w:tcPr>
            <w:tcW w:w="1109" w:type="dxa"/>
            <w:tcBorders>
              <w:top w:val="nil"/>
              <w:left w:val="single" w:sz="4" w:space="0" w:color="auto"/>
              <w:bottom w:val="single" w:sz="4" w:space="0" w:color="auto"/>
              <w:right w:val="single" w:sz="4" w:space="0" w:color="auto"/>
            </w:tcBorders>
            <w:shd w:val="clear" w:color="auto" w:fill="92D050"/>
            <w:vAlign w:val="center"/>
            <w:hideMark/>
          </w:tcPr>
          <w:p w:rsidR="0087131C" w:rsidRPr="00D13A56" w:rsidRDefault="0087131C" w:rsidP="00C14EEF">
            <w:pPr>
              <w:jc w:val="center"/>
              <w:rPr>
                <w:rFonts w:asciiTheme="minorHAnsi" w:hAnsiTheme="minorHAnsi" w:cstheme="minorHAnsi"/>
                <w:szCs w:val="22"/>
              </w:rPr>
            </w:pPr>
            <w:r>
              <w:rPr>
                <w:rFonts w:asciiTheme="minorHAnsi" w:hAnsiTheme="minorHAnsi"/>
                <w:szCs w:val="22"/>
              </w:rPr>
              <w:t>грн/м</w:t>
            </w:r>
            <w:r w:rsidRPr="0087131C">
              <w:rPr>
                <w:rFonts w:asciiTheme="minorHAnsi" w:hAnsiTheme="minorHAnsi"/>
                <w:szCs w:val="22"/>
                <w:vertAlign w:val="superscript"/>
              </w:rPr>
              <w:t>3</w:t>
            </w:r>
          </w:p>
        </w:tc>
        <w:tc>
          <w:tcPr>
            <w:tcW w:w="1385" w:type="dxa"/>
            <w:tcBorders>
              <w:top w:val="nil"/>
              <w:left w:val="nil"/>
              <w:right w:val="single" w:sz="4" w:space="0" w:color="auto"/>
            </w:tcBorders>
            <w:shd w:val="clear" w:color="auto" w:fill="92D050"/>
            <w:vAlign w:val="center"/>
            <w:hideMark/>
          </w:tcPr>
          <w:p w:rsidR="0087131C" w:rsidRPr="00D13A56" w:rsidRDefault="0087131C" w:rsidP="00C14EEF">
            <w:pPr>
              <w:jc w:val="center"/>
              <w:rPr>
                <w:rFonts w:asciiTheme="minorHAnsi" w:hAnsiTheme="minorHAnsi" w:cstheme="minorHAnsi"/>
                <w:szCs w:val="22"/>
              </w:rPr>
            </w:pPr>
            <w:r>
              <w:rPr>
                <w:rFonts w:asciiTheme="minorHAnsi" w:hAnsiTheme="minorHAnsi"/>
                <w:szCs w:val="22"/>
              </w:rPr>
              <w:t xml:space="preserve">Загалом, </w:t>
            </w:r>
          </w:p>
          <w:p w:rsidR="0087131C" w:rsidRPr="00D13A56" w:rsidRDefault="0087131C" w:rsidP="0087131C">
            <w:pPr>
              <w:jc w:val="center"/>
              <w:rPr>
                <w:rFonts w:asciiTheme="minorHAnsi" w:hAnsiTheme="minorHAnsi" w:cstheme="minorHAnsi"/>
                <w:szCs w:val="22"/>
              </w:rPr>
            </w:pPr>
            <w:r>
              <w:rPr>
                <w:rFonts w:asciiTheme="minorHAnsi" w:hAnsiTheme="minorHAnsi"/>
                <w:szCs w:val="22"/>
              </w:rPr>
              <w:t>тис. грн</w:t>
            </w:r>
          </w:p>
        </w:tc>
        <w:tc>
          <w:tcPr>
            <w:tcW w:w="1109" w:type="dxa"/>
            <w:tcBorders>
              <w:top w:val="nil"/>
              <w:left w:val="single" w:sz="4" w:space="0" w:color="auto"/>
              <w:bottom w:val="single" w:sz="4" w:space="0" w:color="auto"/>
              <w:right w:val="single" w:sz="4" w:space="0" w:color="auto"/>
            </w:tcBorders>
            <w:shd w:val="clear" w:color="auto" w:fill="92D050"/>
            <w:vAlign w:val="center"/>
            <w:hideMark/>
          </w:tcPr>
          <w:p w:rsidR="0087131C" w:rsidRPr="00D13A56" w:rsidRDefault="0087131C" w:rsidP="00C14EEF">
            <w:pPr>
              <w:jc w:val="center"/>
              <w:rPr>
                <w:rFonts w:asciiTheme="minorHAnsi" w:hAnsiTheme="minorHAnsi" w:cstheme="minorHAnsi"/>
                <w:szCs w:val="22"/>
              </w:rPr>
            </w:pPr>
            <w:r>
              <w:rPr>
                <w:rFonts w:asciiTheme="minorHAnsi" w:hAnsiTheme="minorHAnsi"/>
                <w:szCs w:val="22"/>
              </w:rPr>
              <w:t>грн/м</w:t>
            </w:r>
            <w:r w:rsidRPr="0087131C">
              <w:rPr>
                <w:rFonts w:asciiTheme="minorHAnsi" w:hAnsiTheme="minorHAnsi"/>
                <w:szCs w:val="22"/>
                <w:vertAlign w:val="superscript"/>
              </w:rPr>
              <w:t>3</w:t>
            </w:r>
          </w:p>
        </w:tc>
      </w:tr>
      <w:tr w:rsidR="00D13A56" w:rsidRPr="00D13A56" w:rsidTr="0087131C">
        <w:trPr>
          <w:trHeight w:val="330"/>
        </w:trPr>
        <w:tc>
          <w:tcPr>
            <w:tcW w:w="1066" w:type="dxa"/>
            <w:tcBorders>
              <w:top w:val="nil"/>
              <w:left w:val="single" w:sz="4" w:space="0" w:color="auto"/>
              <w:bottom w:val="single" w:sz="4" w:space="0" w:color="auto"/>
              <w:right w:val="single" w:sz="4" w:space="0" w:color="auto"/>
            </w:tcBorders>
            <w:shd w:val="clear" w:color="auto" w:fill="auto"/>
            <w:vAlign w:val="center"/>
            <w:hideMark/>
          </w:tcPr>
          <w:p w:rsidR="00D13A56" w:rsidRPr="00D13A56" w:rsidRDefault="00D13A56" w:rsidP="00C14EEF">
            <w:pPr>
              <w:jc w:val="center"/>
              <w:rPr>
                <w:rFonts w:asciiTheme="minorHAnsi" w:hAnsiTheme="minorHAnsi" w:cstheme="minorHAnsi"/>
                <w:b/>
                <w:bCs/>
                <w:color w:val="000000"/>
                <w:szCs w:val="22"/>
              </w:rPr>
            </w:pPr>
            <w:r>
              <w:rPr>
                <w:rFonts w:asciiTheme="minorHAnsi" w:hAnsiTheme="minorHAnsi"/>
                <w:b/>
                <w:bCs/>
                <w:color w:val="000000"/>
                <w:szCs w:val="22"/>
              </w:rPr>
              <w:t>1</w:t>
            </w:r>
          </w:p>
        </w:tc>
        <w:tc>
          <w:tcPr>
            <w:tcW w:w="3844"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left"/>
              <w:rPr>
                <w:rFonts w:asciiTheme="minorHAnsi" w:hAnsiTheme="minorHAnsi" w:cstheme="minorHAnsi"/>
                <w:b/>
                <w:bCs/>
                <w:color w:val="000000"/>
                <w:szCs w:val="22"/>
              </w:rPr>
            </w:pPr>
            <w:r>
              <w:rPr>
                <w:rFonts w:asciiTheme="minorHAnsi" w:hAnsiTheme="minorHAnsi"/>
                <w:b/>
                <w:bCs/>
                <w:color w:val="000000"/>
                <w:szCs w:val="22"/>
              </w:rPr>
              <w:t>Виробничі витрати, включно:</w:t>
            </w:r>
          </w:p>
        </w:tc>
        <w:tc>
          <w:tcPr>
            <w:tcW w:w="1247"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87131C">
            <w:pPr>
              <w:ind w:left="-60"/>
              <w:jc w:val="right"/>
              <w:rPr>
                <w:rFonts w:asciiTheme="minorHAnsi" w:hAnsiTheme="minorHAnsi" w:cstheme="minorHAnsi"/>
                <w:b/>
                <w:bCs/>
                <w:color w:val="000000"/>
                <w:szCs w:val="22"/>
              </w:rPr>
            </w:pPr>
            <w:r>
              <w:rPr>
                <w:rFonts w:asciiTheme="minorHAnsi" w:hAnsiTheme="minorHAnsi"/>
                <w:b/>
                <w:bCs/>
                <w:color w:val="000000"/>
                <w:szCs w:val="22"/>
              </w:rPr>
              <w:t>66951,433</w:t>
            </w:r>
          </w:p>
        </w:tc>
        <w:tc>
          <w:tcPr>
            <w:tcW w:w="1109"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right"/>
              <w:rPr>
                <w:rFonts w:asciiTheme="minorHAnsi" w:hAnsiTheme="minorHAnsi" w:cstheme="minorHAnsi"/>
                <w:b/>
                <w:bCs/>
                <w:color w:val="000000"/>
                <w:szCs w:val="22"/>
              </w:rPr>
            </w:pPr>
            <w:r>
              <w:rPr>
                <w:rFonts w:asciiTheme="minorHAnsi" w:hAnsiTheme="minorHAnsi"/>
                <w:b/>
                <w:bCs/>
                <w:color w:val="000000"/>
                <w:szCs w:val="22"/>
              </w:rPr>
              <w:t>5,8839</w:t>
            </w:r>
          </w:p>
        </w:tc>
        <w:tc>
          <w:tcPr>
            <w:tcW w:w="1385"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Theme="minorHAnsi" w:hAnsiTheme="minorHAnsi" w:cstheme="minorHAnsi"/>
                <w:b/>
                <w:bCs/>
                <w:color w:val="000000"/>
                <w:szCs w:val="22"/>
              </w:rPr>
            </w:pPr>
            <w:r>
              <w:rPr>
                <w:rFonts w:asciiTheme="minorHAnsi" w:hAnsiTheme="minorHAnsi"/>
                <w:b/>
                <w:bCs/>
                <w:color w:val="000000"/>
                <w:szCs w:val="22"/>
              </w:rPr>
              <w:t>72295,745</w:t>
            </w:r>
          </w:p>
        </w:tc>
        <w:tc>
          <w:tcPr>
            <w:tcW w:w="1109"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Theme="minorHAnsi" w:hAnsiTheme="minorHAnsi" w:cstheme="minorHAnsi"/>
                <w:b/>
                <w:bCs/>
                <w:color w:val="000000"/>
                <w:szCs w:val="22"/>
              </w:rPr>
            </w:pPr>
            <w:r>
              <w:rPr>
                <w:rFonts w:asciiTheme="minorHAnsi" w:hAnsiTheme="minorHAnsi"/>
                <w:b/>
                <w:bCs/>
                <w:color w:val="000000"/>
                <w:szCs w:val="22"/>
              </w:rPr>
              <w:t>6,4017</w:t>
            </w:r>
          </w:p>
        </w:tc>
      </w:tr>
      <w:tr w:rsidR="00D13A56" w:rsidRPr="00D13A56" w:rsidTr="0087131C">
        <w:trPr>
          <w:trHeight w:val="300"/>
        </w:trPr>
        <w:tc>
          <w:tcPr>
            <w:tcW w:w="1066" w:type="dxa"/>
            <w:tcBorders>
              <w:top w:val="nil"/>
              <w:left w:val="single" w:sz="4" w:space="0" w:color="auto"/>
              <w:bottom w:val="single" w:sz="4" w:space="0" w:color="auto"/>
              <w:right w:val="single" w:sz="4" w:space="0" w:color="auto"/>
            </w:tcBorders>
            <w:shd w:val="clear" w:color="auto" w:fill="auto"/>
            <w:vAlign w:val="center"/>
            <w:hideMark/>
          </w:tcPr>
          <w:p w:rsidR="00D13A56" w:rsidRPr="00D13A56" w:rsidRDefault="00D13A56" w:rsidP="00C14EEF">
            <w:pPr>
              <w:jc w:val="center"/>
              <w:rPr>
                <w:rFonts w:asciiTheme="minorHAnsi" w:hAnsiTheme="minorHAnsi" w:cstheme="minorHAnsi"/>
                <w:color w:val="000000"/>
                <w:szCs w:val="22"/>
              </w:rPr>
            </w:pPr>
            <w:r>
              <w:rPr>
                <w:rFonts w:asciiTheme="minorHAnsi" w:hAnsiTheme="minorHAnsi"/>
                <w:color w:val="000000"/>
                <w:szCs w:val="22"/>
              </w:rPr>
              <w:t>1.1.</w:t>
            </w:r>
          </w:p>
        </w:tc>
        <w:tc>
          <w:tcPr>
            <w:tcW w:w="3844"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left"/>
              <w:rPr>
                <w:rFonts w:asciiTheme="minorHAnsi" w:hAnsiTheme="minorHAnsi" w:cstheme="minorHAnsi"/>
                <w:b/>
                <w:bCs/>
                <w:color w:val="000000"/>
                <w:szCs w:val="22"/>
              </w:rPr>
            </w:pPr>
            <w:r>
              <w:rPr>
                <w:rFonts w:asciiTheme="minorHAnsi" w:hAnsiTheme="minorHAnsi"/>
                <w:b/>
                <w:bCs/>
                <w:color w:val="000000"/>
                <w:szCs w:val="22"/>
              </w:rPr>
              <w:t>Прямі матеріальні витрати</w:t>
            </w:r>
          </w:p>
        </w:tc>
        <w:tc>
          <w:tcPr>
            <w:tcW w:w="1247"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87131C">
            <w:pPr>
              <w:ind w:left="-60"/>
              <w:jc w:val="right"/>
              <w:rPr>
                <w:rFonts w:asciiTheme="minorHAnsi" w:hAnsiTheme="minorHAnsi" w:cstheme="minorHAnsi"/>
                <w:b/>
                <w:bCs/>
                <w:color w:val="000000"/>
                <w:szCs w:val="22"/>
              </w:rPr>
            </w:pPr>
            <w:r>
              <w:rPr>
                <w:rFonts w:asciiTheme="minorHAnsi" w:hAnsiTheme="minorHAnsi"/>
                <w:b/>
                <w:bCs/>
                <w:color w:val="000000"/>
                <w:szCs w:val="22"/>
              </w:rPr>
              <w:t>20647,012</w:t>
            </w:r>
          </w:p>
        </w:tc>
        <w:tc>
          <w:tcPr>
            <w:tcW w:w="1109"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right"/>
              <w:rPr>
                <w:rFonts w:asciiTheme="minorHAnsi" w:hAnsiTheme="minorHAnsi" w:cstheme="minorHAnsi"/>
                <w:b/>
                <w:bCs/>
                <w:color w:val="000000"/>
                <w:szCs w:val="22"/>
              </w:rPr>
            </w:pPr>
            <w:r>
              <w:rPr>
                <w:rFonts w:asciiTheme="minorHAnsi" w:hAnsiTheme="minorHAnsi"/>
                <w:b/>
                <w:bCs/>
                <w:color w:val="000000"/>
                <w:szCs w:val="22"/>
              </w:rPr>
              <w:t>1,8145</w:t>
            </w:r>
          </w:p>
        </w:tc>
        <w:tc>
          <w:tcPr>
            <w:tcW w:w="1385"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Theme="minorHAnsi" w:hAnsiTheme="minorHAnsi" w:cstheme="minorHAnsi"/>
                <w:b/>
                <w:bCs/>
                <w:color w:val="000000"/>
                <w:szCs w:val="22"/>
              </w:rPr>
            </w:pPr>
            <w:r>
              <w:rPr>
                <w:rFonts w:asciiTheme="minorHAnsi" w:hAnsiTheme="minorHAnsi"/>
                <w:b/>
                <w:bCs/>
                <w:color w:val="000000"/>
                <w:szCs w:val="22"/>
              </w:rPr>
              <w:t>23798,625</w:t>
            </w:r>
          </w:p>
        </w:tc>
        <w:tc>
          <w:tcPr>
            <w:tcW w:w="1109"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Theme="minorHAnsi" w:hAnsiTheme="minorHAnsi" w:cstheme="minorHAnsi"/>
                <w:b/>
                <w:bCs/>
                <w:color w:val="000000"/>
                <w:szCs w:val="22"/>
              </w:rPr>
            </w:pPr>
            <w:r>
              <w:rPr>
                <w:rFonts w:asciiTheme="minorHAnsi" w:hAnsiTheme="minorHAnsi"/>
                <w:b/>
                <w:bCs/>
                <w:color w:val="000000"/>
                <w:szCs w:val="22"/>
              </w:rPr>
              <w:t>2,1073</w:t>
            </w:r>
          </w:p>
        </w:tc>
      </w:tr>
      <w:tr w:rsidR="00D13A56" w:rsidRPr="00D13A56" w:rsidTr="0087131C">
        <w:trPr>
          <w:trHeight w:val="300"/>
        </w:trPr>
        <w:tc>
          <w:tcPr>
            <w:tcW w:w="1066" w:type="dxa"/>
            <w:tcBorders>
              <w:top w:val="nil"/>
              <w:left w:val="single" w:sz="4" w:space="0" w:color="auto"/>
              <w:bottom w:val="single" w:sz="4" w:space="0" w:color="auto"/>
              <w:right w:val="single" w:sz="4" w:space="0" w:color="auto"/>
            </w:tcBorders>
            <w:shd w:val="clear" w:color="auto" w:fill="auto"/>
            <w:vAlign w:val="center"/>
            <w:hideMark/>
          </w:tcPr>
          <w:p w:rsidR="00D13A56" w:rsidRPr="00D13A56" w:rsidRDefault="00D13A56" w:rsidP="00C14EEF">
            <w:pPr>
              <w:jc w:val="center"/>
              <w:rPr>
                <w:rFonts w:asciiTheme="minorHAnsi" w:hAnsiTheme="minorHAnsi" w:cstheme="minorHAnsi"/>
                <w:color w:val="000000"/>
                <w:szCs w:val="22"/>
              </w:rPr>
            </w:pPr>
            <w:r>
              <w:rPr>
                <w:rFonts w:asciiTheme="minorHAnsi" w:hAnsiTheme="minorHAnsi"/>
                <w:color w:val="000000"/>
                <w:szCs w:val="22"/>
              </w:rPr>
              <w:t>1.1.1</w:t>
            </w:r>
          </w:p>
        </w:tc>
        <w:tc>
          <w:tcPr>
            <w:tcW w:w="3844"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left"/>
              <w:rPr>
                <w:rFonts w:asciiTheme="minorHAnsi" w:hAnsiTheme="minorHAnsi" w:cstheme="minorHAnsi"/>
                <w:color w:val="000000"/>
                <w:szCs w:val="22"/>
              </w:rPr>
            </w:pPr>
            <w:r>
              <w:rPr>
                <w:rFonts w:asciiTheme="minorHAnsi" w:hAnsiTheme="minorHAnsi"/>
                <w:color w:val="000000"/>
                <w:szCs w:val="22"/>
              </w:rPr>
              <w:t>Електроенергія</w:t>
            </w:r>
          </w:p>
        </w:tc>
        <w:tc>
          <w:tcPr>
            <w:tcW w:w="1247"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87131C">
            <w:pPr>
              <w:ind w:left="-60"/>
              <w:jc w:val="right"/>
              <w:rPr>
                <w:rFonts w:asciiTheme="minorHAnsi" w:hAnsiTheme="minorHAnsi" w:cstheme="minorHAnsi"/>
                <w:color w:val="000000"/>
                <w:szCs w:val="22"/>
              </w:rPr>
            </w:pPr>
            <w:r>
              <w:rPr>
                <w:rFonts w:asciiTheme="minorHAnsi" w:hAnsiTheme="minorHAnsi"/>
                <w:color w:val="000000"/>
                <w:szCs w:val="22"/>
              </w:rPr>
              <w:t>20165,957</w:t>
            </w:r>
          </w:p>
        </w:tc>
        <w:tc>
          <w:tcPr>
            <w:tcW w:w="1109"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1,7723</w:t>
            </w:r>
          </w:p>
        </w:tc>
        <w:tc>
          <w:tcPr>
            <w:tcW w:w="1385"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23798,625</w:t>
            </w:r>
          </w:p>
        </w:tc>
        <w:tc>
          <w:tcPr>
            <w:tcW w:w="1109"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2,1073</w:t>
            </w:r>
          </w:p>
        </w:tc>
      </w:tr>
      <w:tr w:rsidR="00D13A56" w:rsidRPr="00D13A56" w:rsidTr="0087131C">
        <w:trPr>
          <w:trHeight w:val="750"/>
        </w:trPr>
        <w:tc>
          <w:tcPr>
            <w:tcW w:w="1066" w:type="dxa"/>
            <w:tcBorders>
              <w:top w:val="nil"/>
              <w:left w:val="single" w:sz="4" w:space="0" w:color="auto"/>
              <w:bottom w:val="single" w:sz="4" w:space="0" w:color="auto"/>
              <w:right w:val="single" w:sz="4" w:space="0" w:color="auto"/>
            </w:tcBorders>
            <w:shd w:val="clear" w:color="auto" w:fill="auto"/>
            <w:vAlign w:val="center"/>
            <w:hideMark/>
          </w:tcPr>
          <w:p w:rsidR="00D13A56" w:rsidRPr="00D13A56" w:rsidRDefault="00D13A56" w:rsidP="00C14EEF">
            <w:pPr>
              <w:jc w:val="center"/>
              <w:rPr>
                <w:rFonts w:asciiTheme="minorHAnsi" w:hAnsiTheme="minorHAnsi" w:cstheme="minorHAnsi"/>
                <w:color w:val="000000"/>
                <w:szCs w:val="22"/>
              </w:rPr>
            </w:pPr>
            <w:r>
              <w:rPr>
                <w:rFonts w:asciiTheme="minorHAnsi" w:hAnsiTheme="minorHAnsi"/>
                <w:color w:val="000000"/>
                <w:szCs w:val="22"/>
              </w:rPr>
              <w:t>2.1.1</w:t>
            </w:r>
          </w:p>
        </w:tc>
        <w:tc>
          <w:tcPr>
            <w:tcW w:w="3844"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left"/>
              <w:rPr>
                <w:rFonts w:asciiTheme="minorHAnsi" w:hAnsiTheme="minorHAnsi" w:cstheme="minorHAnsi"/>
                <w:color w:val="000000"/>
                <w:szCs w:val="22"/>
              </w:rPr>
            </w:pPr>
            <w:r>
              <w:rPr>
                <w:rFonts w:asciiTheme="minorHAnsi" w:hAnsiTheme="minorHAnsi"/>
                <w:color w:val="000000"/>
                <w:szCs w:val="22"/>
              </w:rPr>
              <w:t xml:space="preserve">Витрати на </w:t>
            </w:r>
            <w:proofErr w:type="spellStart"/>
            <w:r>
              <w:rPr>
                <w:rFonts w:asciiTheme="minorHAnsi" w:hAnsiTheme="minorHAnsi"/>
                <w:color w:val="000000"/>
                <w:szCs w:val="22"/>
              </w:rPr>
              <w:t>водопідготовку</w:t>
            </w:r>
            <w:proofErr w:type="spellEnd"/>
            <w:r>
              <w:rPr>
                <w:rFonts w:asciiTheme="minorHAnsi" w:hAnsiTheme="minorHAnsi"/>
                <w:color w:val="000000"/>
                <w:szCs w:val="22"/>
              </w:rPr>
              <w:t xml:space="preserve"> /водовідведення силами інших підприємств</w:t>
            </w:r>
          </w:p>
        </w:tc>
        <w:tc>
          <w:tcPr>
            <w:tcW w:w="1247"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0 000</w:t>
            </w:r>
          </w:p>
        </w:tc>
        <w:tc>
          <w:tcPr>
            <w:tcW w:w="1109"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0,0000</w:t>
            </w:r>
          </w:p>
        </w:tc>
        <w:tc>
          <w:tcPr>
            <w:tcW w:w="1385"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0 000</w:t>
            </w:r>
          </w:p>
        </w:tc>
        <w:tc>
          <w:tcPr>
            <w:tcW w:w="1109"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0,0000</w:t>
            </w:r>
          </w:p>
        </w:tc>
      </w:tr>
      <w:tr w:rsidR="00D13A56" w:rsidRPr="00D13A56" w:rsidTr="0087131C">
        <w:trPr>
          <w:trHeight w:val="300"/>
        </w:trPr>
        <w:tc>
          <w:tcPr>
            <w:tcW w:w="1066" w:type="dxa"/>
            <w:tcBorders>
              <w:top w:val="nil"/>
              <w:left w:val="single" w:sz="4" w:space="0" w:color="auto"/>
              <w:bottom w:val="single" w:sz="4" w:space="0" w:color="auto"/>
              <w:right w:val="single" w:sz="4" w:space="0" w:color="auto"/>
            </w:tcBorders>
            <w:shd w:val="clear" w:color="auto" w:fill="auto"/>
            <w:vAlign w:val="center"/>
            <w:hideMark/>
          </w:tcPr>
          <w:p w:rsidR="00D13A56" w:rsidRPr="00D13A56" w:rsidRDefault="00D13A56" w:rsidP="00C14EEF">
            <w:pPr>
              <w:jc w:val="center"/>
              <w:rPr>
                <w:rFonts w:asciiTheme="minorHAnsi" w:hAnsiTheme="minorHAnsi" w:cstheme="minorHAnsi"/>
                <w:color w:val="000000"/>
                <w:szCs w:val="22"/>
              </w:rPr>
            </w:pPr>
            <w:r>
              <w:rPr>
                <w:rFonts w:asciiTheme="minorHAnsi" w:hAnsiTheme="minorHAnsi"/>
                <w:color w:val="000000"/>
                <w:szCs w:val="22"/>
              </w:rPr>
              <w:t>3.1.1</w:t>
            </w:r>
          </w:p>
        </w:tc>
        <w:tc>
          <w:tcPr>
            <w:tcW w:w="3844"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left"/>
              <w:rPr>
                <w:rFonts w:asciiTheme="minorHAnsi" w:hAnsiTheme="minorHAnsi" w:cstheme="minorHAnsi"/>
                <w:color w:val="000000"/>
                <w:szCs w:val="22"/>
              </w:rPr>
            </w:pPr>
            <w:r>
              <w:rPr>
                <w:rFonts w:asciiTheme="minorHAnsi" w:hAnsiTheme="minorHAnsi"/>
                <w:color w:val="000000"/>
                <w:szCs w:val="22"/>
              </w:rPr>
              <w:t>Реагенти</w:t>
            </w:r>
          </w:p>
        </w:tc>
        <w:tc>
          <w:tcPr>
            <w:tcW w:w="1247"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403 833</w:t>
            </w:r>
          </w:p>
        </w:tc>
        <w:tc>
          <w:tcPr>
            <w:tcW w:w="1109"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0,0355</w:t>
            </w:r>
          </w:p>
        </w:tc>
        <w:tc>
          <w:tcPr>
            <w:tcW w:w="1385"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0 000</w:t>
            </w:r>
          </w:p>
        </w:tc>
        <w:tc>
          <w:tcPr>
            <w:tcW w:w="1109"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0,0000</w:t>
            </w:r>
          </w:p>
        </w:tc>
      </w:tr>
      <w:tr w:rsidR="00D13A56" w:rsidRPr="00D13A56" w:rsidTr="0087131C">
        <w:trPr>
          <w:trHeight w:val="480"/>
        </w:trPr>
        <w:tc>
          <w:tcPr>
            <w:tcW w:w="1066" w:type="dxa"/>
            <w:tcBorders>
              <w:top w:val="nil"/>
              <w:left w:val="single" w:sz="4" w:space="0" w:color="auto"/>
              <w:bottom w:val="single" w:sz="4" w:space="0" w:color="auto"/>
              <w:right w:val="single" w:sz="4" w:space="0" w:color="auto"/>
            </w:tcBorders>
            <w:shd w:val="clear" w:color="auto" w:fill="auto"/>
            <w:vAlign w:val="center"/>
            <w:hideMark/>
          </w:tcPr>
          <w:p w:rsidR="00D13A56" w:rsidRPr="00D13A56" w:rsidRDefault="00D13A56" w:rsidP="00C14EEF">
            <w:pPr>
              <w:jc w:val="center"/>
              <w:rPr>
                <w:rFonts w:asciiTheme="minorHAnsi" w:hAnsiTheme="minorHAnsi" w:cstheme="minorHAnsi"/>
                <w:color w:val="000000"/>
                <w:szCs w:val="22"/>
              </w:rPr>
            </w:pPr>
            <w:r>
              <w:rPr>
                <w:rFonts w:asciiTheme="minorHAnsi" w:hAnsiTheme="minorHAnsi"/>
                <w:color w:val="000000"/>
                <w:szCs w:val="22"/>
              </w:rPr>
              <w:t>4.1.1</w:t>
            </w:r>
          </w:p>
        </w:tc>
        <w:tc>
          <w:tcPr>
            <w:tcW w:w="3844"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left"/>
              <w:rPr>
                <w:rFonts w:asciiTheme="minorHAnsi" w:hAnsiTheme="minorHAnsi" w:cstheme="minorHAnsi"/>
                <w:color w:val="000000"/>
                <w:szCs w:val="22"/>
              </w:rPr>
            </w:pPr>
            <w:r>
              <w:rPr>
                <w:rFonts w:asciiTheme="minorHAnsi" w:hAnsiTheme="minorHAnsi"/>
                <w:color w:val="000000"/>
                <w:szCs w:val="22"/>
              </w:rPr>
              <w:t>Інші прямі матеріальні витрати (ремонт)</w:t>
            </w:r>
          </w:p>
        </w:tc>
        <w:tc>
          <w:tcPr>
            <w:tcW w:w="1247"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77 223</w:t>
            </w:r>
          </w:p>
        </w:tc>
        <w:tc>
          <w:tcPr>
            <w:tcW w:w="1109"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0,0068</w:t>
            </w:r>
          </w:p>
        </w:tc>
        <w:tc>
          <w:tcPr>
            <w:tcW w:w="1385"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0 000</w:t>
            </w:r>
          </w:p>
        </w:tc>
        <w:tc>
          <w:tcPr>
            <w:tcW w:w="1109"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0,0000</w:t>
            </w:r>
          </w:p>
        </w:tc>
      </w:tr>
      <w:tr w:rsidR="00D13A56" w:rsidRPr="00D13A56" w:rsidTr="0087131C">
        <w:trPr>
          <w:trHeight w:val="300"/>
        </w:trPr>
        <w:tc>
          <w:tcPr>
            <w:tcW w:w="1066" w:type="dxa"/>
            <w:tcBorders>
              <w:top w:val="nil"/>
              <w:left w:val="single" w:sz="4" w:space="0" w:color="auto"/>
              <w:bottom w:val="single" w:sz="4" w:space="0" w:color="auto"/>
              <w:right w:val="single" w:sz="4" w:space="0" w:color="auto"/>
            </w:tcBorders>
            <w:shd w:val="clear" w:color="auto" w:fill="auto"/>
            <w:vAlign w:val="center"/>
            <w:hideMark/>
          </w:tcPr>
          <w:p w:rsidR="00D13A56" w:rsidRPr="00D13A56" w:rsidRDefault="00D13A56" w:rsidP="00C14EEF">
            <w:pPr>
              <w:jc w:val="center"/>
              <w:rPr>
                <w:rFonts w:asciiTheme="minorHAnsi" w:hAnsiTheme="minorHAnsi" w:cstheme="minorHAnsi"/>
                <w:b/>
                <w:bCs/>
                <w:color w:val="000000"/>
                <w:szCs w:val="22"/>
              </w:rPr>
            </w:pPr>
            <w:r>
              <w:rPr>
                <w:rFonts w:asciiTheme="minorHAnsi" w:hAnsiTheme="minorHAnsi"/>
                <w:b/>
                <w:bCs/>
                <w:color w:val="000000"/>
                <w:szCs w:val="22"/>
              </w:rPr>
              <w:t>1.2.</w:t>
            </w:r>
          </w:p>
        </w:tc>
        <w:tc>
          <w:tcPr>
            <w:tcW w:w="3844"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left"/>
              <w:rPr>
                <w:rFonts w:asciiTheme="minorHAnsi" w:hAnsiTheme="minorHAnsi" w:cstheme="minorHAnsi"/>
                <w:b/>
                <w:bCs/>
                <w:color w:val="000000"/>
                <w:szCs w:val="22"/>
              </w:rPr>
            </w:pPr>
            <w:r>
              <w:rPr>
                <w:rFonts w:asciiTheme="minorHAnsi" w:hAnsiTheme="minorHAnsi"/>
                <w:b/>
                <w:bCs/>
                <w:color w:val="000000"/>
                <w:szCs w:val="22"/>
              </w:rPr>
              <w:t>Прямі витрати на оплату праці</w:t>
            </w:r>
          </w:p>
        </w:tc>
        <w:tc>
          <w:tcPr>
            <w:tcW w:w="1247"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right"/>
              <w:rPr>
                <w:rFonts w:asciiTheme="minorHAnsi" w:hAnsiTheme="minorHAnsi" w:cstheme="minorHAnsi"/>
                <w:b/>
                <w:bCs/>
                <w:color w:val="000000"/>
                <w:szCs w:val="22"/>
              </w:rPr>
            </w:pPr>
            <w:r>
              <w:rPr>
                <w:rFonts w:asciiTheme="minorHAnsi" w:hAnsiTheme="minorHAnsi"/>
                <w:b/>
                <w:bCs/>
                <w:color w:val="000000"/>
                <w:szCs w:val="22"/>
              </w:rPr>
              <w:t>9378,276</w:t>
            </w:r>
          </w:p>
        </w:tc>
        <w:tc>
          <w:tcPr>
            <w:tcW w:w="1109"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right"/>
              <w:rPr>
                <w:rFonts w:asciiTheme="minorHAnsi" w:hAnsiTheme="minorHAnsi" w:cstheme="minorHAnsi"/>
                <w:b/>
                <w:bCs/>
                <w:color w:val="000000"/>
                <w:szCs w:val="22"/>
              </w:rPr>
            </w:pPr>
            <w:r>
              <w:rPr>
                <w:rFonts w:asciiTheme="minorHAnsi" w:hAnsiTheme="minorHAnsi"/>
                <w:b/>
                <w:bCs/>
                <w:color w:val="000000"/>
                <w:szCs w:val="22"/>
              </w:rPr>
              <w:t>0,8242</w:t>
            </w:r>
          </w:p>
        </w:tc>
        <w:tc>
          <w:tcPr>
            <w:tcW w:w="1385"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Theme="minorHAnsi" w:hAnsiTheme="minorHAnsi" w:cstheme="minorHAnsi"/>
                <w:b/>
                <w:bCs/>
                <w:color w:val="000000"/>
                <w:szCs w:val="22"/>
              </w:rPr>
            </w:pPr>
            <w:r>
              <w:rPr>
                <w:rFonts w:asciiTheme="minorHAnsi" w:hAnsiTheme="minorHAnsi"/>
                <w:b/>
                <w:bCs/>
                <w:color w:val="000000"/>
                <w:szCs w:val="22"/>
              </w:rPr>
              <w:t>15598,537</w:t>
            </w:r>
          </w:p>
        </w:tc>
        <w:tc>
          <w:tcPr>
            <w:tcW w:w="1109"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Theme="minorHAnsi" w:hAnsiTheme="minorHAnsi" w:cstheme="minorHAnsi"/>
                <w:b/>
                <w:bCs/>
                <w:color w:val="000000"/>
                <w:szCs w:val="22"/>
              </w:rPr>
            </w:pPr>
            <w:r>
              <w:rPr>
                <w:rFonts w:asciiTheme="minorHAnsi" w:hAnsiTheme="minorHAnsi"/>
                <w:b/>
                <w:bCs/>
                <w:color w:val="000000"/>
                <w:szCs w:val="22"/>
              </w:rPr>
              <w:t>1,3812</w:t>
            </w:r>
          </w:p>
        </w:tc>
      </w:tr>
      <w:tr w:rsidR="00D13A56" w:rsidRPr="00D13A56" w:rsidTr="0087131C">
        <w:trPr>
          <w:trHeight w:val="300"/>
        </w:trPr>
        <w:tc>
          <w:tcPr>
            <w:tcW w:w="1066" w:type="dxa"/>
            <w:tcBorders>
              <w:top w:val="nil"/>
              <w:left w:val="single" w:sz="4" w:space="0" w:color="auto"/>
              <w:bottom w:val="single" w:sz="4" w:space="0" w:color="auto"/>
              <w:right w:val="single" w:sz="4" w:space="0" w:color="auto"/>
            </w:tcBorders>
            <w:shd w:val="clear" w:color="auto" w:fill="auto"/>
            <w:vAlign w:val="center"/>
            <w:hideMark/>
          </w:tcPr>
          <w:p w:rsidR="00D13A56" w:rsidRPr="00D13A56" w:rsidRDefault="00D13A56" w:rsidP="00C14EEF">
            <w:pPr>
              <w:jc w:val="center"/>
              <w:rPr>
                <w:rFonts w:asciiTheme="minorHAnsi" w:hAnsiTheme="minorHAnsi" w:cstheme="minorHAnsi"/>
                <w:b/>
                <w:bCs/>
                <w:color w:val="000000"/>
                <w:szCs w:val="22"/>
              </w:rPr>
            </w:pPr>
            <w:r>
              <w:rPr>
                <w:rFonts w:asciiTheme="minorHAnsi" w:hAnsiTheme="minorHAnsi"/>
                <w:b/>
                <w:bCs/>
                <w:color w:val="000000"/>
                <w:szCs w:val="22"/>
              </w:rPr>
              <w:t>1.3.</w:t>
            </w:r>
          </w:p>
        </w:tc>
        <w:tc>
          <w:tcPr>
            <w:tcW w:w="3844"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left"/>
              <w:rPr>
                <w:rFonts w:asciiTheme="minorHAnsi" w:hAnsiTheme="minorHAnsi" w:cstheme="minorHAnsi"/>
                <w:b/>
                <w:bCs/>
                <w:color w:val="000000"/>
                <w:szCs w:val="22"/>
              </w:rPr>
            </w:pPr>
            <w:r>
              <w:rPr>
                <w:rFonts w:asciiTheme="minorHAnsi" w:hAnsiTheme="minorHAnsi"/>
                <w:b/>
                <w:bCs/>
                <w:color w:val="000000"/>
                <w:szCs w:val="22"/>
              </w:rPr>
              <w:t>Інші прямі витрати, включно:</w:t>
            </w:r>
          </w:p>
        </w:tc>
        <w:tc>
          <w:tcPr>
            <w:tcW w:w="1247"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87131C">
            <w:pPr>
              <w:ind w:left="-202"/>
              <w:jc w:val="right"/>
              <w:rPr>
                <w:rFonts w:asciiTheme="minorHAnsi" w:hAnsiTheme="minorHAnsi" w:cstheme="minorHAnsi"/>
                <w:b/>
                <w:bCs/>
                <w:color w:val="000000"/>
                <w:szCs w:val="22"/>
              </w:rPr>
            </w:pPr>
            <w:r>
              <w:rPr>
                <w:rFonts w:asciiTheme="minorHAnsi" w:hAnsiTheme="minorHAnsi"/>
                <w:b/>
                <w:bCs/>
                <w:color w:val="000000"/>
                <w:szCs w:val="22"/>
              </w:rPr>
              <w:t>12062,536</w:t>
            </w:r>
          </w:p>
        </w:tc>
        <w:tc>
          <w:tcPr>
            <w:tcW w:w="1109"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right"/>
              <w:rPr>
                <w:rFonts w:asciiTheme="minorHAnsi" w:hAnsiTheme="minorHAnsi" w:cstheme="minorHAnsi"/>
                <w:b/>
                <w:bCs/>
                <w:color w:val="000000"/>
                <w:szCs w:val="22"/>
              </w:rPr>
            </w:pPr>
            <w:r>
              <w:rPr>
                <w:rFonts w:asciiTheme="minorHAnsi" w:hAnsiTheme="minorHAnsi"/>
                <w:b/>
                <w:bCs/>
                <w:color w:val="000000"/>
                <w:szCs w:val="22"/>
              </w:rPr>
              <w:t>1,0601</w:t>
            </w:r>
          </w:p>
        </w:tc>
        <w:tc>
          <w:tcPr>
            <w:tcW w:w="1385"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Theme="minorHAnsi" w:hAnsiTheme="minorHAnsi" w:cstheme="minorHAnsi"/>
                <w:b/>
                <w:bCs/>
                <w:color w:val="000000"/>
                <w:szCs w:val="22"/>
              </w:rPr>
            </w:pPr>
            <w:r>
              <w:rPr>
                <w:rFonts w:asciiTheme="minorHAnsi" w:hAnsiTheme="minorHAnsi"/>
                <w:b/>
                <w:bCs/>
                <w:color w:val="000000"/>
                <w:szCs w:val="22"/>
              </w:rPr>
              <w:t>8564,151</w:t>
            </w:r>
          </w:p>
        </w:tc>
        <w:tc>
          <w:tcPr>
            <w:tcW w:w="1109"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Theme="minorHAnsi" w:hAnsiTheme="minorHAnsi" w:cstheme="minorHAnsi"/>
                <w:b/>
                <w:bCs/>
                <w:color w:val="000000"/>
                <w:szCs w:val="22"/>
              </w:rPr>
            </w:pPr>
            <w:r>
              <w:rPr>
                <w:rFonts w:asciiTheme="minorHAnsi" w:hAnsiTheme="minorHAnsi"/>
                <w:b/>
                <w:bCs/>
                <w:color w:val="000000"/>
                <w:szCs w:val="22"/>
              </w:rPr>
              <w:t>0,7583</w:t>
            </w:r>
          </w:p>
        </w:tc>
      </w:tr>
      <w:tr w:rsidR="00D13A56" w:rsidRPr="00D13A56" w:rsidTr="0087131C">
        <w:trPr>
          <w:trHeight w:val="345"/>
        </w:trPr>
        <w:tc>
          <w:tcPr>
            <w:tcW w:w="1066" w:type="dxa"/>
            <w:tcBorders>
              <w:top w:val="nil"/>
              <w:left w:val="single" w:sz="4" w:space="0" w:color="auto"/>
              <w:bottom w:val="single" w:sz="4" w:space="0" w:color="auto"/>
              <w:right w:val="single" w:sz="4" w:space="0" w:color="auto"/>
            </w:tcBorders>
            <w:shd w:val="clear" w:color="auto" w:fill="auto"/>
            <w:vAlign w:val="center"/>
            <w:hideMark/>
          </w:tcPr>
          <w:p w:rsidR="00D13A56" w:rsidRPr="00D13A56" w:rsidRDefault="00D13A56" w:rsidP="00C14EEF">
            <w:pPr>
              <w:jc w:val="center"/>
              <w:rPr>
                <w:rFonts w:asciiTheme="minorHAnsi" w:hAnsiTheme="minorHAnsi" w:cstheme="minorHAnsi"/>
                <w:color w:val="000000"/>
                <w:szCs w:val="22"/>
              </w:rPr>
            </w:pPr>
            <w:r>
              <w:rPr>
                <w:rFonts w:asciiTheme="minorHAnsi" w:hAnsiTheme="minorHAnsi"/>
                <w:color w:val="000000"/>
                <w:szCs w:val="22"/>
              </w:rPr>
              <w:t>1.3.1</w:t>
            </w:r>
          </w:p>
        </w:tc>
        <w:tc>
          <w:tcPr>
            <w:tcW w:w="3844"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left"/>
              <w:rPr>
                <w:rFonts w:asciiTheme="minorHAnsi" w:hAnsiTheme="minorHAnsi" w:cstheme="minorHAnsi"/>
                <w:color w:val="000000"/>
                <w:szCs w:val="22"/>
              </w:rPr>
            </w:pPr>
            <w:r>
              <w:rPr>
                <w:rFonts w:asciiTheme="minorHAnsi" w:hAnsiTheme="minorHAnsi"/>
                <w:color w:val="000000"/>
                <w:szCs w:val="22"/>
              </w:rPr>
              <w:t>Соціальне страхування працівників</w:t>
            </w:r>
          </w:p>
        </w:tc>
        <w:tc>
          <w:tcPr>
            <w:tcW w:w="1247"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2063,221</w:t>
            </w:r>
          </w:p>
        </w:tc>
        <w:tc>
          <w:tcPr>
            <w:tcW w:w="1109"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0,1813</w:t>
            </w:r>
          </w:p>
        </w:tc>
        <w:tc>
          <w:tcPr>
            <w:tcW w:w="1385"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3431,678</w:t>
            </w:r>
          </w:p>
        </w:tc>
        <w:tc>
          <w:tcPr>
            <w:tcW w:w="1109"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0,3039</w:t>
            </w:r>
          </w:p>
        </w:tc>
      </w:tr>
      <w:tr w:rsidR="00D13A56" w:rsidRPr="00D13A56" w:rsidTr="0087131C">
        <w:trPr>
          <w:trHeight w:val="345"/>
        </w:trPr>
        <w:tc>
          <w:tcPr>
            <w:tcW w:w="1066" w:type="dxa"/>
            <w:tcBorders>
              <w:top w:val="nil"/>
              <w:left w:val="single" w:sz="4" w:space="0" w:color="auto"/>
              <w:bottom w:val="single" w:sz="4" w:space="0" w:color="auto"/>
              <w:right w:val="single" w:sz="4" w:space="0" w:color="auto"/>
            </w:tcBorders>
            <w:shd w:val="clear" w:color="auto" w:fill="auto"/>
            <w:vAlign w:val="center"/>
            <w:hideMark/>
          </w:tcPr>
          <w:p w:rsidR="00D13A56" w:rsidRPr="00D13A56" w:rsidRDefault="00D13A56" w:rsidP="00C14EEF">
            <w:pPr>
              <w:jc w:val="center"/>
              <w:rPr>
                <w:rFonts w:asciiTheme="minorHAnsi" w:hAnsiTheme="minorHAnsi" w:cstheme="minorHAnsi"/>
                <w:color w:val="000000"/>
                <w:szCs w:val="22"/>
              </w:rPr>
            </w:pPr>
            <w:r>
              <w:rPr>
                <w:rFonts w:asciiTheme="minorHAnsi" w:hAnsiTheme="minorHAnsi"/>
                <w:color w:val="000000"/>
                <w:szCs w:val="22"/>
              </w:rPr>
              <w:t>2.3.1</w:t>
            </w:r>
          </w:p>
        </w:tc>
        <w:tc>
          <w:tcPr>
            <w:tcW w:w="3844"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left"/>
              <w:rPr>
                <w:rFonts w:asciiTheme="minorHAnsi" w:hAnsiTheme="minorHAnsi" w:cstheme="minorHAnsi"/>
                <w:color w:val="000000"/>
                <w:szCs w:val="22"/>
              </w:rPr>
            </w:pPr>
            <w:r>
              <w:rPr>
                <w:rFonts w:asciiTheme="minorHAnsi" w:hAnsiTheme="minorHAnsi"/>
                <w:color w:val="000000"/>
                <w:szCs w:val="22"/>
              </w:rPr>
              <w:t>Знос/амортизація</w:t>
            </w:r>
          </w:p>
        </w:tc>
        <w:tc>
          <w:tcPr>
            <w:tcW w:w="1247"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3395,500</w:t>
            </w:r>
          </w:p>
        </w:tc>
        <w:tc>
          <w:tcPr>
            <w:tcW w:w="1109"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0,2984</w:t>
            </w:r>
          </w:p>
        </w:tc>
        <w:tc>
          <w:tcPr>
            <w:tcW w:w="1385"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4851,100</w:t>
            </w:r>
          </w:p>
        </w:tc>
        <w:tc>
          <w:tcPr>
            <w:tcW w:w="1109"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0,4296</w:t>
            </w:r>
          </w:p>
        </w:tc>
      </w:tr>
      <w:tr w:rsidR="00D13A56" w:rsidRPr="00D13A56" w:rsidTr="0087131C">
        <w:trPr>
          <w:trHeight w:val="285"/>
        </w:trPr>
        <w:tc>
          <w:tcPr>
            <w:tcW w:w="1066" w:type="dxa"/>
            <w:tcBorders>
              <w:top w:val="nil"/>
              <w:left w:val="single" w:sz="4" w:space="0" w:color="auto"/>
              <w:bottom w:val="single" w:sz="4" w:space="0" w:color="auto"/>
              <w:right w:val="single" w:sz="4" w:space="0" w:color="auto"/>
            </w:tcBorders>
            <w:shd w:val="clear" w:color="auto" w:fill="auto"/>
            <w:vAlign w:val="center"/>
            <w:hideMark/>
          </w:tcPr>
          <w:p w:rsidR="00D13A56" w:rsidRPr="00D13A56" w:rsidRDefault="00D13A56" w:rsidP="00C14EEF">
            <w:pPr>
              <w:jc w:val="center"/>
              <w:rPr>
                <w:rFonts w:asciiTheme="minorHAnsi" w:hAnsiTheme="minorHAnsi" w:cstheme="minorHAnsi"/>
                <w:color w:val="000000"/>
                <w:szCs w:val="22"/>
              </w:rPr>
            </w:pPr>
            <w:r>
              <w:rPr>
                <w:rFonts w:asciiTheme="minorHAnsi" w:hAnsiTheme="minorHAnsi"/>
                <w:color w:val="000000"/>
                <w:szCs w:val="22"/>
              </w:rPr>
              <w:t>3.3.1</w:t>
            </w:r>
          </w:p>
        </w:tc>
        <w:tc>
          <w:tcPr>
            <w:tcW w:w="3844" w:type="dxa"/>
            <w:tcBorders>
              <w:top w:val="nil"/>
              <w:left w:val="nil"/>
              <w:bottom w:val="nil"/>
              <w:right w:val="single" w:sz="4" w:space="0" w:color="auto"/>
            </w:tcBorders>
            <w:shd w:val="clear" w:color="auto" w:fill="auto"/>
            <w:vAlign w:val="center"/>
            <w:hideMark/>
          </w:tcPr>
          <w:p w:rsidR="00D13A56" w:rsidRPr="00D13A56" w:rsidRDefault="00D13A56" w:rsidP="00C14EEF">
            <w:pPr>
              <w:jc w:val="left"/>
              <w:rPr>
                <w:rFonts w:asciiTheme="minorHAnsi" w:hAnsiTheme="minorHAnsi" w:cstheme="minorHAnsi"/>
                <w:color w:val="000000"/>
                <w:szCs w:val="22"/>
              </w:rPr>
            </w:pPr>
            <w:r>
              <w:rPr>
                <w:rFonts w:asciiTheme="minorHAnsi" w:hAnsiTheme="minorHAnsi"/>
                <w:color w:val="000000"/>
                <w:szCs w:val="22"/>
              </w:rPr>
              <w:t>Перекачування силами інших підрядників</w:t>
            </w:r>
          </w:p>
        </w:tc>
        <w:tc>
          <w:tcPr>
            <w:tcW w:w="1247"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5954,238</w:t>
            </w:r>
          </w:p>
        </w:tc>
        <w:tc>
          <w:tcPr>
            <w:tcW w:w="1109"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0,5233</w:t>
            </w:r>
          </w:p>
        </w:tc>
        <w:tc>
          <w:tcPr>
            <w:tcW w:w="1385"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0 000</w:t>
            </w:r>
          </w:p>
        </w:tc>
        <w:tc>
          <w:tcPr>
            <w:tcW w:w="1109"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0,0000</w:t>
            </w:r>
          </w:p>
        </w:tc>
      </w:tr>
      <w:tr w:rsidR="00D13A56" w:rsidRPr="00D13A56" w:rsidTr="0087131C">
        <w:trPr>
          <w:trHeight w:val="300"/>
        </w:trPr>
        <w:tc>
          <w:tcPr>
            <w:tcW w:w="1066" w:type="dxa"/>
            <w:tcBorders>
              <w:top w:val="nil"/>
              <w:left w:val="single" w:sz="4" w:space="0" w:color="auto"/>
              <w:bottom w:val="single" w:sz="4" w:space="0" w:color="auto"/>
              <w:right w:val="single" w:sz="4" w:space="0" w:color="auto"/>
            </w:tcBorders>
            <w:shd w:val="clear" w:color="auto" w:fill="auto"/>
            <w:vAlign w:val="center"/>
            <w:hideMark/>
          </w:tcPr>
          <w:p w:rsidR="00D13A56" w:rsidRPr="00D13A56" w:rsidRDefault="00D13A56" w:rsidP="00C14EEF">
            <w:pPr>
              <w:jc w:val="center"/>
              <w:rPr>
                <w:rFonts w:asciiTheme="minorHAnsi" w:hAnsiTheme="minorHAnsi" w:cstheme="minorHAnsi"/>
                <w:color w:val="000000"/>
                <w:szCs w:val="22"/>
              </w:rPr>
            </w:pPr>
            <w:r>
              <w:rPr>
                <w:rFonts w:asciiTheme="minorHAnsi" w:hAnsiTheme="minorHAnsi"/>
                <w:color w:val="000000"/>
                <w:szCs w:val="22"/>
              </w:rPr>
              <w:t>1.3.4</w:t>
            </w:r>
          </w:p>
        </w:tc>
        <w:tc>
          <w:tcPr>
            <w:tcW w:w="3844" w:type="dxa"/>
            <w:tcBorders>
              <w:top w:val="single" w:sz="4" w:space="0" w:color="auto"/>
              <w:left w:val="nil"/>
              <w:bottom w:val="single" w:sz="4" w:space="0" w:color="auto"/>
              <w:right w:val="single" w:sz="4" w:space="0" w:color="auto"/>
            </w:tcBorders>
            <w:shd w:val="clear" w:color="auto" w:fill="auto"/>
            <w:vAlign w:val="center"/>
            <w:hideMark/>
          </w:tcPr>
          <w:p w:rsidR="00D13A56" w:rsidRPr="00D13A56" w:rsidRDefault="00D13A56" w:rsidP="00C14EEF">
            <w:pPr>
              <w:jc w:val="left"/>
              <w:rPr>
                <w:rFonts w:asciiTheme="minorHAnsi" w:hAnsiTheme="minorHAnsi" w:cstheme="minorHAnsi"/>
                <w:color w:val="000000"/>
                <w:szCs w:val="22"/>
              </w:rPr>
            </w:pPr>
            <w:r>
              <w:rPr>
                <w:rFonts w:asciiTheme="minorHAnsi" w:hAnsiTheme="minorHAnsi"/>
                <w:color w:val="000000"/>
                <w:szCs w:val="22"/>
              </w:rPr>
              <w:t>Інші прямі витрати</w:t>
            </w:r>
          </w:p>
        </w:tc>
        <w:tc>
          <w:tcPr>
            <w:tcW w:w="1247"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649 578</w:t>
            </w:r>
          </w:p>
        </w:tc>
        <w:tc>
          <w:tcPr>
            <w:tcW w:w="1109"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0,0571</w:t>
            </w:r>
          </w:p>
        </w:tc>
        <w:tc>
          <w:tcPr>
            <w:tcW w:w="1385"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281 373</w:t>
            </w:r>
          </w:p>
        </w:tc>
        <w:tc>
          <w:tcPr>
            <w:tcW w:w="1109"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0,0249</w:t>
            </w:r>
          </w:p>
        </w:tc>
      </w:tr>
      <w:tr w:rsidR="00D13A56" w:rsidRPr="00D13A56" w:rsidTr="0087131C">
        <w:trPr>
          <w:trHeight w:val="345"/>
        </w:trPr>
        <w:tc>
          <w:tcPr>
            <w:tcW w:w="1066" w:type="dxa"/>
            <w:tcBorders>
              <w:top w:val="nil"/>
              <w:left w:val="single" w:sz="4" w:space="0" w:color="auto"/>
              <w:bottom w:val="single" w:sz="4" w:space="0" w:color="auto"/>
              <w:right w:val="single" w:sz="4" w:space="0" w:color="auto"/>
            </w:tcBorders>
            <w:shd w:val="clear" w:color="auto" w:fill="auto"/>
            <w:vAlign w:val="center"/>
            <w:hideMark/>
          </w:tcPr>
          <w:p w:rsidR="00D13A56" w:rsidRPr="00D13A56" w:rsidRDefault="00D13A56" w:rsidP="00C14EEF">
            <w:pPr>
              <w:jc w:val="center"/>
              <w:rPr>
                <w:rFonts w:asciiTheme="minorHAnsi" w:hAnsiTheme="minorHAnsi" w:cstheme="minorHAnsi"/>
                <w:b/>
                <w:bCs/>
                <w:color w:val="000000"/>
                <w:szCs w:val="22"/>
              </w:rPr>
            </w:pPr>
            <w:r>
              <w:rPr>
                <w:rFonts w:asciiTheme="minorHAnsi" w:hAnsiTheme="minorHAnsi"/>
                <w:b/>
                <w:bCs/>
                <w:color w:val="000000"/>
                <w:szCs w:val="22"/>
              </w:rPr>
              <w:t>1.4.</w:t>
            </w:r>
          </w:p>
        </w:tc>
        <w:tc>
          <w:tcPr>
            <w:tcW w:w="3844"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left"/>
              <w:rPr>
                <w:rFonts w:asciiTheme="minorHAnsi" w:hAnsiTheme="minorHAnsi" w:cstheme="minorHAnsi"/>
                <w:b/>
                <w:bCs/>
                <w:color w:val="000000"/>
                <w:szCs w:val="22"/>
              </w:rPr>
            </w:pPr>
            <w:r>
              <w:rPr>
                <w:rFonts w:asciiTheme="minorHAnsi" w:hAnsiTheme="minorHAnsi"/>
                <w:b/>
                <w:bCs/>
                <w:color w:val="000000"/>
                <w:szCs w:val="22"/>
              </w:rPr>
              <w:t>Витрати на виробництво</w:t>
            </w:r>
          </w:p>
        </w:tc>
        <w:tc>
          <w:tcPr>
            <w:tcW w:w="1247"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87131C">
            <w:pPr>
              <w:ind w:left="-60"/>
              <w:jc w:val="right"/>
              <w:rPr>
                <w:rFonts w:asciiTheme="minorHAnsi" w:hAnsiTheme="minorHAnsi" w:cstheme="minorHAnsi"/>
                <w:b/>
                <w:bCs/>
                <w:color w:val="000000"/>
                <w:szCs w:val="22"/>
              </w:rPr>
            </w:pPr>
            <w:r>
              <w:rPr>
                <w:rFonts w:asciiTheme="minorHAnsi" w:hAnsiTheme="minorHAnsi"/>
                <w:b/>
                <w:bCs/>
                <w:color w:val="000000"/>
                <w:szCs w:val="22"/>
              </w:rPr>
              <w:t>24863,609</w:t>
            </w:r>
          </w:p>
        </w:tc>
        <w:tc>
          <w:tcPr>
            <w:tcW w:w="1109"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right"/>
              <w:rPr>
                <w:rFonts w:asciiTheme="minorHAnsi" w:hAnsiTheme="minorHAnsi" w:cstheme="minorHAnsi"/>
                <w:b/>
                <w:bCs/>
                <w:color w:val="000000"/>
                <w:szCs w:val="22"/>
              </w:rPr>
            </w:pPr>
            <w:r>
              <w:rPr>
                <w:rFonts w:asciiTheme="minorHAnsi" w:hAnsiTheme="minorHAnsi"/>
                <w:b/>
                <w:bCs/>
                <w:color w:val="000000"/>
                <w:szCs w:val="22"/>
              </w:rPr>
              <w:t>2,1851</w:t>
            </w:r>
          </w:p>
        </w:tc>
        <w:tc>
          <w:tcPr>
            <w:tcW w:w="1385"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Theme="minorHAnsi" w:hAnsiTheme="minorHAnsi" w:cstheme="minorHAnsi"/>
                <w:b/>
                <w:bCs/>
                <w:color w:val="000000"/>
                <w:szCs w:val="22"/>
              </w:rPr>
            </w:pPr>
            <w:r>
              <w:rPr>
                <w:rFonts w:asciiTheme="minorHAnsi" w:hAnsiTheme="minorHAnsi"/>
                <w:b/>
                <w:bCs/>
                <w:color w:val="000000"/>
                <w:szCs w:val="22"/>
              </w:rPr>
              <w:t>24334,431</w:t>
            </w:r>
          </w:p>
        </w:tc>
        <w:tc>
          <w:tcPr>
            <w:tcW w:w="1109"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Theme="minorHAnsi" w:hAnsiTheme="minorHAnsi" w:cstheme="minorHAnsi"/>
                <w:b/>
                <w:bCs/>
                <w:color w:val="000000"/>
                <w:szCs w:val="22"/>
              </w:rPr>
            </w:pPr>
            <w:r>
              <w:rPr>
                <w:rFonts w:asciiTheme="minorHAnsi" w:hAnsiTheme="minorHAnsi"/>
                <w:b/>
                <w:bCs/>
                <w:color w:val="000000"/>
                <w:szCs w:val="22"/>
              </w:rPr>
              <w:t>2,1548</w:t>
            </w:r>
          </w:p>
        </w:tc>
      </w:tr>
      <w:tr w:rsidR="00D13A56" w:rsidRPr="00D13A56" w:rsidTr="0087131C">
        <w:trPr>
          <w:trHeight w:val="300"/>
        </w:trPr>
        <w:tc>
          <w:tcPr>
            <w:tcW w:w="1066" w:type="dxa"/>
            <w:tcBorders>
              <w:top w:val="nil"/>
              <w:left w:val="single" w:sz="4" w:space="0" w:color="auto"/>
              <w:bottom w:val="single" w:sz="4" w:space="0" w:color="auto"/>
              <w:right w:val="single" w:sz="4" w:space="0" w:color="auto"/>
            </w:tcBorders>
            <w:shd w:val="clear" w:color="auto" w:fill="auto"/>
            <w:vAlign w:val="center"/>
            <w:hideMark/>
          </w:tcPr>
          <w:p w:rsidR="00D13A56" w:rsidRPr="00D13A56" w:rsidRDefault="00D13A56" w:rsidP="00C14EEF">
            <w:pPr>
              <w:jc w:val="center"/>
              <w:rPr>
                <w:rFonts w:asciiTheme="minorHAnsi" w:hAnsiTheme="minorHAnsi" w:cstheme="minorHAnsi"/>
                <w:color w:val="000000"/>
                <w:szCs w:val="22"/>
              </w:rPr>
            </w:pPr>
            <w:r>
              <w:rPr>
                <w:rFonts w:asciiTheme="minorHAnsi" w:hAnsiTheme="minorHAnsi"/>
                <w:color w:val="000000"/>
                <w:szCs w:val="22"/>
              </w:rPr>
              <w:t>1.4.1</w:t>
            </w:r>
          </w:p>
        </w:tc>
        <w:tc>
          <w:tcPr>
            <w:tcW w:w="3844"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left"/>
              <w:rPr>
                <w:rFonts w:asciiTheme="minorHAnsi" w:hAnsiTheme="minorHAnsi" w:cstheme="minorHAnsi"/>
                <w:color w:val="000000"/>
                <w:szCs w:val="22"/>
              </w:rPr>
            </w:pPr>
            <w:r>
              <w:rPr>
                <w:rFonts w:asciiTheme="minorHAnsi" w:hAnsiTheme="minorHAnsi"/>
                <w:color w:val="000000"/>
                <w:szCs w:val="22"/>
              </w:rPr>
              <w:t>Оплата праці</w:t>
            </w:r>
          </w:p>
        </w:tc>
        <w:tc>
          <w:tcPr>
            <w:tcW w:w="1247"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87131C">
            <w:pPr>
              <w:ind w:left="-60"/>
              <w:jc w:val="right"/>
              <w:rPr>
                <w:rFonts w:asciiTheme="minorHAnsi" w:hAnsiTheme="minorHAnsi" w:cstheme="minorHAnsi"/>
                <w:color w:val="000000"/>
                <w:szCs w:val="22"/>
              </w:rPr>
            </w:pPr>
            <w:r>
              <w:rPr>
                <w:rFonts w:asciiTheme="minorHAnsi" w:hAnsiTheme="minorHAnsi"/>
                <w:color w:val="000000"/>
                <w:szCs w:val="22"/>
              </w:rPr>
              <w:t>14555,308</w:t>
            </w:r>
          </w:p>
        </w:tc>
        <w:tc>
          <w:tcPr>
            <w:tcW w:w="1109"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1,2792</w:t>
            </w:r>
          </w:p>
        </w:tc>
        <w:tc>
          <w:tcPr>
            <w:tcW w:w="1385"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13988,536</w:t>
            </w:r>
          </w:p>
        </w:tc>
        <w:tc>
          <w:tcPr>
            <w:tcW w:w="1109"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1,2387</w:t>
            </w:r>
          </w:p>
        </w:tc>
      </w:tr>
      <w:tr w:rsidR="00D13A56" w:rsidRPr="00D13A56" w:rsidTr="0087131C">
        <w:trPr>
          <w:trHeight w:val="300"/>
        </w:trPr>
        <w:tc>
          <w:tcPr>
            <w:tcW w:w="1066" w:type="dxa"/>
            <w:tcBorders>
              <w:top w:val="nil"/>
              <w:left w:val="single" w:sz="4" w:space="0" w:color="auto"/>
              <w:bottom w:val="single" w:sz="4" w:space="0" w:color="auto"/>
              <w:right w:val="single" w:sz="4" w:space="0" w:color="auto"/>
            </w:tcBorders>
            <w:shd w:val="clear" w:color="auto" w:fill="auto"/>
            <w:vAlign w:val="center"/>
            <w:hideMark/>
          </w:tcPr>
          <w:p w:rsidR="00D13A56" w:rsidRPr="00D13A56" w:rsidRDefault="00D13A56" w:rsidP="00C14EEF">
            <w:pPr>
              <w:jc w:val="center"/>
              <w:rPr>
                <w:rFonts w:asciiTheme="minorHAnsi" w:hAnsiTheme="minorHAnsi" w:cstheme="minorHAnsi"/>
                <w:color w:val="000000"/>
                <w:szCs w:val="22"/>
              </w:rPr>
            </w:pPr>
            <w:r>
              <w:rPr>
                <w:rFonts w:asciiTheme="minorHAnsi" w:hAnsiTheme="minorHAnsi"/>
                <w:color w:val="000000"/>
                <w:szCs w:val="22"/>
              </w:rPr>
              <w:t>2.4.1</w:t>
            </w:r>
          </w:p>
        </w:tc>
        <w:tc>
          <w:tcPr>
            <w:tcW w:w="3844"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left"/>
              <w:rPr>
                <w:rFonts w:asciiTheme="minorHAnsi" w:hAnsiTheme="minorHAnsi" w:cstheme="minorHAnsi"/>
                <w:color w:val="000000"/>
                <w:szCs w:val="22"/>
              </w:rPr>
            </w:pPr>
            <w:r>
              <w:rPr>
                <w:rFonts w:asciiTheme="minorHAnsi" w:hAnsiTheme="minorHAnsi"/>
                <w:color w:val="000000"/>
                <w:szCs w:val="22"/>
              </w:rPr>
              <w:t>Соціальне страхування</w:t>
            </w:r>
          </w:p>
        </w:tc>
        <w:tc>
          <w:tcPr>
            <w:tcW w:w="1247"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3202,168</w:t>
            </w:r>
          </w:p>
        </w:tc>
        <w:tc>
          <w:tcPr>
            <w:tcW w:w="1109"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0,2814</w:t>
            </w:r>
          </w:p>
        </w:tc>
        <w:tc>
          <w:tcPr>
            <w:tcW w:w="1385"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3077,478</w:t>
            </w:r>
          </w:p>
        </w:tc>
        <w:tc>
          <w:tcPr>
            <w:tcW w:w="1109"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0,2725</w:t>
            </w:r>
          </w:p>
        </w:tc>
      </w:tr>
      <w:tr w:rsidR="00D13A56" w:rsidRPr="00D13A56" w:rsidTr="0087131C">
        <w:trPr>
          <w:trHeight w:val="285"/>
        </w:trPr>
        <w:tc>
          <w:tcPr>
            <w:tcW w:w="1066" w:type="dxa"/>
            <w:tcBorders>
              <w:top w:val="nil"/>
              <w:left w:val="single" w:sz="4" w:space="0" w:color="auto"/>
              <w:bottom w:val="single" w:sz="4" w:space="0" w:color="auto"/>
              <w:right w:val="single" w:sz="4" w:space="0" w:color="auto"/>
            </w:tcBorders>
            <w:shd w:val="clear" w:color="auto" w:fill="auto"/>
            <w:vAlign w:val="center"/>
            <w:hideMark/>
          </w:tcPr>
          <w:p w:rsidR="00D13A56" w:rsidRPr="00D13A56" w:rsidRDefault="00D13A56" w:rsidP="00C14EEF">
            <w:pPr>
              <w:jc w:val="center"/>
              <w:rPr>
                <w:rFonts w:asciiTheme="minorHAnsi" w:hAnsiTheme="minorHAnsi" w:cstheme="minorHAnsi"/>
                <w:color w:val="000000"/>
                <w:szCs w:val="22"/>
              </w:rPr>
            </w:pPr>
            <w:r>
              <w:rPr>
                <w:rFonts w:asciiTheme="minorHAnsi" w:hAnsiTheme="minorHAnsi"/>
                <w:color w:val="000000"/>
                <w:szCs w:val="22"/>
              </w:rPr>
              <w:t>3.4.1</w:t>
            </w:r>
          </w:p>
        </w:tc>
        <w:tc>
          <w:tcPr>
            <w:tcW w:w="3844"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left"/>
              <w:rPr>
                <w:rFonts w:asciiTheme="minorHAnsi" w:hAnsiTheme="minorHAnsi" w:cstheme="minorHAnsi"/>
                <w:color w:val="000000"/>
                <w:szCs w:val="22"/>
              </w:rPr>
            </w:pPr>
            <w:r>
              <w:rPr>
                <w:rFonts w:asciiTheme="minorHAnsi" w:hAnsiTheme="minorHAnsi"/>
                <w:color w:val="000000"/>
                <w:szCs w:val="22"/>
              </w:rPr>
              <w:t>Амортизація/знос</w:t>
            </w:r>
          </w:p>
        </w:tc>
        <w:tc>
          <w:tcPr>
            <w:tcW w:w="1247"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280 300</w:t>
            </w:r>
          </w:p>
        </w:tc>
        <w:tc>
          <w:tcPr>
            <w:tcW w:w="1109"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0,0246</w:t>
            </w:r>
          </w:p>
        </w:tc>
        <w:tc>
          <w:tcPr>
            <w:tcW w:w="1385"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506 400</w:t>
            </w:r>
          </w:p>
        </w:tc>
        <w:tc>
          <w:tcPr>
            <w:tcW w:w="1109"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0,0448</w:t>
            </w:r>
          </w:p>
        </w:tc>
      </w:tr>
      <w:tr w:rsidR="00D13A56" w:rsidRPr="00D13A56" w:rsidTr="0087131C">
        <w:trPr>
          <w:trHeight w:val="480"/>
        </w:trPr>
        <w:tc>
          <w:tcPr>
            <w:tcW w:w="1066" w:type="dxa"/>
            <w:tcBorders>
              <w:top w:val="nil"/>
              <w:left w:val="single" w:sz="4" w:space="0" w:color="auto"/>
              <w:bottom w:val="single" w:sz="4" w:space="0" w:color="auto"/>
              <w:right w:val="single" w:sz="4" w:space="0" w:color="auto"/>
            </w:tcBorders>
            <w:shd w:val="clear" w:color="auto" w:fill="auto"/>
            <w:vAlign w:val="center"/>
            <w:hideMark/>
          </w:tcPr>
          <w:p w:rsidR="00D13A56" w:rsidRPr="00D13A56" w:rsidRDefault="00D13A56" w:rsidP="00C14EEF">
            <w:pPr>
              <w:jc w:val="center"/>
              <w:rPr>
                <w:rFonts w:asciiTheme="minorHAnsi" w:hAnsiTheme="minorHAnsi" w:cstheme="minorHAnsi"/>
                <w:color w:val="000000"/>
                <w:szCs w:val="22"/>
              </w:rPr>
            </w:pPr>
            <w:r>
              <w:rPr>
                <w:rFonts w:asciiTheme="minorHAnsi" w:hAnsiTheme="minorHAnsi"/>
                <w:color w:val="000000"/>
                <w:szCs w:val="22"/>
              </w:rPr>
              <w:t>1.4.4</w:t>
            </w:r>
          </w:p>
        </w:tc>
        <w:tc>
          <w:tcPr>
            <w:tcW w:w="3844"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left"/>
              <w:rPr>
                <w:rFonts w:asciiTheme="minorHAnsi" w:hAnsiTheme="minorHAnsi" w:cstheme="minorHAnsi"/>
                <w:color w:val="000000"/>
                <w:szCs w:val="22"/>
              </w:rPr>
            </w:pPr>
            <w:r>
              <w:rPr>
                <w:rFonts w:asciiTheme="minorHAnsi" w:hAnsiTheme="minorHAnsi"/>
                <w:color w:val="000000"/>
                <w:szCs w:val="22"/>
              </w:rPr>
              <w:t>Податки, збори та інші обов'язкові платежі</w:t>
            </w:r>
          </w:p>
        </w:tc>
        <w:tc>
          <w:tcPr>
            <w:tcW w:w="1247"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3612,861</w:t>
            </w:r>
          </w:p>
        </w:tc>
        <w:tc>
          <w:tcPr>
            <w:tcW w:w="1109"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0,3175</w:t>
            </w:r>
          </w:p>
        </w:tc>
        <w:tc>
          <w:tcPr>
            <w:tcW w:w="1385"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1543,039</w:t>
            </w:r>
          </w:p>
        </w:tc>
        <w:tc>
          <w:tcPr>
            <w:tcW w:w="1109"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0,1366</w:t>
            </w:r>
          </w:p>
        </w:tc>
      </w:tr>
      <w:tr w:rsidR="00D13A56" w:rsidRPr="00D13A56" w:rsidTr="0087131C">
        <w:trPr>
          <w:trHeight w:val="300"/>
        </w:trPr>
        <w:tc>
          <w:tcPr>
            <w:tcW w:w="1066" w:type="dxa"/>
            <w:tcBorders>
              <w:top w:val="nil"/>
              <w:left w:val="single" w:sz="4" w:space="0" w:color="auto"/>
              <w:bottom w:val="single" w:sz="4" w:space="0" w:color="auto"/>
              <w:right w:val="single" w:sz="4" w:space="0" w:color="auto"/>
            </w:tcBorders>
            <w:shd w:val="clear" w:color="auto" w:fill="auto"/>
            <w:vAlign w:val="center"/>
            <w:hideMark/>
          </w:tcPr>
          <w:p w:rsidR="00D13A56" w:rsidRPr="00D13A56" w:rsidRDefault="00D13A56" w:rsidP="00C14EEF">
            <w:pPr>
              <w:jc w:val="center"/>
              <w:rPr>
                <w:rFonts w:asciiTheme="minorHAnsi" w:hAnsiTheme="minorHAnsi" w:cstheme="minorHAnsi"/>
                <w:color w:val="000000"/>
                <w:szCs w:val="22"/>
              </w:rPr>
            </w:pPr>
            <w:r>
              <w:rPr>
                <w:rFonts w:asciiTheme="minorHAnsi" w:hAnsiTheme="minorHAnsi"/>
                <w:color w:val="000000"/>
                <w:szCs w:val="22"/>
              </w:rPr>
              <w:t>1.5.4</w:t>
            </w:r>
          </w:p>
        </w:tc>
        <w:tc>
          <w:tcPr>
            <w:tcW w:w="3844"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left"/>
              <w:rPr>
                <w:rFonts w:asciiTheme="minorHAnsi" w:hAnsiTheme="minorHAnsi" w:cstheme="minorHAnsi"/>
                <w:color w:val="000000"/>
                <w:szCs w:val="22"/>
              </w:rPr>
            </w:pPr>
            <w:r>
              <w:rPr>
                <w:rFonts w:asciiTheme="minorHAnsi" w:hAnsiTheme="minorHAnsi"/>
                <w:color w:val="000000"/>
                <w:szCs w:val="22"/>
              </w:rPr>
              <w:t>Інші витрати</w:t>
            </w:r>
          </w:p>
        </w:tc>
        <w:tc>
          <w:tcPr>
            <w:tcW w:w="1247"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3212,973</w:t>
            </w:r>
          </w:p>
        </w:tc>
        <w:tc>
          <w:tcPr>
            <w:tcW w:w="1109"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0,2824</w:t>
            </w:r>
          </w:p>
        </w:tc>
        <w:tc>
          <w:tcPr>
            <w:tcW w:w="1385"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5218,978</w:t>
            </w:r>
          </w:p>
        </w:tc>
        <w:tc>
          <w:tcPr>
            <w:tcW w:w="1109"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0,4621</w:t>
            </w:r>
          </w:p>
        </w:tc>
      </w:tr>
      <w:tr w:rsidR="00D13A56" w:rsidRPr="00D13A56" w:rsidTr="0087131C">
        <w:trPr>
          <w:trHeight w:val="300"/>
        </w:trPr>
        <w:tc>
          <w:tcPr>
            <w:tcW w:w="1066" w:type="dxa"/>
            <w:tcBorders>
              <w:top w:val="nil"/>
              <w:left w:val="single" w:sz="4" w:space="0" w:color="auto"/>
              <w:bottom w:val="single" w:sz="4" w:space="0" w:color="auto"/>
              <w:right w:val="single" w:sz="4" w:space="0" w:color="auto"/>
            </w:tcBorders>
            <w:shd w:val="clear" w:color="auto" w:fill="auto"/>
            <w:vAlign w:val="center"/>
            <w:hideMark/>
          </w:tcPr>
          <w:p w:rsidR="00D13A56" w:rsidRPr="00D13A56" w:rsidRDefault="00D13A56" w:rsidP="00C14EEF">
            <w:pPr>
              <w:jc w:val="center"/>
              <w:rPr>
                <w:rFonts w:asciiTheme="minorHAnsi" w:hAnsiTheme="minorHAnsi" w:cstheme="minorHAnsi"/>
                <w:b/>
                <w:bCs/>
                <w:color w:val="000000"/>
                <w:szCs w:val="22"/>
              </w:rPr>
            </w:pPr>
            <w:r>
              <w:rPr>
                <w:rFonts w:asciiTheme="minorHAnsi" w:hAnsiTheme="minorHAnsi"/>
                <w:b/>
                <w:bCs/>
                <w:color w:val="000000"/>
                <w:szCs w:val="22"/>
              </w:rPr>
              <w:t>2</w:t>
            </w:r>
          </w:p>
        </w:tc>
        <w:tc>
          <w:tcPr>
            <w:tcW w:w="3844"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left"/>
              <w:rPr>
                <w:rFonts w:asciiTheme="minorHAnsi" w:hAnsiTheme="minorHAnsi" w:cstheme="minorHAnsi"/>
                <w:b/>
                <w:bCs/>
                <w:color w:val="000000"/>
                <w:szCs w:val="22"/>
              </w:rPr>
            </w:pPr>
            <w:r>
              <w:rPr>
                <w:rFonts w:asciiTheme="minorHAnsi" w:hAnsiTheme="minorHAnsi"/>
                <w:b/>
                <w:bCs/>
                <w:color w:val="000000"/>
                <w:szCs w:val="22"/>
              </w:rPr>
              <w:t>Адміністративні витрати</w:t>
            </w:r>
          </w:p>
        </w:tc>
        <w:tc>
          <w:tcPr>
            <w:tcW w:w="1247"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right"/>
              <w:rPr>
                <w:rFonts w:asciiTheme="minorHAnsi" w:hAnsiTheme="minorHAnsi" w:cstheme="minorHAnsi"/>
                <w:b/>
                <w:bCs/>
                <w:color w:val="000000"/>
                <w:szCs w:val="22"/>
              </w:rPr>
            </w:pPr>
            <w:r>
              <w:rPr>
                <w:rFonts w:asciiTheme="minorHAnsi" w:hAnsiTheme="minorHAnsi"/>
                <w:b/>
                <w:bCs/>
                <w:color w:val="000000"/>
                <w:szCs w:val="22"/>
              </w:rPr>
              <w:t>4733,859</w:t>
            </w:r>
          </w:p>
        </w:tc>
        <w:tc>
          <w:tcPr>
            <w:tcW w:w="1109"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right"/>
              <w:rPr>
                <w:rFonts w:asciiTheme="minorHAnsi" w:hAnsiTheme="minorHAnsi" w:cstheme="minorHAnsi"/>
                <w:b/>
                <w:bCs/>
                <w:color w:val="000000"/>
                <w:szCs w:val="22"/>
              </w:rPr>
            </w:pPr>
            <w:r>
              <w:rPr>
                <w:rFonts w:asciiTheme="minorHAnsi" w:hAnsiTheme="minorHAnsi"/>
                <w:b/>
                <w:bCs/>
                <w:color w:val="000000"/>
                <w:szCs w:val="22"/>
              </w:rPr>
              <w:t>0,4160</w:t>
            </w:r>
          </w:p>
        </w:tc>
        <w:tc>
          <w:tcPr>
            <w:tcW w:w="1385"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Theme="minorHAnsi" w:hAnsiTheme="minorHAnsi" w:cstheme="minorHAnsi"/>
                <w:b/>
                <w:bCs/>
                <w:color w:val="000000"/>
                <w:szCs w:val="22"/>
              </w:rPr>
            </w:pPr>
            <w:r>
              <w:rPr>
                <w:rFonts w:asciiTheme="minorHAnsi" w:hAnsiTheme="minorHAnsi"/>
                <w:b/>
                <w:bCs/>
                <w:color w:val="000000"/>
                <w:szCs w:val="22"/>
              </w:rPr>
              <w:t>5112,843</w:t>
            </w:r>
          </w:p>
        </w:tc>
        <w:tc>
          <w:tcPr>
            <w:tcW w:w="1109"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Theme="minorHAnsi" w:hAnsiTheme="minorHAnsi" w:cstheme="minorHAnsi"/>
                <w:b/>
                <w:bCs/>
                <w:color w:val="000000"/>
                <w:szCs w:val="22"/>
              </w:rPr>
            </w:pPr>
            <w:r>
              <w:rPr>
                <w:rFonts w:asciiTheme="minorHAnsi" w:hAnsiTheme="minorHAnsi"/>
                <w:b/>
                <w:bCs/>
                <w:color w:val="000000"/>
                <w:szCs w:val="22"/>
              </w:rPr>
              <w:t>0,4527</w:t>
            </w:r>
          </w:p>
        </w:tc>
      </w:tr>
      <w:tr w:rsidR="00D13A56" w:rsidRPr="00D13A56" w:rsidTr="0087131C">
        <w:trPr>
          <w:trHeight w:val="300"/>
        </w:trPr>
        <w:tc>
          <w:tcPr>
            <w:tcW w:w="1066" w:type="dxa"/>
            <w:tcBorders>
              <w:top w:val="nil"/>
              <w:left w:val="single" w:sz="4" w:space="0" w:color="auto"/>
              <w:bottom w:val="single" w:sz="4" w:space="0" w:color="auto"/>
              <w:right w:val="single" w:sz="4" w:space="0" w:color="auto"/>
            </w:tcBorders>
            <w:shd w:val="clear" w:color="auto" w:fill="auto"/>
            <w:vAlign w:val="center"/>
            <w:hideMark/>
          </w:tcPr>
          <w:p w:rsidR="00D13A56" w:rsidRPr="00D13A56" w:rsidRDefault="00D13A56" w:rsidP="00C14EEF">
            <w:pPr>
              <w:jc w:val="center"/>
              <w:rPr>
                <w:rFonts w:asciiTheme="minorHAnsi" w:hAnsiTheme="minorHAnsi" w:cstheme="minorHAnsi"/>
                <w:color w:val="000000"/>
                <w:szCs w:val="22"/>
              </w:rPr>
            </w:pPr>
            <w:r>
              <w:rPr>
                <w:rFonts w:asciiTheme="minorHAnsi" w:hAnsiTheme="minorHAnsi"/>
                <w:color w:val="000000"/>
                <w:szCs w:val="22"/>
              </w:rPr>
              <w:t>2.1.</w:t>
            </w:r>
          </w:p>
        </w:tc>
        <w:tc>
          <w:tcPr>
            <w:tcW w:w="3844"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left"/>
              <w:rPr>
                <w:rFonts w:asciiTheme="minorHAnsi" w:hAnsiTheme="minorHAnsi" w:cstheme="minorHAnsi"/>
                <w:color w:val="000000"/>
                <w:szCs w:val="22"/>
              </w:rPr>
            </w:pPr>
            <w:r>
              <w:rPr>
                <w:rFonts w:asciiTheme="minorHAnsi" w:hAnsiTheme="minorHAnsi"/>
                <w:color w:val="000000"/>
                <w:szCs w:val="22"/>
              </w:rPr>
              <w:t>Оплата праці</w:t>
            </w:r>
          </w:p>
        </w:tc>
        <w:tc>
          <w:tcPr>
            <w:tcW w:w="1247"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3566,522</w:t>
            </w:r>
          </w:p>
        </w:tc>
        <w:tc>
          <w:tcPr>
            <w:tcW w:w="1109"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0,3134</w:t>
            </w:r>
          </w:p>
        </w:tc>
        <w:tc>
          <w:tcPr>
            <w:tcW w:w="1385"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3851,215</w:t>
            </w:r>
          </w:p>
        </w:tc>
        <w:tc>
          <w:tcPr>
            <w:tcW w:w="1109"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0,3410</w:t>
            </w:r>
          </w:p>
        </w:tc>
      </w:tr>
      <w:tr w:rsidR="00D13A56" w:rsidRPr="00D13A56" w:rsidTr="0087131C">
        <w:trPr>
          <w:trHeight w:val="300"/>
        </w:trPr>
        <w:tc>
          <w:tcPr>
            <w:tcW w:w="1066" w:type="dxa"/>
            <w:tcBorders>
              <w:top w:val="nil"/>
              <w:left w:val="single" w:sz="4" w:space="0" w:color="auto"/>
              <w:bottom w:val="single" w:sz="4" w:space="0" w:color="auto"/>
              <w:right w:val="single" w:sz="4" w:space="0" w:color="auto"/>
            </w:tcBorders>
            <w:shd w:val="clear" w:color="auto" w:fill="auto"/>
            <w:vAlign w:val="center"/>
            <w:hideMark/>
          </w:tcPr>
          <w:p w:rsidR="00D13A56" w:rsidRPr="00D13A56" w:rsidRDefault="00D13A56" w:rsidP="00C14EEF">
            <w:pPr>
              <w:jc w:val="center"/>
              <w:rPr>
                <w:rFonts w:asciiTheme="minorHAnsi" w:hAnsiTheme="minorHAnsi" w:cstheme="minorHAnsi"/>
                <w:color w:val="000000"/>
                <w:szCs w:val="22"/>
              </w:rPr>
            </w:pPr>
            <w:r>
              <w:rPr>
                <w:rFonts w:asciiTheme="minorHAnsi" w:hAnsiTheme="minorHAnsi"/>
                <w:color w:val="000000"/>
                <w:szCs w:val="22"/>
              </w:rPr>
              <w:t>2.2.</w:t>
            </w:r>
          </w:p>
        </w:tc>
        <w:tc>
          <w:tcPr>
            <w:tcW w:w="3844"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left"/>
              <w:rPr>
                <w:rFonts w:asciiTheme="minorHAnsi" w:hAnsiTheme="minorHAnsi" w:cstheme="minorHAnsi"/>
                <w:color w:val="000000"/>
                <w:szCs w:val="22"/>
              </w:rPr>
            </w:pPr>
            <w:r>
              <w:rPr>
                <w:rFonts w:asciiTheme="minorHAnsi" w:hAnsiTheme="minorHAnsi"/>
                <w:color w:val="000000"/>
                <w:szCs w:val="22"/>
              </w:rPr>
              <w:t>Соціальне страхування</w:t>
            </w:r>
          </w:p>
        </w:tc>
        <w:tc>
          <w:tcPr>
            <w:tcW w:w="1247"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784 635</w:t>
            </w:r>
          </w:p>
        </w:tc>
        <w:tc>
          <w:tcPr>
            <w:tcW w:w="1109"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0,0690</w:t>
            </w:r>
          </w:p>
        </w:tc>
        <w:tc>
          <w:tcPr>
            <w:tcW w:w="1385"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847 267</w:t>
            </w:r>
          </w:p>
        </w:tc>
        <w:tc>
          <w:tcPr>
            <w:tcW w:w="1109"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0,0750</w:t>
            </w:r>
          </w:p>
        </w:tc>
      </w:tr>
      <w:tr w:rsidR="00D13A56" w:rsidRPr="00D13A56" w:rsidTr="0087131C">
        <w:trPr>
          <w:trHeight w:val="300"/>
        </w:trPr>
        <w:tc>
          <w:tcPr>
            <w:tcW w:w="1066" w:type="dxa"/>
            <w:tcBorders>
              <w:top w:val="nil"/>
              <w:left w:val="single" w:sz="4" w:space="0" w:color="auto"/>
              <w:bottom w:val="single" w:sz="4" w:space="0" w:color="auto"/>
              <w:right w:val="single" w:sz="4" w:space="0" w:color="auto"/>
            </w:tcBorders>
            <w:shd w:val="clear" w:color="auto" w:fill="auto"/>
            <w:vAlign w:val="center"/>
            <w:hideMark/>
          </w:tcPr>
          <w:p w:rsidR="00D13A56" w:rsidRPr="00D13A56" w:rsidRDefault="00D13A56" w:rsidP="00C14EEF">
            <w:pPr>
              <w:jc w:val="center"/>
              <w:rPr>
                <w:rFonts w:asciiTheme="minorHAnsi" w:hAnsiTheme="minorHAnsi" w:cstheme="minorHAnsi"/>
                <w:color w:val="000000"/>
                <w:szCs w:val="22"/>
              </w:rPr>
            </w:pPr>
            <w:r>
              <w:rPr>
                <w:rFonts w:asciiTheme="minorHAnsi" w:hAnsiTheme="minorHAnsi"/>
                <w:color w:val="000000"/>
                <w:szCs w:val="22"/>
              </w:rPr>
              <w:t>2.3.</w:t>
            </w:r>
          </w:p>
        </w:tc>
        <w:tc>
          <w:tcPr>
            <w:tcW w:w="3844"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left"/>
              <w:rPr>
                <w:rFonts w:asciiTheme="minorHAnsi" w:hAnsiTheme="minorHAnsi" w:cstheme="minorHAnsi"/>
                <w:color w:val="000000"/>
                <w:szCs w:val="22"/>
              </w:rPr>
            </w:pPr>
            <w:r>
              <w:rPr>
                <w:rFonts w:asciiTheme="minorHAnsi" w:hAnsiTheme="minorHAnsi"/>
                <w:color w:val="000000"/>
                <w:szCs w:val="22"/>
              </w:rPr>
              <w:t>Амортизація/знос</w:t>
            </w:r>
          </w:p>
        </w:tc>
        <w:tc>
          <w:tcPr>
            <w:tcW w:w="1247"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14 900</w:t>
            </w:r>
          </w:p>
        </w:tc>
        <w:tc>
          <w:tcPr>
            <w:tcW w:w="1109"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0,0013</w:t>
            </w:r>
          </w:p>
        </w:tc>
        <w:tc>
          <w:tcPr>
            <w:tcW w:w="1385"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14 800</w:t>
            </w:r>
          </w:p>
        </w:tc>
        <w:tc>
          <w:tcPr>
            <w:tcW w:w="1109"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0,0013</w:t>
            </w:r>
          </w:p>
        </w:tc>
      </w:tr>
      <w:tr w:rsidR="00D13A56" w:rsidRPr="00D13A56" w:rsidTr="0087131C">
        <w:trPr>
          <w:trHeight w:val="450"/>
        </w:trPr>
        <w:tc>
          <w:tcPr>
            <w:tcW w:w="1066" w:type="dxa"/>
            <w:tcBorders>
              <w:top w:val="nil"/>
              <w:left w:val="single" w:sz="4" w:space="0" w:color="auto"/>
              <w:bottom w:val="single" w:sz="4" w:space="0" w:color="auto"/>
              <w:right w:val="single" w:sz="4" w:space="0" w:color="auto"/>
            </w:tcBorders>
            <w:shd w:val="clear" w:color="auto" w:fill="auto"/>
            <w:vAlign w:val="center"/>
            <w:hideMark/>
          </w:tcPr>
          <w:p w:rsidR="00D13A56" w:rsidRPr="00D13A56" w:rsidRDefault="00D13A56" w:rsidP="00C14EEF">
            <w:pPr>
              <w:jc w:val="center"/>
              <w:rPr>
                <w:rFonts w:asciiTheme="minorHAnsi" w:hAnsiTheme="minorHAnsi" w:cstheme="minorHAnsi"/>
                <w:color w:val="000000"/>
                <w:szCs w:val="22"/>
              </w:rPr>
            </w:pPr>
            <w:r>
              <w:rPr>
                <w:rFonts w:asciiTheme="minorHAnsi" w:hAnsiTheme="minorHAnsi"/>
                <w:color w:val="000000"/>
                <w:szCs w:val="22"/>
              </w:rPr>
              <w:t>2.4.</w:t>
            </w:r>
          </w:p>
        </w:tc>
        <w:tc>
          <w:tcPr>
            <w:tcW w:w="3844"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left"/>
              <w:rPr>
                <w:rFonts w:asciiTheme="minorHAnsi" w:hAnsiTheme="minorHAnsi" w:cstheme="minorHAnsi"/>
                <w:color w:val="000000"/>
                <w:szCs w:val="22"/>
              </w:rPr>
            </w:pPr>
            <w:r>
              <w:rPr>
                <w:rFonts w:asciiTheme="minorHAnsi" w:hAnsiTheme="minorHAnsi"/>
                <w:color w:val="000000"/>
                <w:szCs w:val="22"/>
              </w:rPr>
              <w:t>Податки, збори та інші обов'язкові платежі</w:t>
            </w:r>
          </w:p>
        </w:tc>
        <w:tc>
          <w:tcPr>
            <w:tcW w:w="1247"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2 933</w:t>
            </w:r>
          </w:p>
        </w:tc>
        <w:tc>
          <w:tcPr>
            <w:tcW w:w="1109" w:type="dxa"/>
            <w:tcBorders>
              <w:top w:val="nil"/>
              <w:left w:val="nil"/>
              <w:bottom w:val="nil"/>
              <w:right w:val="single" w:sz="4" w:space="0" w:color="auto"/>
            </w:tcBorders>
            <w:shd w:val="clear" w:color="auto" w:fill="auto"/>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0,0003</w:t>
            </w:r>
          </w:p>
        </w:tc>
        <w:tc>
          <w:tcPr>
            <w:tcW w:w="1385"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3 167</w:t>
            </w:r>
          </w:p>
        </w:tc>
        <w:tc>
          <w:tcPr>
            <w:tcW w:w="1109"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0,0003</w:t>
            </w:r>
          </w:p>
        </w:tc>
      </w:tr>
      <w:tr w:rsidR="00D13A56" w:rsidRPr="00D13A56" w:rsidTr="0087131C">
        <w:trPr>
          <w:trHeight w:val="300"/>
        </w:trPr>
        <w:tc>
          <w:tcPr>
            <w:tcW w:w="1066" w:type="dxa"/>
            <w:tcBorders>
              <w:top w:val="nil"/>
              <w:left w:val="single" w:sz="4" w:space="0" w:color="auto"/>
              <w:bottom w:val="single" w:sz="4" w:space="0" w:color="auto"/>
              <w:right w:val="single" w:sz="4" w:space="0" w:color="auto"/>
            </w:tcBorders>
            <w:shd w:val="clear" w:color="auto" w:fill="auto"/>
            <w:vAlign w:val="center"/>
            <w:hideMark/>
          </w:tcPr>
          <w:p w:rsidR="00D13A56" w:rsidRPr="00D13A56" w:rsidRDefault="00D13A56" w:rsidP="00C14EEF">
            <w:pPr>
              <w:jc w:val="center"/>
              <w:rPr>
                <w:rFonts w:asciiTheme="minorHAnsi" w:hAnsiTheme="minorHAnsi" w:cstheme="minorHAnsi"/>
                <w:color w:val="000000"/>
                <w:szCs w:val="22"/>
              </w:rPr>
            </w:pPr>
            <w:r>
              <w:rPr>
                <w:rFonts w:asciiTheme="minorHAnsi" w:hAnsiTheme="minorHAnsi"/>
                <w:color w:val="000000"/>
                <w:szCs w:val="22"/>
              </w:rPr>
              <w:t>2.5.</w:t>
            </w:r>
          </w:p>
        </w:tc>
        <w:tc>
          <w:tcPr>
            <w:tcW w:w="3844"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left"/>
              <w:rPr>
                <w:rFonts w:asciiTheme="minorHAnsi" w:hAnsiTheme="minorHAnsi" w:cstheme="minorHAnsi"/>
                <w:color w:val="000000"/>
                <w:szCs w:val="22"/>
              </w:rPr>
            </w:pPr>
            <w:r>
              <w:rPr>
                <w:rFonts w:asciiTheme="minorHAnsi" w:hAnsiTheme="minorHAnsi"/>
                <w:color w:val="000000"/>
                <w:szCs w:val="22"/>
              </w:rPr>
              <w:t>Інші витрати</w:t>
            </w:r>
          </w:p>
        </w:tc>
        <w:tc>
          <w:tcPr>
            <w:tcW w:w="1247"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364 870</w:t>
            </w:r>
          </w:p>
        </w:tc>
        <w:tc>
          <w:tcPr>
            <w:tcW w:w="1109" w:type="dxa"/>
            <w:tcBorders>
              <w:top w:val="single" w:sz="4" w:space="0" w:color="auto"/>
              <w:left w:val="nil"/>
              <w:bottom w:val="single" w:sz="4" w:space="0" w:color="auto"/>
              <w:right w:val="single" w:sz="4" w:space="0" w:color="auto"/>
            </w:tcBorders>
            <w:shd w:val="clear" w:color="auto" w:fill="auto"/>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0,0321</w:t>
            </w:r>
          </w:p>
        </w:tc>
        <w:tc>
          <w:tcPr>
            <w:tcW w:w="1385"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396 394</w:t>
            </w:r>
          </w:p>
        </w:tc>
        <w:tc>
          <w:tcPr>
            <w:tcW w:w="1109"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0,0351</w:t>
            </w:r>
          </w:p>
        </w:tc>
      </w:tr>
      <w:tr w:rsidR="00D13A56" w:rsidRPr="00D13A56" w:rsidTr="0087131C">
        <w:trPr>
          <w:trHeight w:val="300"/>
        </w:trPr>
        <w:tc>
          <w:tcPr>
            <w:tcW w:w="1066" w:type="dxa"/>
            <w:tcBorders>
              <w:top w:val="nil"/>
              <w:left w:val="single" w:sz="4" w:space="0" w:color="auto"/>
              <w:bottom w:val="single" w:sz="4" w:space="0" w:color="auto"/>
              <w:right w:val="single" w:sz="4" w:space="0" w:color="auto"/>
            </w:tcBorders>
            <w:shd w:val="clear" w:color="auto" w:fill="auto"/>
            <w:vAlign w:val="center"/>
            <w:hideMark/>
          </w:tcPr>
          <w:p w:rsidR="00D13A56" w:rsidRPr="00D13A56" w:rsidRDefault="00D13A56" w:rsidP="00C14EEF">
            <w:pPr>
              <w:jc w:val="center"/>
              <w:rPr>
                <w:rFonts w:asciiTheme="minorHAnsi" w:hAnsiTheme="minorHAnsi" w:cstheme="minorHAnsi"/>
                <w:b/>
                <w:bCs/>
                <w:color w:val="000000"/>
                <w:szCs w:val="22"/>
              </w:rPr>
            </w:pPr>
            <w:r>
              <w:rPr>
                <w:rFonts w:asciiTheme="minorHAnsi" w:hAnsiTheme="minorHAnsi"/>
                <w:b/>
                <w:bCs/>
                <w:color w:val="000000"/>
                <w:szCs w:val="22"/>
              </w:rPr>
              <w:t>3</w:t>
            </w:r>
          </w:p>
        </w:tc>
        <w:tc>
          <w:tcPr>
            <w:tcW w:w="3844"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left"/>
              <w:rPr>
                <w:rFonts w:asciiTheme="minorHAnsi" w:hAnsiTheme="minorHAnsi" w:cstheme="minorHAnsi"/>
                <w:b/>
                <w:bCs/>
                <w:color w:val="000000"/>
                <w:szCs w:val="22"/>
              </w:rPr>
            </w:pPr>
            <w:r>
              <w:rPr>
                <w:rFonts w:asciiTheme="minorHAnsi" w:hAnsiTheme="minorHAnsi"/>
                <w:b/>
                <w:bCs/>
                <w:color w:val="000000"/>
                <w:szCs w:val="22"/>
              </w:rPr>
              <w:t>Витрати на реалізацію</w:t>
            </w:r>
          </w:p>
        </w:tc>
        <w:tc>
          <w:tcPr>
            <w:tcW w:w="1247"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right"/>
              <w:rPr>
                <w:rFonts w:asciiTheme="minorHAnsi" w:hAnsiTheme="minorHAnsi" w:cstheme="minorHAnsi"/>
                <w:b/>
                <w:bCs/>
                <w:color w:val="000000"/>
                <w:szCs w:val="22"/>
              </w:rPr>
            </w:pPr>
            <w:r>
              <w:rPr>
                <w:rFonts w:asciiTheme="minorHAnsi" w:hAnsiTheme="minorHAnsi"/>
                <w:b/>
                <w:bCs/>
                <w:color w:val="000000"/>
                <w:szCs w:val="22"/>
              </w:rPr>
              <w:t>2208,551</w:t>
            </w:r>
          </w:p>
        </w:tc>
        <w:tc>
          <w:tcPr>
            <w:tcW w:w="1109"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right"/>
              <w:rPr>
                <w:rFonts w:asciiTheme="minorHAnsi" w:hAnsiTheme="minorHAnsi" w:cstheme="minorHAnsi"/>
                <w:b/>
                <w:bCs/>
                <w:color w:val="000000"/>
                <w:szCs w:val="22"/>
              </w:rPr>
            </w:pPr>
            <w:r>
              <w:rPr>
                <w:rFonts w:asciiTheme="minorHAnsi" w:hAnsiTheme="minorHAnsi"/>
                <w:b/>
                <w:bCs/>
                <w:color w:val="000000"/>
                <w:szCs w:val="22"/>
              </w:rPr>
              <w:t>0,1941</w:t>
            </w:r>
          </w:p>
        </w:tc>
        <w:tc>
          <w:tcPr>
            <w:tcW w:w="1385"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2391,016</w:t>
            </w:r>
          </w:p>
        </w:tc>
        <w:tc>
          <w:tcPr>
            <w:tcW w:w="1109"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Theme="minorHAnsi" w:hAnsiTheme="minorHAnsi" w:cstheme="minorHAnsi"/>
                <w:b/>
                <w:bCs/>
                <w:color w:val="000000"/>
                <w:szCs w:val="22"/>
              </w:rPr>
            </w:pPr>
            <w:r>
              <w:rPr>
                <w:rFonts w:asciiTheme="minorHAnsi" w:hAnsiTheme="minorHAnsi"/>
                <w:b/>
                <w:bCs/>
                <w:color w:val="000000"/>
                <w:szCs w:val="22"/>
              </w:rPr>
              <w:t>0,2117</w:t>
            </w:r>
          </w:p>
        </w:tc>
      </w:tr>
      <w:tr w:rsidR="00D13A56" w:rsidRPr="00D13A56" w:rsidTr="0087131C">
        <w:trPr>
          <w:trHeight w:val="300"/>
        </w:trPr>
        <w:tc>
          <w:tcPr>
            <w:tcW w:w="1066" w:type="dxa"/>
            <w:tcBorders>
              <w:top w:val="nil"/>
              <w:left w:val="single" w:sz="4" w:space="0" w:color="auto"/>
              <w:bottom w:val="single" w:sz="4" w:space="0" w:color="auto"/>
              <w:right w:val="single" w:sz="4" w:space="0" w:color="auto"/>
            </w:tcBorders>
            <w:shd w:val="clear" w:color="auto" w:fill="auto"/>
            <w:vAlign w:val="center"/>
            <w:hideMark/>
          </w:tcPr>
          <w:p w:rsidR="00D13A56" w:rsidRPr="00D13A56" w:rsidRDefault="00D13A56" w:rsidP="00C14EEF">
            <w:pPr>
              <w:jc w:val="center"/>
              <w:rPr>
                <w:rFonts w:asciiTheme="minorHAnsi" w:hAnsiTheme="minorHAnsi" w:cstheme="minorHAnsi"/>
                <w:color w:val="000000"/>
                <w:szCs w:val="22"/>
              </w:rPr>
            </w:pPr>
            <w:r>
              <w:rPr>
                <w:rFonts w:asciiTheme="minorHAnsi" w:hAnsiTheme="minorHAnsi"/>
                <w:color w:val="000000"/>
                <w:szCs w:val="22"/>
              </w:rPr>
              <w:t>3</w:t>
            </w:r>
            <w:r w:rsidR="0087131C">
              <w:rPr>
                <w:rFonts w:asciiTheme="minorHAnsi" w:hAnsiTheme="minorHAnsi"/>
                <w:color w:val="000000"/>
                <w:szCs w:val="22"/>
              </w:rPr>
              <w:t>.</w:t>
            </w:r>
            <w:r>
              <w:rPr>
                <w:rFonts w:asciiTheme="minorHAnsi" w:hAnsiTheme="minorHAnsi"/>
                <w:color w:val="000000"/>
                <w:szCs w:val="22"/>
              </w:rPr>
              <w:t>1.</w:t>
            </w:r>
          </w:p>
        </w:tc>
        <w:tc>
          <w:tcPr>
            <w:tcW w:w="3844"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left"/>
              <w:rPr>
                <w:rFonts w:asciiTheme="minorHAnsi" w:hAnsiTheme="minorHAnsi" w:cstheme="minorHAnsi"/>
                <w:color w:val="000000"/>
                <w:szCs w:val="22"/>
              </w:rPr>
            </w:pPr>
            <w:r>
              <w:rPr>
                <w:rFonts w:asciiTheme="minorHAnsi" w:hAnsiTheme="minorHAnsi"/>
                <w:color w:val="000000"/>
                <w:szCs w:val="22"/>
              </w:rPr>
              <w:t>Оплата праці</w:t>
            </w:r>
          </w:p>
        </w:tc>
        <w:tc>
          <w:tcPr>
            <w:tcW w:w="1247"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1648,141</w:t>
            </w:r>
          </w:p>
        </w:tc>
        <w:tc>
          <w:tcPr>
            <w:tcW w:w="1109"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0,1448</w:t>
            </w:r>
          </w:p>
        </w:tc>
        <w:tc>
          <w:tcPr>
            <w:tcW w:w="1385"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1779,702</w:t>
            </w:r>
          </w:p>
        </w:tc>
        <w:tc>
          <w:tcPr>
            <w:tcW w:w="1109"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0,1576</w:t>
            </w:r>
          </w:p>
        </w:tc>
      </w:tr>
      <w:tr w:rsidR="00D13A56" w:rsidRPr="00D13A56" w:rsidTr="0087131C">
        <w:trPr>
          <w:trHeight w:val="300"/>
        </w:trPr>
        <w:tc>
          <w:tcPr>
            <w:tcW w:w="1066" w:type="dxa"/>
            <w:tcBorders>
              <w:top w:val="nil"/>
              <w:left w:val="single" w:sz="4" w:space="0" w:color="auto"/>
              <w:bottom w:val="single" w:sz="4" w:space="0" w:color="auto"/>
              <w:right w:val="single" w:sz="4" w:space="0" w:color="auto"/>
            </w:tcBorders>
            <w:shd w:val="clear" w:color="auto" w:fill="auto"/>
            <w:vAlign w:val="center"/>
            <w:hideMark/>
          </w:tcPr>
          <w:p w:rsidR="00D13A56" w:rsidRPr="00D13A56" w:rsidRDefault="00D13A56" w:rsidP="00C14EEF">
            <w:pPr>
              <w:jc w:val="center"/>
              <w:rPr>
                <w:rFonts w:asciiTheme="minorHAnsi" w:hAnsiTheme="minorHAnsi" w:cstheme="minorHAnsi"/>
                <w:color w:val="000000"/>
                <w:szCs w:val="22"/>
              </w:rPr>
            </w:pPr>
            <w:r>
              <w:rPr>
                <w:rFonts w:asciiTheme="minorHAnsi" w:hAnsiTheme="minorHAnsi"/>
                <w:color w:val="000000"/>
                <w:szCs w:val="22"/>
              </w:rPr>
              <w:t>3</w:t>
            </w:r>
            <w:r w:rsidR="0087131C">
              <w:rPr>
                <w:rFonts w:asciiTheme="minorHAnsi" w:hAnsiTheme="minorHAnsi"/>
                <w:color w:val="000000"/>
                <w:szCs w:val="22"/>
              </w:rPr>
              <w:t>.</w:t>
            </w:r>
            <w:r>
              <w:rPr>
                <w:rFonts w:asciiTheme="minorHAnsi" w:hAnsiTheme="minorHAnsi"/>
                <w:color w:val="000000"/>
                <w:szCs w:val="22"/>
              </w:rPr>
              <w:t>2.</w:t>
            </w:r>
          </w:p>
        </w:tc>
        <w:tc>
          <w:tcPr>
            <w:tcW w:w="3844"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left"/>
              <w:rPr>
                <w:rFonts w:asciiTheme="minorHAnsi" w:hAnsiTheme="minorHAnsi" w:cstheme="minorHAnsi"/>
                <w:color w:val="000000"/>
                <w:szCs w:val="22"/>
              </w:rPr>
            </w:pPr>
            <w:r>
              <w:rPr>
                <w:rFonts w:asciiTheme="minorHAnsi" w:hAnsiTheme="minorHAnsi"/>
                <w:color w:val="000000"/>
                <w:szCs w:val="22"/>
              </w:rPr>
              <w:t>Соціальне страхування</w:t>
            </w:r>
          </w:p>
        </w:tc>
        <w:tc>
          <w:tcPr>
            <w:tcW w:w="1247"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362 591</w:t>
            </w:r>
          </w:p>
        </w:tc>
        <w:tc>
          <w:tcPr>
            <w:tcW w:w="1109"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0,0319</w:t>
            </w:r>
          </w:p>
        </w:tc>
        <w:tc>
          <w:tcPr>
            <w:tcW w:w="1385"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391 534</w:t>
            </w:r>
          </w:p>
        </w:tc>
        <w:tc>
          <w:tcPr>
            <w:tcW w:w="1109"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0,0347</w:t>
            </w:r>
          </w:p>
        </w:tc>
      </w:tr>
      <w:tr w:rsidR="00D13A56" w:rsidRPr="00D13A56" w:rsidTr="0087131C">
        <w:trPr>
          <w:trHeight w:val="300"/>
        </w:trPr>
        <w:tc>
          <w:tcPr>
            <w:tcW w:w="1066" w:type="dxa"/>
            <w:tcBorders>
              <w:top w:val="nil"/>
              <w:left w:val="single" w:sz="4" w:space="0" w:color="auto"/>
              <w:bottom w:val="single" w:sz="4" w:space="0" w:color="auto"/>
              <w:right w:val="single" w:sz="4" w:space="0" w:color="auto"/>
            </w:tcBorders>
            <w:shd w:val="clear" w:color="auto" w:fill="auto"/>
            <w:vAlign w:val="center"/>
            <w:hideMark/>
          </w:tcPr>
          <w:p w:rsidR="00D13A56" w:rsidRPr="00D13A56" w:rsidRDefault="00D13A56" w:rsidP="00C14EEF">
            <w:pPr>
              <w:jc w:val="center"/>
              <w:rPr>
                <w:rFonts w:asciiTheme="minorHAnsi" w:hAnsiTheme="minorHAnsi" w:cstheme="minorHAnsi"/>
                <w:color w:val="000000"/>
                <w:szCs w:val="22"/>
              </w:rPr>
            </w:pPr>
            <w:r>
              <w:rPr>
                <w:rFonts w:asciiTheme="minorHAnsi" w:hAnsiTheme="minorHAnsi"/>
                <w:color w:val="000000"/>
                <w:szCs w:val="22"/>
              </w:rPr>
              <w:t>3.3.</w:t>
            </w:r>
          </w:p>
        </w:tc>
        <w:tc>
          <w:tcPr>
            <w:tcW w:w="3844"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left"/>
              <w:rPr>
                <w:rFonts w:asciiTheme="minorHAnsi" w:hAnsiTheme="minorHAnsi" w:cstheme="minorHAnsi"/>
                <w:color w:val="000000"/>
                <w:szCs w:val="22"/>
              </w:rPr>
            </w:pPr>
            <w:r>
              <w:rPr>
                <w:rFonts w:asciiTheme="minorHAnsi" w:hAnsiTheme="minorHAnsi"/>
                <w:color w:val="000000"/>
                <w:szCs w:val="22"/>
              </w:rPr>
              <w:t>Амортизація</w:t>
            </w:r>
          </w:p>
        </w:tc>
        <w:tc>
          <w:tcPr>
            <w:tcW w:w="1247"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16 900</w:t>
            </w:r>
          </w:p>
        </w:tc>
        <w:tc>
          <w:tcPr>
            <w:tcW w:w="1109"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0,0015</w:t>
            </w:r>
          </w:p>
        </w:tc>
        <w:tc>
          <w:tcPr>
            <w:tcW w:w="1385"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16 800</w:t>
            </w:r>
          </w:p>
        </w:tc>
        <w:tc>
          <w:tcPr>
            <w:tcW w:w="1109"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0,0015</w:t>
            </w:r>
          </w:p>
        </w:tc>
      </w:tr>
      <w:tr w:rsidR="00D13A56" w:rsidRPr="00D13A56" w:rsidTr="0087131C">
        <w:trPr>
          <w:trHeight w:val="300"/>
        </w:trPr>
        <w:tc>
          <w:tcPr>
            <w:tcW w:w="1066" w:type="dxa"/>
            <w:tcBorders>
              <w:top w:val="nil"/>
              <w:left w:val="single" w:sz="4" w:space="0" w:color="auto"/>
              <w:bottom w:val="single" w:sz="4" w:space="0" w:color="auto"/>
              <w:right w:val="single" w:sz="4" w:space="0" w:color="auto"/>
            </w:tcBorders>
            <w:shd w:val="clear" w:color="auto" w:fill="auto"/>
            <w:vAlign w:val="center"/>
            <w:hideMark/>
          </w:tcPr>
          <w:p w:rsidR="00D13A56" w:rsidRPr="00D13A56" w:rsidRDefault="00D13A56" w:rsidP="00C14EEF">
            <w:pPr>
              <w:jc w:val="center"/>
              <w:rPr>
                <w:rFonts w:asciiTheme="minorHAnsi" w:hAnsiTheme="minorHAnsi" w:cstheme="minorHAnsi"/>
                <w:color w:val="000000"/>
                <w:szCs w:val="22"/>
              </w:rPr>
            </w:pPr>
            <w:r>
              <w:rPr>
                <w:rFonts w:asciiTheme="minorHAnsi" w:hAnsiTheme="minorHAnsi"/>
                <w:color w:val="000000"/>
                <w:szCs w:val="22"/>
              </w:rPr>
              <w:t>3.4.</w:t>
            </w:r>
          </w:p>
        </w:tc>
        <w:tc>
          <w:tcPr>
            <w:tcW w:w="3844"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left"/>
              <w:rPr>
                <w:rFonts w:asciiTheme="minorHAnsi" w:hAnsiTheme="minorHAnsi" w:cstheme="minorHAnsi"/>
                <w:color w:val="000000"/>
                <w:szCs w:val="22"/>
              </w:rPr>
            </w:pPr>
            <w:r>
              <w:rPr>
                <w:rFonts w:asciiTheme="minorHAnsi" w:hAnsiTheme="minorHAnsi"/>
                <w:color w:val="000000"/>
                <w:szCs w:val="22"/>
              </w:rPr>
              <w:t>Інші витрати</w:t>
            </w:r>
          </w:p>
        </w:tc>
        <w:tc>
          <w:tcPr>
            <w:tcW w:w="1247"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180 919</w:t>
            </w:r>
          </w:p>
        </w:tc>
        <w:tc>
          <w:tcPr>
            <w:tcW w:w="1109"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0,0159</w:t>
            </w:r>
          </w:p>
        </w:tc>
        <w:tc>
          <w:tcPr>
            <w:tcW w:w="1385"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202 980</w:t>
            </w:r>
          </w:p>
        </w:tc>
        <w:tc>
          <w:tcPr>
            <w:tcW w:w="1109"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0,0180</w:t>
            </w:r>
          </w:p>
        </w:tc>
      </w:tr>
      <w:tr w:rsidR="00D13A56" w:rsidRPr="00D13A56" w:rsidTr="0087131C">
        <w:trPr>
          <w:trHeight w:val="300"/>
        </w:trPr>
        <w:tc>
          <w:tcPr>
            <w:tcW w:w="1066" w:type="dxa"/>
            <w:tcBorders>
              <w:top w:val="nil"/>
              <w:left w:val="single" w:sz="4" w:space="0" w:color="auto"/>
              <w:bottom w:val="single" w:sz="4" w:space="0" w:color="auto"/>
              <w:right w:val="single" w:sz="4" w:space="0" w:color="auto"/>
            </w:tcBorders>
            <w:shd w:val="clear" w:color="auto" w:fill="auto"/>
            <w:vAlign w:val="center"/>
            <w:hideMark/>
          </w:tcPr>
          <w:p w:rsidR="00D13A56" w:rsidRPr="00D13A56" w:rsidRDefault="00D13A56" w:rsidP="00C14EEF">
            <w:pPr>
              <w:jc w:val="center"/>
              <w:rPr>
                <w:rFonts w:asciiTheme="minorHAnsi" w:hAnsiTheme="minorHAnsi" w:cstheme="minorHAnsi"/>
                <w:b/>
                <w:bCs/>
                <w:color w:val="000000"/>
                <w:szCs w:val="22"/>
              </w:rPr>
            </w:pPr>
            <w:r>
              <w:rPr>
                <w:rFonts w:asciiTheme="minorHAnsi" w:hAnsiTheme="minorHAnsi"/>
                <w:b/>
                <w:bCs/>
                <w:color w:val="000000"/>
                <w:szCs w:val="22"/>
              </w:rPr>
              <w:t>4</w:t>
            </w:r>
          </w:p>
        </w:tc>
        <w:tc>
          <w:tcPr>
            <w:tcW w:w="3844"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left"/>
              <w:rPr>
                <w:rFonts w:asciiTheme="minorHAnsi" w:hAnsiTheme="minorHAnsi" w:cstheme="minorHAnsi"/>
                <w:b/>
                <w:bCs/>
                <w:color w:val="000000"/>
                <w:szCs w:val="22"/>
              </w:rPr>
            </w:pPr>
            <w:r>
              <w:rPr>
                <w:rFonts w:asciiTheme="minorHAnsi" w:hAnsiTheme="minorHAnsi"/>
                <w:b/>
                <w:bCs/>
                <w:color w:val="000000"/>
                <w:szCs w:val="22"/>
              </w:rPr>
              <w:t>Інші Операційні витрати</w:t>
            </w:r>
          </w:p>
        </w:tc>
        <w:tc>
          <w:tcPr>
            <w:tcW w:w="1247"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right"/>
              <w:rPr>
                <w:rFonts w:asciiTheme="minorHAnsi" w:hAnsiTheme="minorHAnsi" w:cstheme="minorHAnsi"/>
                <w:b/>
                <w:bCs/>
                <w:color w:val="000000"/>
                <w:szCs w:val="22"/>
              </w:rPr>
            </w:pPr>
            <w:r>
              <w:rPr>
                <w:rFonts w:asciiTheme="minorHAnsi" w:hAnsiTheme="minorHAnsi"/>
                <w:b/>
                <w:bCs/>
                <w:color w:val="000000"/>
                <w:szCs w:val="22"/>
              </w:rPr>
              <w:t>0 000</w:t>
            </w:r>
          </w:p>
        </w:tc>
        <w:tc>
          <w:tcPr>
            <w:tcW w:w="1109"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right"/>
              <w:rPr>
                <w:rFonts w:asciiTheme="minorHAnsi" w:hAnsiTheme="minorHAnsi" w:cstheme="minorHAnsi"/>
                <w:b/>
                <w:bCs/>
                <w:color w:val="000000"/>
                <w:szCs w:val="22"/>
              </w:rPr>
            </w:pPr>
            <w:r>
              <w:rPr>
                <w:rFonts w:asciiTheme="minorHAnsi" w:hAnsiTheme="minorHAnsi"/>
                <w:b/>
                <w:bCs/>
                <w:color w:val="000000"/>
                <w:szCs w:val="22"/>
              </w:rPr>
              <w:t>0,0000</w:t>
            </w:r>
          </w:p>
        </w:tc>
        <w:tc>
          <w:tcPr>
            <w:tcW w:w="1385"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Theme="minorHAnsi" w:hAnsiTheme="minorHAnsi" w:cstheme="minorHAnsi"/>
                <w:b/>
                <w:bCs/>
                <w:color w:val="000000"/>
                <w:szCs w:val="22"/>
              </w:rPr>
            </w:pPr>
            <w:r>
              <w:rPr>
                <w:rFonts w:asciiTheme="minorHAnsi" w:hAnsiTheme="minorHAnsi"/>
                <w:b/>
                <w:bCs/>
                <w:color w:val="000000"/>
                <w:szCs w:val="22"/>
              </w:rPr>
              <w:t>0 000</w:t>
            </w:r>
          </w:p>
        </w:tc>
        <w:tc>
          <w:tcPr>
            <w:tcW w:w="1109"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Theme="minorHAnsi" w:hAnsiTheme="minorHAnsi" w:cstheme="minorHAnsi"/>
                <w:b/>
                <w:bCs/>
                <w:color w:val="000000"/>
                <w:szCs w:val="22"/>
              </w:rPr>
            </w:pPr>
            <w:r>
              <w:rPr>
                <w:rFonts w:asciiTheme="minorHAnsi" w:hAnsiTheme="minorHAnsi"/>
                <w:b/>
                <w:bCs/>
                <w:color w:val="000000"/>
                <w:szCs w:val="22"/>
              </w:rPr>
              <w:t>0,0000</w:t>
            </w:r>
          </w:p>
        </w:tc>
      </w:tr>
      <w:tr w:rsidR="00D13A56" w:rsidRPr="00D13A56" w:rsidTr="0087131C">
        <w:trPr>
          <w:trHeight w:val="300"/>
        </w:trPr>
        <w:tc>
          <w:tcPr>
            <w:tcW w:w="1066" w:type="dxa"/>
            <w:tcBorders>
              <w:top w:val="nil"/>
              <w:left w:val="single" w:sz="4" w:space="0" w:color="auto"/>
              <w:bottom w:val="single" w:sz="4" w:space="0" w:color="auto"/>
              <w:right w:val="single" w:sz="4" w:space="0" w:color="auto"/>
            </w:tcBorders>
            <w:shd w:val="clear" w:color="auto" w:fill="auto"/>
            <w:vAlign w:val="center"/>
            <w:hideMark/>
          </w:tcPr>
          <w:p w:rsidR="00D13A56" w:rsidRPr="00D13A56" w:rsidRDefault="00D13A56" w:rsidP="00C14EEF">
            <w:pPr>
              <w:jc w:val="center"/>
              <w:rPr>
                <w:rFonts w:asciiTheme="minorHAnsi" w:hAnsiTheme="minorHAnsi" w:cstheme="minorHAnsi"/>
                <w:b/>
                <w:bCs/>
                <w:color w:val="000000"/>
                <w:szCs w:val="22"/>
              </w:rPr>
            </w:pPr>
            <w:r>
              <w:rPr>
                <w:rFonts w:asciiTheme="minorHAnsi" w:hAnsiTheme="minorHAnsi"/>
                <w:b/>
                <w:bCs/>
                <w:color w:val="000000"/>
                <w:szCs w:val="22"/>
              </w:rPr>
              <w:t>5</w:t>
            </w:r>
          </w:p>
        </w:tc>
        <w:tc>
          <w:tcPr>
            <w:tcW w:w="3844"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left"/>
              <w:rPr>
                <w:rFonts w:asciiTheme="minorHAnsi" w:hAnsiTheme="minorHAnsi" w:cstheme="minorHAnsi"/>
                <w:b/>
                <w:bCs/>
                <w:color w:val="000000"/>
                <w:szCs w:val="22"/>
              </w:rPr>
            </w:pPr>
            <w:r>
              <w:rPr>
                <w:rFonts w:asciiTheme="minorHAnsi" w:hAnsiTheme="minorHAnsi"/>
                <w:b/>
                <w:bCs/>
                <w:color w:val="000000"/>
                <w:szCs w:val="22"/>
              </w:rPr>
              <w:t>Фінансові витрати</w:t>
            </w:r>
          </w:p>
        </w:tc>
        <w:tc>
          <w:tcPr>
            <w:tcW w:w="1247"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0 000</w:t>
            </w:r>
          </w:p>
        </w:tc>
        <w:tc>
          <w:tcPr>
            <w:tcW w:w="1109"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0,0000</w:t>
            </w:r>
          </w:p>
        </w:tc>
        <w:tc>
          <w:tcPr>
            <w:tcW w:w="1385"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Theme="minorHAnsi" w:hAnsiTheme="minorHAnsi" w:cstheme="minorHAnsi"/>
                <w:b/>
                <w:bCs/>
                <w:color w:val="000000"/>
                <w:szCs w:val="22"/>
              </w:rPr>
            </w:pPr>
            <w:r>
              <w:rPr>
                <w:rFonts w:asciiTheme="minorHAnsi" w:hAnsiTheme="minorHAnsi"/>
                <w:b/>
                <w:bCs/>
                <w:color w:val="000000"/>
                <w:szCs w:val="22"/>
              </w:rPr>
              <w:t>0 000</w:t>
            </w:r>
          </w:p>
        </w:tc>
        <w:tc>
          <w:tcPr>
            <w:tcW w:w="1109"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0,0000</w:t>
            </w:r>
          </w:p>
        </w:tc>
      </w:tr>
      <w:tr w:rsidR="00D13A56" w:rsidRPr="00D13A56" w:rsidTr="0087131C">
        <w:trPr>
          <w:trHeight w:val="525"/>
        </w:trPr>
        <w:tc>
          <w:tcPr>
            <w:tcW w:w="1066" w:type="dxa"/>
            <w:tcBorders>
              <w:top w:val="nil"/>
              <w:left w:val="single" w:sz="4" w:space="0" w:color="auto"/>
              <w:bottom w:val="single" w:sz="4" w:space="0" w:color="auto"/>
              <w:right w:val="single" w:sz="4" w:space="0" w:color="auto"/>
            </w:tcBorders>
            <w:shd w:val="clear" w:color="auto" w:fill="auto"/>
            <w:vAlign w:val="center"/>
            <w:hideMark/>
          </w:tcPr>
          <w:p w:rsidR="00D13A56" w:rsidRPr="00D13A56" w:rsidRDefault="00D13A56" w:rsidP="00C14EEF">
            <w:pPr>
              <w:jc w:val="center"/>
              <w:rPr>
                <w:rFonts w:asciiTheme="minorHAnsi" w:hAnsiTheme="minorHAnsi" w:cstheme="minorHAnsi"/>
                <w:b/>
                <w:bCs/>
                <w:color w:val="000000"/>
                <w:szCs w:val="22"/>
              </w:rPr>
            </w:pPr>
            <w:r>
              <w:rPr>
                <w:rFonts w:asciiTheme="minorHAnsi" w:hAnsiTheme="minorHAnsi"/>
                <w:b/>
                <w:bCs/>
                <w:color w:val="000000"/>
                <w:szCs w:val="22"/>
              </w:rPr>
              <w:t>6</w:t>
            </w:r>
          </w:p>
        </w:tc>
        <w:tc>
          <w:tcPr>
            <w:tcW w:w="3844"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87131C">
            <w:pPr>
              <w:ind w:right="-156"/>
              <w:jc w:val="left"/>
              <w:rPr>
                <w:rFonts w:asciiTheme="minorHAnsi" w:hAnsiTheme="minorHAnsi" w:cstheme="minorHAnsi"/>
                <w:b/>
                <w:bCs/>
                <w:color w:val="000000"/>
                <w:szCs w:val="22"/>
              </w:rPr>
            </w:pPr>
            <w:r>
              <w:rPr>
                <w:rFonts w:asciiTheme="minorHAnsi" w:hAnsiTheme="minorHAnsi"/>
                <w:b/>
                <w:bCs/>
                <w:color w:val="000000"/>
                <w:szCs w:val="22"/>
              </w:rPr>
              <w:t>ЗАГАЛОМ, ВИРОБНИЧІ ВИТРАТИ</w:t>
            </w:r>
          </w:p>
        </w:tc>
        <w:tc>
          <w:tcPr>
            <w:tcW w:w="1247"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87131C">
            <w:pPr>
              <w:ind w:left="-60"/>
              <w:jc w:val="right"/>
              <w:rPr>
                <w:rFonts w:asciiTheme="minorHAnsi" w:hAnsiTheme="minorHAnsi" w:cstheme="minorHAnsi"/>
                <w:b/>
                <w:bCs/>
                <w:color w:val="000000"/>
                <w:szCs w:val="22"/>
              </w:rPr>
            </w:pPr>
            <w:r>
              <w:rPr>
                <w:rFonts w:asciiTheme="minorHAnsi" w:hAnsiTheme="minorHAnsi"/>
                <w:b/>
                <w:bCs/>
                <w:color w:val="000000"/>
                <w:szCs w:val="22"/>
              </w:rPr>
              <w:t>73893,843</w:t>
            </w:r>
          </w:p>
        </w:tc>
        <w:tc>
          <w:tcPr>
            <w:tcW w:w="1109"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right"/>
              <w:rPr>
                <w:rFonts w:asciiTheme="minorHAnsi" w:hAnsiTheme="minorHAnsi" w:cstheme="minorHAnsi"/>
                <w:b/>
                <w:bCs/>
                <w:color w:val="000000"/>
                <w:szCs w:val="22"/>
              </w:rPr>
            </w:pPr>
            <w:r>
              <w:rPr>
                <w:rFonts w:asciiTheme="minorHAnsi" w:hAnsiTheme="minorHAnsi"/>
                <w:b/>
                <w:bCs/>
                <w:color w:val="000000"/>
                <w:szCs w:val="22"/>
              </w:rPr>
              <w:t>6,4941</w:t>
            </w:r>
          </w:p>
        </w:tc>
        <w:tc>
          <w:tcPr>
            <w:tcW w:w="1385"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right"/>
              <w:rPr>
                <w:rFonts w:asciiTheme="minorHAnsi" w:hAnsiTheme="minorHAnsi" w:cstheme="minorHAnsi"/>
                <w:b/>
                <w:bCs/>
                <w:color w:val="000000"/>
                <w:szCs w:val="22"/>
              </w:rPr>
            </w:pPr>
            <w:r>
              <w:rPr>
                <w:rFonts w:asciiTheme="minorHAnsi" w:hAnsiTheme="minorHAnsi"/>
                <w:b/>
                <w:bCs/>
                <w:color w:val="000000"/>
                <w:szCs w:val="22"/>
              </w:rPr>
              <w:t>79799,604</w:t>
            </w:r>
          </w:p>
        </w:tc>
        <w:tc>
          <w:tcPr>
            <w:tcW w:w="1109"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Theme="minorHAnsi" w:hAnsiTheme="minorHAnsi" w:cstheme="minorHAnsi"/>
                <w:b/>
                <w:bCs/>
                <w:color w:val="000000"/>
                <w:szCs w:val="22"/>
              </w:rPr>
            </w:pPr>
            <w:r>
              <w:rPr>
                <w:rFonts w:asciiTheme="minorHAnsi" w:hAnsiTheme="minorHAnsi"/>
                <w:b/>
                <w:bCs/>
                <w:color w:val="000000"/>
                <w:szCs w:val="22"/>
              </w:rPr>
              <w:t>7,0662</w:t>
            </w:r>
          </w:p>
        </w:tc>
      </w:tr>
      <w:tr w:rsidR="00D13A56" w:rsidRPr="00D13A56" w:rsidTr="0087131C">
        <w:trPr>
          <w:trHeight w:val="300"/>
        </w:trPr>
        <w:tc>
          <w:tcPr>
            <w:tcW w:w="1066" w:type="dxa"/>
            <w:tcBorders>
              <w:top w:val="nil"/>
              <w:left w:val="single" w:sz="4" w:space="0" w:color="auto"/>
              <w:bottom w:val="single" w:sz="4" w:space="0" w:color="auto"/>
              <w:right w:val="single" w:sz="4" w:space="0" w:color="auto"/>
            </w:tcBorders>
            <w:shd w:val="clear" w:color="auto" w:fill="auto"/>
            <w:vAlign w:val="center"/>
            <w:hideMark/>
          </w:tcPr>
          <w:p w:rsidR="00D13A56" w:rsidRPr="00D13A56" w:rsidRDefault="00D13A56" w:rsidP="00C14EEF">
            <w:pPr>
              <w:jc w:val="center"/>
              <w:rPr>
                <w:rFonts w:asciiTheme="minorHAnsi" w:hAnsiTheme="minorHAnsi" w:cstheme="minorHAnsi"/>
                <w:b/>
                <w:bCs/>
                <w:color w:val="000000"/>
                <w:szCs w:val="22"/>
              </w:rPr>
            </w:pPr>
            <w:r>
              <w:rPr>
                <w:rFonts w:asciiTheme="minorHAnsi" w:hAnsiTheme="minorHAnsi"/>
                <w:b/>
                <w:bCs/>
                <w:color w:val="000000"/>
                <w:szCs w:val="22"/>
              </w:rPr>
              <w:t>7</w:t>
            </w:r>
          </w:p>
        </w:tc>
        <w:tc>
          <w:tcPr>
            <w:tcW w:w="3844"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left"/>
              <w:rPr>
                <w:rFonts w:asciiTheme="minorHAnsi" w:hAnsiTheme="minorHAnsi" w:cstheme="minorHAnsi"/>
                <w:b/>
                <w:bCs/>
                <w:color w:val="000000"/>
                <w:szCs w:val="22"/>
              </w:rPr>
            </w:pPr>
            <w:r>
              <w:rPr>
                <w:rFonts w:asciiTheme="minorHAnsi" w:hAnsiTheme="minorHAnsi"/>
                <w:b/>
                <w:bCs/>
                <w:color w:val="000000"/>
                <w:szCs w:val="22"/>
              </w:rPr>
              <w:t>Плановий прибуток</w:t>
            </w:r>
          </w:p>
        </w:tc>
        <w:tc>
          <w:tcPr>
            <w:tcW w:w="1247"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right"/>
              <w:rPr>
                <w:rFonts w:asciiTheme="minorHAnsi" w:hAnsiTheme="minorHAnsi" w:cstheme="minorHAnsi"/>
                <w:b/>
                <w:bCs/>
                <w:color w:val="000000"/>
                <w:szCs w:val="22"/>
              </w:rPr>
            </w:pPr>
            <w:r>
              <w:rPr>
                <w:rFonts w:asciiTheme="minorHAnsi" w:hAnsiTheme="minorHAnsi"/>
                <w:b/>
                <w:bCs/>
                <w:color w:val="000000"/>
                <w:szCs w:val="22"/>
              </w:rPr>
              <w:t>0 000</w:t>
            </w:r>
          </w:p>
        </w:tc>
        <w:tc>
          <w:tcPr>
            <w:tcW w:w="1109"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right"/>
              <w:rPr>
                <w:rFonts w:asciiTheme="minorHAnsi" w:hAnsiTheme="minorHAnsi" w:cstheme="minorHAnsi"/>
                <w:b/>
                <w:bCs/>
                <w:color w:val="000000"/>
                <w:szCs w:val="22"/>
              </w:rPr>
            </w:pPr>
            <w:r>
              <w:rPr>
                <w:rFonts w:asciiTheme="minorHAnsi" w:hAnsiTheme="minorHAnsi"/>
                <w:b/>
                <w:bCs/>
                <w:color w:val="000000"/>
                <w:szCs w:val="22"/>
              </w:rPr>
              <w:t>0,0000</w:t>
            </w:r>
          </w:p>
        </w:tc>
        <w:tc>
          <w:tcPr>
            <w:tcW w:w="1385"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right"/>
              <w:rPr>
                <w:rFonts w:asciiTheme="minorHAnsi" w:hAnsiTheme="minorHAnsi" w:cstheme="minorHAnsi"/>
                <w:b/>
                <w:bCs/>
                <w:color w:val="000000"/>
                <w:szCs w:val="22"/>
              </w:rPr>
            </w:pPr>
            <w:r>
              <w:rPr>
                <w:rFonts w:asciiTheme="minorHAnsi" w:hAnsiTheme="minorHAnsi"/>
                <w:b/>
                <w:bCs/>
                <w:color w:val="000000"/>
                <w:szCs w:val="22"/>
              </w:rPr>
              <w:t>0 000</w:t>
            </w:r>
          </w:p>
        </w:tc>
        <w:tc>
          <w:tcPr>
            <w:tcW w:w="1109"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Theme="minorHAnsi" w:hAnsiTheme="minorHAnsi" w:cstheme="minorHAnsi"/>
                <w:b/>
                <w:bCs/>
                <w:color w:val="000000"/>
                <w:szCs w:val="22"/>
              </w:rPr>
            </w:pPr>
            <w:r>
              <w:rPr>
                <w:rFonts w:asciiTheme="minorHAnsi" w:hAnsiTheme="minorHAnsi"/>
                <w:b/>
                <w:bCs/>
                <w:color w:val="000000"/>
                <w:szCs w:val="22"/>
              </w:rPr>
              <w:t>0,0000</w:t>
            </w:r>
          </w:p>
        </w:tc>
      </w:tr>
      <w:tr w:rsidR="00D13A56" w:rsidRPr="00D13A56" w:rsidTr="0087131C">
        <w:trPr>
          <w:trHeight w:val="300"/>
        </w:trPr>
        <w:tc>
          <w:tcPr>
            <w:tcW w:w="1066" w:type="dxa"/>
            <w:tcBorders>
              <w:top w:val="nil"/>
              <w:left w:val="single" w:sz="4" w:space="0" w:color="auto"/>
              <w:bottom w:val="single" w:sz="4" w:space="0" w:color="auto"/>
              <w:right w:val="single" w:sz="4" w:space="0" w:color="auto"/>
            </w:tcBorders>
            <w:shd w:val="clear" w:color="auto" w:fill="auto"/>
            <w:vAlign w:val="center"/>
            <w:hideMark/>
          </w:tcPr>
          <w:p w:rsidR="00D13A56" w:rsidRPr="00D13A56" w:rsidRDefault="00D13A56" w:rsidP="00C14EEF">
            <w:pPr>
              <w:jc w:val="center"/>
              <w:rPr>
                <w:rFonts w:asciiTheme="minorHAnsi" w:hAnsiTheme="minorHAnsi" w:cstheme="minorHAnsi"/>
                <w:color w:val="000000"/>
                <w:szCs w:val="22"/>
              </w:rPr>
            </w:pPr>
            <w:r>
              <w:rPr>
                <w:rFonts w:asciiTheme="minorHAnsi" w:hAnsiTheme="minorHAnsi"/>
                <w:color w:val="000000"/>
                <w:szCs w:val="22"/>
              </w:rPr>
              <w:t>7</w:t>
            </w:r>
            <w:r w:rsidR="0087131C">
              <w:rPr>
                <w:rFonts w:asciiTheme="minorHAnsi" w:hAnsiTheme="minorHAnsi"/>
                <w:color w:val="000000"/>
                <w:szCs w:val="22"/>
              </w:rPr>
              <w:t>.</w:t>
            </w:r>
            <w:r>
              <w:rPr>
                <w:rFonts w:asciiTheme="minorHAnsi" w:hAnsiTheme="minorHAnsi"/>
                <w:color w:val="000000"/>
                <w:szCs w:val="22"/>
              </w:rPr>
              <w:t>1.</w:t>
            </w:r>
          </w:p>
        </w:tc>
        <w:tc>
          <w:tcPr>
            <w:tcW w:w="3844" w:type="dxa"/>
            <w:tcBorders>
              <w:top w:val="nil"/>
              <w:left w:val="nil"/>
              <w:bottom w:val="nil"/>
              <w:right w:val="single" w:sz="4" w:space="0" w:color="auto"/>
            </w:tcBorders>
            <w:shd w:val="clear" w:color="auto" w:fill="auto"/>
            <w:vAlign w:val="center"/>
            <w:hideMark/>
          </w:tcPr>
          <w:p w:rsidR="00D13A56" w:rsidRPr="00D13A56" w:rsidRDefault="00D13A56" w:rsidP="00C14EEF">
            <w:pPr>
              <w:jc w:val="left"/>
              <w:rPr>
                <w:rFonts w:asciiTheme="minorHAnsi" w:hAnsiTheme="minorHAnsi" w:cstheme="minorHAnsi"/>
                <w:color w:val="000000"/>
                <w:szCs w:val="22"/>
              </w:rPr>
            </w:pPr>
            <w:r>
              <w:rPr>
                <w:rFonts w:asciiTheme="minorHAnsi" w:hAnsiTheme="minorHAnsi"/>
                <w:color w:val="000000"/>
                <w:szCs w:val="22"/>
              </w:rPr>
              <w:t>Податок на прибуток</w:t>
            </w:r>
          </w:p>
        </w:tc>
        <w:tc>
          <w:tcPr>
            <w:tcW w:w="1247"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0 000</w:t>
            </w:r>
          </w:p>
        </w:tc>
        <w:tc>
          <w:tcPr>
            <w:tcW w:w="1109"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0,0000</w:t>
            </w:r>
          </w:p>
        </w:tc>
        <w:tc>
          <w:tcPr>
            <w:tcW w:w="1385"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0 000</w:t>
            </w:r>
          </w:p>
        </w:tc>
        <w:tc>
          <w:tcPr>
            <w:tcW w:w="1109"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0,0000</w:t>
            </w:r>
          </w:p>
        </w:tc>
      </w:tr>
      <w:tr w:rsidR="00D13A56" w:rsidRPr="00D13A56" w:rsidTr="0087131C">
        <w:trPr>
          <w:trHeight w:val="300"/>
        </w:trPr>
        <w:tc>
          <w:tcPr>
            <w:tcW w:w="1066" w:type="dxa"/>
            <w:tcBorders>
              <w:top w:val="nil"/>
              <w:left w:val="single" w:sz="4" w:space="0" w:color="auto"/>
              <w:bottom w:val="single" w:sz="4" w:space="0" w:color="auto"/>
              <w:right w:val="single" w:sz="4" w:space="0" w:color="auto"/>
            </w:tcBorders>
            <w:shd w:val="clear" w:color="auto" w:fill="auto"/>
            <w:vAlign w:val="center"/>
            <w:hideMark/>
          </w:tcPr>
          <w:p w:rsidR="00D13A56" w:rsidRPr="00D13A56" w:rsidRDefault="00D13A56" w:rsidP="00C14EEF">
            <w:pPr>
              <w:jc w:val="center"/>
              <w:rPr>
                <w:rFonts w:asciiTheme="minorHAnsi" w:hAnsiTheme="minorHAnsi" w:cstheme="minorHAnsi"/>
                <w:color w:val="000000"/>
                <w:szCs w:val="22"/>
              </w:rPr>
            </w:pPr>
            <w:r>
              <w:rPr>
                <w:rFonts w:asciiTheme="minorHAnsi" w:hAnsiTheme="minorHAnsi"/>
                <w:color w:val="000000"/>
                <w:szCs w:val="22"/>
              </w:rPr>
              <w:t>7</w:t>
            </w:r>
            <w:r w:rsidR="0087131C">
              <w:rPr>
                <w:rFonts w:asciiTheme="minorHAnsi" w:hAnsiTheme="minorHAnsi"/>
                <w:color w:val="000000"/>
                <w:szCs w:val="22"/>
              </w:rPr>
              <w:t>.</w:t>
            </w:r>
            <w:r>
              <w:rPr>
                <w:rFonts w:asciiTheme="minorHAnsi" w:hAnsiTheme="minorHAnsi"/>
                <w:color w:val="000000"/>
                <w:szCs w:val="22"/>
              </w:rPr>
              <w:t>2.</w:t>
            </w:r>
          </w:p>
        </w:tc>
        <w:tc>
          <w:tcPr>
            <w:tcW w:w="3844" w:type="dxa"/>
            <w:tcBorders>
              <w:top w:val="single" w:sz="4" w:space="0" w:color="auto"/>
              <w:left w:val="nil"/>
              <w:bottom w:val="single" w:sz="4" w:space="0" w:color="auto"/>
              <w:right w:val="single" w:sz="4" w:space="0" w:color="auto"/>
            </w:tcBorders>
            <w:shd w:val="clear" w:color="auto" w:fill="auto"/>
            <w:vAlign w:val="center"/>
            <w:hideMark/>
          </w:tcPr>
          <w:p w:rsidR="00D13A56" w:rsidRPr="00D13A56" w:rsidRDefault="00D13A56" w:rsidP="00C14EEF">
            <w:pPr>
              <w:jc w:val="left"/>
              <w:rPr>
                <w:rFonts w:asciiTheme="minorHAnsi" w:hAnsiTheme="minorHAnsi" w:cstheme="minorHAnsi"/>
                <w:color w:val="000000"/>
                <w:szCs w:val="22"/>
              </w:rPr>
            </w:pPr>
            <w:r>
              <w:rPr>
                <w:rFonts w:asciiTheme="minorHAnsi" w:hAnsiTheme="minorHAnsi"/>
                <w:color w:val="000000"/>
                <w:szCs w:val="22"/>
              </w:rPr>
              <w:t>Дивіденди</w:t>
            </w:r>
          </w:p>
        </w:tc>
        <w:tc>
          <w:tcPr>
            <w:tcW w:w="1247"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0 000</w:t>
            </w:r>
          </w:p>
        </w:tc>
        <w:tc>
          <w:tcPr>
            <w:tcW w:w="1109"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0,0000</w:t>
            </w:r>
          </w:p>
        </w:tc>
        <w:tc>
          <w:tcPr>
            <w:tcW w:w="1385"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0 000</w:t>
            </w:r>
          </w:p>
        </w:tc>
        <w:tc>
          <w:tcPr>
            <w:tcW w:w="1109"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0,0000</w:t>
            </w:r>
          </w:p>
        </w:tc>
      </w:tr>
      <w:tr w:rsidR="00D13A56" w:rsidRPr="00D13A56" w:rsidTr="0087131C">
        <w:trPr>
          <w:trHeight w:val="300"/>
        </w:trPr>
        <w:tc>
          <w:tcPr>
            <w:tcW w:w="1066" w:type="dxa"/>
            <w:tcBorders>
              <w:top w:val="nil"/>
              <w:left w:val="single" w:sz="4" w:space="0" w:color="auto"/>
              <w:bottom w:val="single" w:sz="4" w:space="0" w:color="auto"/>
              <w:right w:val="single" w:sz="4" w:space="0" w:color="auto"/>
            </w:tcBorders>
            <w:shd w:val="clear" w:color="auto" w:fill="auto"/>
            <w:vAlign w:val="center"/>
            <w:hideMark/>
          </w:tcPr>
          <w:p w:rsidR="00D13A56" w:rsidRPr="00D13A56" w:rsidRDefault="00D13A56" w:rsidP="00C14EEF">
            <w:pPr>
              <w:jc w:val="center"/>
              <w:rPr>
                <w:rFonts w:asciiTheme="minorHAnsi" w:hAnsiTheme="minorHAnsi" w:cstheme="minorHAnsi"/>
                <w:color w:val="000000"/>
                <w:szCs w:val="22"/>
              </w:rPr>
            </w:pPr>
            <w:r>
              <w:rPr>
                <w:rFonts w:asciiTheme="minorHAnsi" w:hAnsiTheme="minorHAnsi"/>
                <w:color w:val="000000"/>
                <w:szCs w:val="22"/>
              </w:rPr>
              <w:t>7</w:t>
            </w:r>
            <w:r w:rsidR="0087131C">
              <w:rPr>
                <w:rFonts w:asciiTheme="minorHAnsi" w:hAnsiTheme="minorHAnsi"/>
                <w:color w:val="000000"/>
                <w:szCs w:val="22"/>
              </w:rPr>
              <w:t>.</w:t>
            </w:r>
            <w:r>
              <w:rPr>
                <w:rFonts w:asciiTheme="minorHAnsi" w:hAnsiTheme="minorHAnsi"/>
                <w:color w:val="000000"/>
                <w:szCs w:val="22"/>
              </w:rPr>
              <w:t>3.</w:t>
            </w:r>
          </w:p>
        </w:tc>
        <w:tc>
          <w:tcPr>
            <w:tcW w:w="3844"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left"/>
              <w:rPr>
                <w:rFonts w:asciiTheme="minorHAnsi" w:hAnsiTheme="minorHAnsi" w:cstheme="minorHAnsi"/>
                <w:color w:val="000000"/>
                <w:szCs w:val="22"/>
              </w:rPr>
            </w:pPr>
            <w:r>
              <w:rPr>
                <w:rFonts w:asciiTheme="minorHAnsi" w:hAnsiTheme="minorHAnsi"/>
                <w:color w:val="000000"/>
                <w:szCs w:val="22"/>
              </w:rPr>
              <w:t>Резервний капітал</w:t>
            </w:r>
          </w:p>
        </w:tc>
        <w:tc>
          <w:tcPr>
            <w:tcW w:w="1247"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0 000</w:t>
            </w:r>
          </w:p>
        </w:tc>
        <w:tc>
          <w:tcPr>
            <w:tcW w:w="1109"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0,0000</w:t>
            </w:r>
          </w:p>
        </w:tc>
        <w:tc>
          <w:tcPr>
            <w:tcW w:w="1385"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0 000</w:t>
            </w:r>
          </w:p>
        </w:tc>
        <w:tc>
          <w:tcPr>
            <w:tcW w:w="1109"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0,0000</w:t>
            </w:r>
          </w:p>
        </w:tc>
      </w:tr>
      <w:tr w:rsidR="00D13A56" w:rsidRPr="00D13A56" w:rsidTr="0087131C">
        <w:trPr>
          <w:trHeight w:val="345"/>
        </w:trPr>
        <w:tc>
          <w:tcPr>
            <w:tcW w:w="1066" w:type="dxa"/>
            <w:tcBorders>
              <w:top w:val="nil"/>
              <w:left w:val="single" w:sz="4" w:space="0" w:color="auto"/>
              <w:bottom w:val="single" w:sz="4" w:space="0" w:color="auto"/>
              <w:right w:val="single" w:sz="4" w:space="0" w:color="auto"/>
            </w:tcBorders>
            <w:shd w:val="clear" w:color="auto" w:fill="auto"/>
            <w:vAlign w:val="center"/>
            <w:hideMark/>
          </w:tcPr>
          <w:p w:rsidR="00D13A56" w:rsidRPr="00D13A56" w:rsidRDefault="00D13A56" w:rsidP="00C14EEF">
            <w:pPr>
              <w:jc w:val="center"/>
              <w:rPr>
                <w:rFonts w:asciiTheme="minorHAnsi" w:hAnsiTheme="minorHAnsi" w:cstheme="minorHAnsi"/>
                <w:color w:val="000000"/>
                <w:szCs w:val="22"/>
              </w:rPr>
            </w:pPr>
            <w:r>
              <w:rPr>
                <w:rFonts w:asciiTheme="minorHAnsi" w:hAnsiTheme="minorHAnsi"/>
                <w:color w:val="000000"/>
                <w:szCs w:val="22"/>
              </w:rPr>
              <w:t>7</w:t>
            </w:r>
            <w:r w:rsidR="0087131C">
              <w:rPr>
                <w:rFonts w:asciiTheme="minorHAnsi" w:hAnsiTheme="minorHAnsi"/>
                <w:color w:val="000000"/>
                <w:szCs w:val="22"/>
              </w:rPr>
              <w:t>.</w:t>
            </w:r>
            <w:r>
              <w:rPr>
                <w:rFonts w:asciiTheme="minorHAnsi" w:hAnsiTheme="minorHAnsi"/>
                <w:color w:val="000000"/>
                <w:szCs w:val="22"/>
              </w:rPr>
              <w:t>4.</w:t>
            </w:r>
          </w:p>
        </w:tc>
        <w:tc>
          <w:tcPr>
            <w:tcW w:w="3844"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left"/>
              <w:rPr>
                <w:rFonts w:asciiTheme="minorHAnsi" w:hAnsiTheme="minorHAnsi" w:cstheme="minorHAnsi"/>
                <w:color w:val="000000"/>
                <w:szCs w:val="22"/>
              </w:rPr>
            </w:pPr>
            <w:r>
              <w:rPr>
                <w:rFonts w:asciiTheme="minorHAnsi" w:hAnsiTheme="minorHAnsi"/>
                <w:color w:val="000000"/>
                <w:szCs w:val="22"/>
              </w:rPr>
              <w:t>Інвестиції у виробництво</w:t>
            </w:r>
          </w:p>
        </w:tc>
        <w:tc>
          <w:tcPr>
            <w:tcW w:w="1247"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0 000</w:t>
            </w:r>
          </w:p>
        </w:tc>
        <w:tc>
          <w:tcPr>
            <w:tcW w:w="1109"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0,0000</w:t>
            </w:r>
          </w:p>
        </w:tc>
        <w:tc>
          <w:tcPr>
            <w:tcW w:w="1385" w:type="dxa"/>
            <w:tcBorders>
              <w:top w:val="nil"/>
              <w:left w:val="nil"/>
              <w:bottom w:val="single" w:sz="4" w:space="0" w:color="auto"/>
              <w:right w:val="single" w:sz="4" w:space="0" w:color="auto"/>
            </w:tcBorders>
            <w:shd w:val="clear" w:color="auto" w:fill="auto"/>
            <w:noWrap/>
            <w:vAlign w:val="bottom"/>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0,0000</w:t>
            </w:r>
          </w:p>
        </w:tc>
        <w:tc>
          <w:tcPr>
            <w:tcW w:w="1109"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0,0000</w:t>
            </w:r>
          </w:p>
        </w:tc>
      </w:tr>
      <w:tr w:rsidR="00D13A56" w:rsidRPr="00D13A56" w:rsidTr="0087131C">
        <w:trPr>
          <w:trHeight w:val="330"/>
        </w:trPr>
        <w:tc>
          <w:tcPr>
            <w:tcW w:w="1066" w:type="dxa"/>
            <w:tcBorders>
              <w:top w:val="nil"/>
              <w:left w:val="single" w:sz="4" w:space="0" w:color="auto"/>
              <w:bottom w:val="single" w:sz="4" w:space="0" w:color="auto"/>
              <w:right w:val="single" w:sz="4" w:space="0" w:color="auto"/>
            </w:tcBorders>
            <w:shd w:val="clear" w:color="auto" w:fill="auto"/>
            <w:vAlign w:val="center"/>
            <w:hideMark/>
          </w:tcPr>
          <w:p w:rsidR="00D13A56" w:rsidRPr="00D13A56" w:rsidRDefault="00D13A56" w:rsidP="00C14EEF">
            <w:pPr>
              <w:jc w:val="center"/>
              <w:rPr>
                <w:rFonts w:asciiTheme="minorHAnsi" w:hAnsiTheme="minorHAnsi" w:cstheme="minorHAnsi"/>
                <w:color w:val="000000"/>
                <w:szCs w:val="22"/>
              </w:rPr>
            </w:pPr>
            <w:r>
              <w:rPr>
                <w:rFonts w:asciiTheme="minorHAnsi" w:hAnsiTheme="minorHAnsi"/>
                <w:color w:val="000000"/>
                <w:szCs w:val="22"/>
              </w:rPr>
              <w:t>7</w:t>
            </w:r>
            <w:r w:rsidR="0087131C">
              <w:rPr>
                <w:rFonts w:asciiTheme="minorHAnsi" w:hAnsiTheme="minorHAnsi"/>
                <w:color w:val="000000"/>
                <w:szCs w:val="22"/>
              </w:rPr>
              <w:t>.</w:t>
            </w:r>
            <w:r>
              <w:rPr>
                <w:rFonts w:asciiTheme="minorHAnsi" w:hAnsiTheme="minorHAnsi"/>
                <w:color w:val="000000"/>
                <w:szCs w:val="22"/>
              </w:rPr>
              <w:t>5.</w:t>
            </w:r>
          </w:p>
        </w:tc>
        <w:tc>
          <w:tcPr>
            <w:tcW w:w="3844"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left"/>
              <w:rPr>
                <w:rFonts w:asciiTheme="minorHAnsi" w:hAnsiTheme="minorHAnsi" w:cstheme="minorHAnsi"/>
                <w:color w:val="000000"/>
                <w:szCs w:val="22"/>
              </w:rPr>
            </w:pPr>
            <w:r>
              <w:rPr>
                <w:rFonts w:asciiTheme="minorHAnsi" w:hAnsiTheme="minorHAnsi"/>
                <w:color w:val="000000"/>
                <w:szCs w:val="22"/>
              </w:rPr>
              <w:t>Інше використання доходу</w:t>
            </w:r>
          </w:p>
        </w:tc>
        <w:tc>
          <w:tcPr>
            <w:tcW w:w="1247"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0 000</w:t>
            </w:r>
          </w:p>
        </w:tc>
        <w:tc>
          <w:tcPr>
            <w:tcW w:w="1109"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0,0000</w:t>
            </w:r>
          </w:p>
        </w:tc>
        <w:tc>
          <w:tcPr>
            <w:tcW w:w="1385" w:type="dxa"/>
            <w:tcBorders>
              <w:top w:val="nil"/>
              <w:left w:val="nil"/>
              <w:bottom w:val="nil"/>
              <w:right w:val="single" w:sz="4" w:space="0" w:color="auto"/>
            </w:tcBorders>
            <w:shd w:val="clear" w:color="auto" w:fill="auto"/>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0 000</w:t>
            </w:r>
          </w:p>
        </w:tc>
        <w:tc>
          <w:tcPr>
            <w:tcW w:w="1109"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right"/>
              <w:rPr>
                <w:rFonts w:asciiTheme="minorHAnsi" w:hAnsiTheme="minorHAnsi" w:cstheme="minorHAnsi"/>
                <w:color w:val="000000"/>
                <w:szCs w:val="22"/>
              </w:rPr>
            </w:pPr>
            <w:r>
              <w:rPr>
                <w:rFonts w:asciiTheme="minorHAnsi" w:hAnsiTheme="minorHAnsi"/>
                <w:color w:val="000000"/>
                <w:szCs w:val="22"/>
              </w:rPr>
              <w:t>0,0000</w:t>
            </w:r>
          </w:p>
        </w:tc>
      </w:tr>
      <w:tr w:rsidR="00D13A56" w:rsidRPr="00D13A56" w:rsidTr="0087131C">
        <w:trPr>
          <w:trHeight w:val="990"/>
        </w:trPr>
        <w:tc>
          <w:tcPr>
            <w:tcW w:w="1066" w:type="dxa"/>
            <w:tcBorders>
              <w:top w:val="nil"/>
              <w:left w:val="single" w:sz="4" w:space="0" w:color="auto"/>
              <w:bottom w:val="single" w:sz="4" w:space="0" w:color="auto"/>
              <w:right w:val="single" w:sz="4" w:space="0" w:color="auto"/>
            </w:tcBorders>
            <w:shd w:val="clear" w:color="auto" w:fill="auto"/>
            <w:vAlign w:val="center"/>
            <w:hideMark/>
          </w:tcPr>
          <w:p w:rsidR="00D13A56" w:rsidRPr="00D13A56" w:rsidRDefault="00D13A56" w:rsidP="00C14EEF">
            <w:pPr>
              <w:jc w:val="center"/>
              <w:rPr>
                <w:rFonts w:asciiTheme="minorHAnsi" w:hAnsiTheme="minorHAnsi" w:cstheme="minorHAnsi"/>
                <w:b/>
                <w:bCs/>
                <w:color w:val="000000"/>
                <w:szCs w:val="22"/>
              </w:rPr>
            </w:pPr>
            <w:r>
              <w:rPr>
                <w:rFonts w:asciiTheme="minorHAnsi" w:hAnsiTheme="minorHAnsi"/>
                <w:b/>
                <w:bCs/>
                <w:color w:val="000000"/>
                <w:szCs w:val="22"/>
              </w:rPr>
              <w:t>8</w:t>
            </w:r>
          </w:p>
        </w:tc>
        <w:tc>
          <w:tcPr>
            <w:tcW w:w="3844" w:type="dxa"/>
            <w:tcBorders>
              <w:top w:val="nil"/>
              <w:left w:val="nil"/>
              <w:bottom w:val="single" w:sz="4" w:space="0" w:color="auto"/>
              <w:right w:val="single" w:sz="4" w:space="0" w:color="auto"/>
            </w:tcBorders>
            <w:shd w:val="clear" w:color="auto" w:fill="auto"/>
            <w:vAlign w:val="center"/>
            <w:hideMark/>
          </w:tcPr>
          <w:p w:rsidR="00D13A56" w:rsidRPr="00424F41" w:rsidRDefault="00D13A56" w:rsidP="00C14EEF">
            <w:pPr>
              <w:jc w:val="left"/>
              <w:rPr>
                <w:rFonts w:asciiTheme="minorHAnsi" w:hAnsiTheme="minorHAnsi" w:cstheme="minorHAnsi"/>
                <w:bCs/>
                <w:color w:val="000000"/>
                <w:szCs w:val="22"/>
              </w:rPr>
            </w:pPr>
            <w:r>
              <w:rPr>
                <w:rFonts w:asciiTheme="minorHAnsi" w:hAnsiTheme="minorHAnsi"/>
                <w:bCs/>
                <w:color w:val="000000"/>
                <w:szCs w:val="22"/>
              </w:rPr>
              <w:t>Компенсація електроенергії, податків, оплати праці за минулі періоди за централізоване водопостачання/водовідведення.</w:t>
            </w:r>
          </w:p>
        </w:tc>
        <w:tc>
          <w:tcPr>
            <w:tcW w:w="1247" w:type="dxa"/>
            <w:tcBorders>
              <w:top w:val="nil"/>
              <w:left w:val="nil"/>
              <w:bottom w:val="single" w:sz="4" w:space="0" w:color="auto"/>
              <w:right w:val="single" w:sz="4" w:space="0" w:color="auto"/>
            </w:tcBorders>
            <w:shd w:val="clear" w:color="auto" w:fill="auto"/>
            <w:vAlign w:val="center"/>
            <w:hideMark/>
          </w:tcPr>
          <w:p w:rsidR="00D13A56" w:rsidRPr="00424F41" w:rsidRDefault="00D13A56" w:rsidP="00C14EEF">
            <w:pPr>
              <w:jc w:val="right"/>
              <w:rPr>
                <w:rFonts w:asciiTheme="minorHAnsi" w:hAnsiTheme="minorHAnsi" w:cstheme="minorHAnsi"/>
                <w:bCs/>
                <w:color w:val="000000"/>
                <w:szCs w:val="22"/>
              </w:rPr>
            </w:pPr>
            <w:r>
              <w:rPr>
                <w:rFonts w:asciiTheme="minorHAnsi" w:hAnsiTheme="minorHAnsi"/>
                <w:bCs/>
                <w:color w:val="000000"/>
                <w:szCs w:val="22"/>
              </w:rPr>
              <w:t>0 000</w:t>
            </w:r>
          </w:p>
        </w:tc>
        <w:tc>
          <w:tcPr>
            <w:tcW w:w="1109" w:type="dxa"/>
            <w:tcBorders>
              <w:top w:val="nil"/>
              <w:left w:val="nil"/>
              <w:bottom w:val="single" w:sz="4" w:space="0" w:color="auto"/>
              <w:right w:val="single" w:sz="4" w:space="0" w:color="auto"/>
            </w:tcBorders>
            <w:shd w:val="clear" w:color="auto" w:fill="auto"/>
            <w:vAlign w:val="center"/>
            <w:hideMark/>
          </w:tcPr>
          <w:p w:rsidR="00D13A56" w:rsidRPr="00424F41" w:rsidRDefault="00D13A56" w:rsidP="00C14EEF">
            <w:pPr>
              <w:jc w:val="right"/>
              <w:rPr>
                <w:rFonts w:asciiTheme="minorHAnsi" w:hAnsiTheme="minorHAnsi" w:cstheme="minorHAnsi"/>
                <w:bCs/>
                <w:color w:val="000000"/>
                <w:szCs w:val="22"/>
              </w:rPr>
            </w:pPr>
            <w:r>
              <w:rPr>
                <w:rFonts w:asciiTheme="minorHAnsi" w:hAnsiTheme="minorHAnsi"/>
                <w:bCs/>
                <w:color w:val="000000"/>
                <w:szCs w:val="22"/>
              </w:rPr>
              <w:t>0,0000</w:t>
            </w:r>
          </w:p>
        </w:tc>
        <w:tc>
          <w:tcPr>
            <w:tcW w:w="1385" w:type="dxa"/>
            <w:tcBorders>
              <w:top w:val="single" w:sz="4" w:space="0" w:color="auto"/>
              <w:left w:val="nil"/>
              <w:bottom w:val="single" w:sz="4" w:space="0" w:color="auto"/>
              <w:right w:val="single" w:sz="4" w:space="0" w:color="auto"/>
            </w:tcBorders>
            <w:shd w:val="clear" w:color="auto" w:fill="auto"/>
            <w:vAlign w:val="center"/>
            <w:hideMark/>
          </w:tcPr>
          <w:p w:rsidR="00D13A56" w:rsidRPr="00424F41" w:rsidRDefault="00D13A56" w:rsidP="00C14EEF">
            <w:pPr>
              <w:jc w:val="right"/>
              <w:rPr>
                <w:rFonts w:asciiTheme="minorHAnsi" w:hAnsiTheme="minorHAnsi" w:cstheme="minorHAnsi"/>
                <w:bCs/>
                <w:color w:val="000000"/>
                <w:szCs w:val="22"/>
              </w:rPr>
            </w:pPr>
            <w:r>
              <w:rPr>
                <w:rFonts w:asciiTheme="minorHAnsi" w:hAnsiTheme="minorHAnsi"/>
                <w:bCs/>
                <w:color w:val="000000"/>
                <w:szCs w:val="22"/>
              </w:rPr>
              <w:t>255 540</w:t>
            </w:r>
          </w:p>
        </w:tc>
        <w:tc>
          <w:tcPr>
            <w:tcW w:w="1109" w:type="dxa"/>
            <w:tcBorders>
              <w:top w:val="nil"/>
              <w:left w:val="nil"/>
              <w:bottom w:val="single" w:sz="4" w:space="0" w:color="auto"/>
              <w:right w:val="single" w:sz="4" w:space="0" w:color="auto"/>
            </w:tcBorders>
            <w:shd w:val="clear" w:color="auto" w:fill="auto"/>
            <w:vAlign w:val="center"/>
            <w:hideMark/>
          </w:tcPr>
          <w:p w:rsidR="00D13A56" w:rsidRPr="00424F41" w:rsidRDefault="00D13A56" w:rsidP="00C14EEF">
            <w:pPr>
              <w:jc w:val="right"/>
              <w:rPr>
                <w:rFonts w:asciiTheme="minorHAnsi" w:hAnsiTheme="minorHAnsi" w:cstheme="minorHAnsi"/>
                <w:bCs/>
                <w:color w:val="000000"/>
                <w:szCs w:val="22"/>
              </w:rPr>
            </w:pPr>
            <w:r>
              <w:rPr>
                <w:rFonts w:asciiTheme="minorHAnsi" w:hAnsiTheme="minorHAnsi"/>
                <w:bCs/>
                <w:color w:val="000000"/>
                <w:szCs w:val="22"/>
              </w:rPr>
              <w:t>0,0226</w:t>
            </w:r>
          </w:p>
        </w:tc>
      </w:tr>
      <w:tr w:rsidR="00D13A56" w:rsidRPr="00D13A56" w:rsidTr="0087131C">
        <w:trPr>
          <w:trHeight w:val="765"/>
        </w:trPr>
        <w:tc>
          <w:tcPr>
            <w:tcW w:w="1066" w:type="dxa"/>
            <w:tcBorders>
              <w:top w:val="nil"/>
              <w:left w:val="single" w:sz="4" w:space="0" w:color="auto"/>
              <w:bottom w:val="single" w:sz="4" w:space="0" w:color="auto"/>
              <w:right w:val="single" w:sz="4" w:space="0" w:color="auto"/>
            </w:tcBorders>
            <w:shd w:val="clear" w:color="auto" w:fill="auto"/>
            <w:vAlign w:val="center"/>
            <w:hideMark/>
          </w:tcPr>
          <w:p w:rsidR="00D13A56" w:rsidRPr="00D13A56" w:rsidRDefault="00D13A56" w:rsidP="00C14EEF">
            <w:pPr>
              <w:jc w:val="center"/>
              <w:rPr>
                <w:rFonts w:asciiTheme="minorHAnsi" w:hAnsiTheme="minorHAnsi" w:cstheme="minorHAnsi"/>
                <w:b/>
                <w:bCs/>
                <w:color w:val="000000"/>
                <w:szCs w:val="22"/>
              </w:rPr>
            </w:pPr>
            <w:r>
              <w:rPr>
                <w:rFonts w:asciiTheme="minorHAnsi" w:hAnsiTheme="minorHAnsi"/>
                <w:b/>
                <w:bCs/>
                <w:color w:val="000000"/>
                <w:szCs w:val="22"/>
              </w:rPr>
              <w:t>9</w:t>
            </w:r>
          </w:p>
        </w:tc>
        <w:tc>
          <w:tcPr>
            <w:tcW w:w="3844" w:type="dxa"/>
            <w:tcBorders>
              <w:top w:val="nil"/>
              <w:left w:val="nil"/>
              <w:bottom w:val="single" w:sz="4" w:space="0" w:color="auto"/>
              <w:right w:val="single" w:sz="4" w:space="0" w:color="auto"/>
            </w:tcBorders>
            <w:shd w:val="clear" w:color="auto" w:fill="auto"/>
            <w:vAlign w:val="center"/>
            <w:hideMark/>
          </w:tcPr>
          <w:p w:rsidR="00D13A56" w:rsidRPr="00424F41" w:rsidRDefault="00D13A56" w:rsidP="00C14EEF">
            <w:pPr>
              <w:jc w:val="left"/>
              <w:rPr>
                <w:rFonts w:asciiTheme="minorHAnsi" w:hAnsiTheme="minorHAnsi" w:cstheme="minorHAnsi"/>
                <w:bCs/>
                <w:color w:val="000000"/>
                <w:szCs w:val="22"/>
              </w:rPr>
            </w:pPr>
            <w:r>
              <w:rPr>
                <w:rFonts w:asciiTheme="minorHAnsi" w:hAnsiTheme="minorHAnsi"/>
                <w:bCs/>
                <w:color w:val="000000"/>
                <w:szCs w:val="22"/>
              </w:rPr>
              <w:t>Коригування витрат відповідно до Наказу НКРЕКП №544 від 09.04.2019</w:t>
            </w:r>
          </w:p>
        </w:tc>
        <w:tc>
          <w:tcPr>
            <w:tcW w:w="1247" w:type="dxa"/>
            <w:tcBorders>
              <w:top w:val="nil"/>
              <w:left w:val="nil"/>
              <w:bottom w:val="single" w:sz="4" w:space="0" w:color="auto"/>
              <w:right w:val="single" w:sz="4" w:space="0" w:color="auto"/>
            </w:tcBorders>
            <w:shd w:val="clear" w:color="auto" w:fill="auto"/>
            <w:vAlign w:val="center"/>
            <w:hideMark/>
          </w:tcPr>
          <w:p w:rsidR="00D13A56" w:rsidRPr="00424F41" w:rsidRDefault="00D13A56" w:rsidP="00C14EEF">
            <w:pPr>
              <w:jc w:val="right"/>
              <w:rPr>
                <w:rFonts w:asciiTheme="minorHAnsi" w:hAnsiTheme="minorHAnsi" w:cstheme="minorHAnsi"/>
                <w:bCs/>
                <w:color w:val="000000"/>
                <w:szCs w:val="22"/>
              </w:rPr>
            </w:pPr>
            <w:r>
              <w:rPr>
                <w:rFonts w:asciiTheme="minorHAnsi" w:hAnsiTheme="minorHAnsi"/>
                <w:bCs/>
                <w:color w:val="000000"/>
                <w:szCs w:val="22"/>
              </w:rPr>
              <w:t>-6502,900</w:t>
            </w:r>
          </w:p>
        </w:tc>
        <w:tc>
          <w:tcPr>
            <w:tcW w:w="1109" w:type="dxa"/>
            <w:tcBorders>
              <w:top w:val="nil"/>
              <w:left w:val="nil"/>
              <w:bottom w:val="single" w:sz="4" w:space="0" w:color="auto"/>
              <w:right w:val="single" w:sz="4" w:space="0" w:color="auto"/>
            </w:tcBorders>
            <w:shd w:val="clear" w:color="auto" w:fill="auto"/>
            <w:vAlign w:val="center"/>
            <w:hideMark/>
          </w:tcPr>
          <w:p w:rsidR="00D13A56" w:rsidRPr="00424F41" w:rsidRDefault="00D13A56" w:rsidP="00C14EEF">
            <w:pPr>
              <w:jc w:val="right"/>
              <w:rPr>
                <w:rFonts w:asciiTheme="minorHAnsi" w:hAnsiTheme="minorHAnsi" w:cstheme="minorHAnsi"/>
                <w:bCs/>
                <w:color w:val="000000"/>
                <w:szCs w:val="22"/>
              </w:rPr>
            </w:pPr>
            <w:r>
              <w:rPr>
                <w:rFonts w:asciiTheme="minorHAnsi" w:hAnsiTheme="minorHAnsi"/>
                <w:bCs/>
                <w:color w:val="000000"/>
                <w:szCs w:val="22"/>
              </w:rPr>
              <w:t>-0,5715</w:t>
            </w:r>
          </w:p>
        </w:tc>
        <w:tc>
          <w:tcPr>
            <w:tcW w:w="1385" w:type="dxa"/>
            <w:tcBorders>
              <w:top w:val="nil"/>
              <w:left w:val="nil"/>
              <w:bottom w:val="single" w:sz="4" w:space="0" w:color="auto"/>
              <w:right w:val="single" w:sz="4" w:space="0" w:color="auto"/>
            </w:tcBorders>
            <w:shd w:val="clear" w:color="auto" w:fill="auto"/>
            <w:vAlign w:val="center"/>
            <w:hideMark/>
          </w:tcPr>
          <w:p w:rsidR="00D13A56" w:rsidRPr="00424F41" w:rsidRDefault="00D13A56" w:rsidP="00C14EEF">
            <w:pPr>
              <w:jc w:val="right"/>
              <w:rPr>
                <w:rFonts w:asciiTheme="minorHAnsi" w:hAnsiTheme="minorHAnsi" w:cstheme="minorHAnsi"/>
                <w:bCs/>
                <w:color w:val="000000"/>
                <w:szCs w:val="22"/>
              </w:rPr>
            </w:pPr>
            <w:r>
              <w:rPr>
                <w:rFonts w:asciiTheme="minorHAnsi" w:hAnsiTheme="minorHAnsi"/>
                <w:bCs/>
                <w:color w:val="000000"/>
                <w:szCs w:val="22"/>
              </w:rPr>
              <w:t>-5260,650</w:t>
            </w:r>
          </w:p>
        </w:tc>
        <w:tc>
          <w:tcPr>
            <w:tcW w:w="1109" w:type="dxa"/>
            <w:tcBorders>
              <w:top w:val="nil"/>
              <w:left w:val="nil"/>
              <w:bottom w:val="single" w:sz="4" w:space="0" w:color="auto"/>
              <w:right w:val="single" w:sz="4" w:space="0" w:color="auto"/>
            </w:tcBorders>
            <w:shd w:val="clear" w:color="auto" w:fill="auto"/>
            <w:vAlign w:val="center"/>
            <w:hideMark/>
          </w:tcPr>
          <w:p w:rsidR="00D13A56" w:rsidRPr="00424F41" w:rsidRDefault="00D13A56" w:rsidP="00C14EEF">
            <w:pPr>
              <w:jc w:val="right"/>
              <w:rPr>
                <w:rFonts w:asciiTheme="minorHAnsi" w:hAnsiTheme="minorHAnsi" w:cstheme="minorHAnsi"/>
                <w:bCs/>
                <w:color w:val="000000"/>
                <w:szCs w:val="22"/>
              </w:rPr>
            </w:pPr>
            <w:r>
              <w:rPr>
                <w:rFonts w:asciiTheme="minorHAnsi" w:hAnsiTheme="minorHAnsi"/>
                <w:bCs/>
                <w:color w:val="000000"/>
                <w:szCs w:val="22"/>
              </w:rPr>
              <w:t>-0,4658</w:t>
            </w:r>
          </w:p>
        </w:tc>
      </w:tr>
      <w:tr w:rsidR="00D13A56" w:rsidRPr="00D13A56" w:rsidTr="0087131C">
        <w:trPr>
          <w:trHeight w:val="555"/>
        </w:trPr>
        <w:tc>
          <w:tcPr>
            <w:tcW w:w="1066" w:type="dxa"/>
            <w:tcBorders>
              <w:top w:val="nil"/>
              <w:left w:val="single" w:sz="4" w:space="0" w:color="auto"/>
              <w:bottom w:val="single" w:sz="4" w:space="0" w:color="auto"/>
              <w:right w:val="single" w:sz="4" w:space="0" w:color="auto"/>
            </w:tcBorders>
            <w:shd w:val="clear" w:color="auto" w:fill="auto"/>
            <w:vAlign w:val="center"/>
            <w:hideMark/>
          </w:tcPr>
          <w:p w:rsidR="00D13A56" w:rsidRPr="00D13A56" w:rsidRDefault="00D13A56" w:rsidP="00C14EEF">
            <w:pPr>
              <w:jc w:val="center"/>
              <w:rPr>
                <w:rFonts w:asciiTheme="minorHAnsi" w:hAnsiTheme="minorHAnsi" w:cstheme="minorHAnsi"/>
                <w:b/>
                <w:bCs/>
                <w:color w:val="000000"/>
                <w:szCs w:val="22"/>
              </w:rPr>
            </w:pPr>
            <w:r>
              <w:rPr>
                <w:rFonts w:asciiTheme="minorHAnsi" w:hAnsiTheme="minorHAnsi"/>
                <w:b/>
                <w:bCs/>
                <w:color w:val="000000"/>
                <w:szCs w:val="22"/>
              </w:rPr>
              <w:t>10</w:t>
            </w:r>
          </w:p>
        </w:tc>
        <w:tc>
          <w:tcPr>
            <w:tcW w:w="3844"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left"/>
              <w:rPr>
                <w:rFonts w:asciiTheme="minorHAnsi" w:hAnsiTheme="minorHAnsi" w:cstheme="minorHAnsi"/>
                <w:b/>
                <w:bCs/>
                <w:color w:val="000000"/>
                <w:szCs w:val="22"/>
              </w:rPr>
            </w:pPr>
            <w:r>
              <w:rPr>
                <w:rFonts w:asciiTheme="minorHAnsi" w:hAnsiTheme="minorHAnsi"/>
                <w:b/>
                <w:bCs/>
                <w:color w:val="000000"/>
                <w:szCs w:val="22"/>
              </w:rPr>
              <w:t>Вартість централізованого водопостачання/водовідведення ('000 грн)</w:t>
            </w:r>
          </w:p>
        </w:tc>
        <w:tc>
          <w:tcPr>
            <w:tcW w:w="2356" w:type="dxa"/>
            <w:gridSpan w:val="2"/>
            <w:tcBorders>
              <w:top w:val="single" w:sz="4" w:space="0" w:color="auto"/>
              <w:left w:val="nil"/>
              <w:bottom w:val="single" w:sz="4" w:space="0" w:color="auto"/>
              <w:right w:val="single" w:sz="4" w:space="0" w:color="000000"/>
            </w:tcBorders>
            <w:shd w:val="clear" w:color="auto" w:fill="auto"/>
            <w:vAlign w:val="center"/>
            <w:hideMark/>
          </w:tcPr>
          <w:p w:rsidR="00D13A56" w:rsidRPr="00D13A56" w:rsidRDefault="00D13A56" w:rsidP="00C14EEF">
            <w:pPr>
              <w:jc w:val="center"/>
              <w:rPr>
                <w:rFonts w:asciiTheme="minorHAnsi" w:hAnsiTheme="minorHAnsi" w:cstheme="minorHAnsi"/>
                <w:b/>
                <w:bCs/>
                <w:color w:val="000000"/>
                <w:szCs w:val="22"/>
              </w:rPr>
            </w:pPr>
            <w:r>
              <w:rPr>
                <w:rFonts w:asciiTheme="minorHAnsi" w:hAnsiTheme="minorHAnsi"/>
                <w:b/>
                <w:bCs/>
                <w:color w:val="000000"/>
                <w:szCs w:val="22"/>
              </w:rPr>
              <w:t>67390,943</w:t>
            </w:r>
          </w:p>
        </w:tc>
        <w:tc>
          <w:tcPr>
            <w:tcW w:w="2494" w:type="dxa"/>
            <w:gridSpan w:val="2"/>
            <w:tcBorders>
              <w:top w:val="single" w:sz="4" w:space="0" w:color="auto"/>
              <w:left w:val="nil"/>
              <w:bottom w:val="single" w:sz="4" w:space="0" w:color="auto"/>
              <w:right w:val="single" w:sz="4" w:space="0" w:color="000000"/>
            </w:tcBorders>
            <w:shd w:val="clear" w:color="auto" w:fill="auto"/>
            <w:noWrap/>
            <w:vAlign w:val="center"/>
            <w:hideMark/>
          </w:tcPr>
          <w:p w:rsidR="00D13A56" w:rsidRPr="00D13A56" w:rsidRDefault="00D13A56" w:rsidP="00C14EEF">
            <w:pPr>
              <w:jc w:val="center"/>
              <w:rPr>
                <w:rFonts w:asciiTheme="minorHAnsi" w:hAnsiTheme="minorHAnsi" w:cstheme="minorHAnsi"/>
                <w:b/>
                <w:bCs/>
                <w:color w:val="000000"/>
                <w:szCs w:val="22"/>
              </w:rPr>
            </w:pPr>
            <w:r>
              <w:rPr>
                <w:rFonts w:asciiTheme="minorHAnsi" w:hAnsiTheme="minorHAnsi"/>
                <w:b/>
                <w:bCs/>
                <w:color w:val="000000"/>
                <w:szCs w:val="22"/>
              </w:rPr>
              <w:t>74794,494</w:t>
            </w:r>
          </w:p>
        </w:tc>
      </w:tr>
      <w:tr w:rsidR="00D13A56" w:rsidRPr="00D13A56" w:rsidTr="0087131C">
        <w:trPr>
          <w:trHeight w:val="660"/>
        </w:trPr>
        <w:tc>
          <w:tcPr>
            <w:tcW w:w="1066" w:type="dxa"/>
            <w:tcBorders>
              <w:top w:val="nil"/>
              <w:left w:val="single" w:sz="4" w:space="0" w:color="auto"/>
              <w:bottom w:val="single" w:sz="4" w:space="0" w:color="auto"/>
              <w:right w:val="single" w:sz="4" w:space="0" w:color="auto"/>
            </w:tcBorders>
            <w:shd w:val="clear" w:color="auto" w:fill="92D050"/>
            <w:vAlign w:val="center"/>
            <w:hideMark/>
          </w:tcPr>
          <w:p w:rsidR="00D13A56" w:rsidRPr="00D13A56" w:rsidRDefault="00D13A56" w:rsidP="00C14EEF">
            <w:pPr>
              <w:jc w:val="center"/>
              <w:rPr>
                <w:rFonts w:asciiTheme="minorHAnsi" w:hAnsiTheme="minorHAnsi" w:cstheme="minorHAnsi"/>
                <w:b/>
                <w:bCs/>
                <w:color w:val="000000"/>
                <w:szCs w:val="22"/>
              </w:rPr>
            </w:pPr>
            <w:r>
              <w:rPr>
                <w:rFonts w:asciiTheme="minorHAnsi" w:hAnsiTheme="minorHAnsi"/>
                <w:b/>
                <w:bCs/>
                <w:color w:val="000000"/>
                <w:szCs w:val="22"/>
              </w:rPr>
              <w:t>11</w:t>
            </w:r>
          </w:p>
        </w:tc>
        <w:tc>
          <w:tcPr>
            <w:tcW w:w="3844" w:type="dxa"/>
            <w:tcBorders>
              <w:top w:val="nil"/>
              <w:left w:val="nil"/>
              <w:bottom w:val="single" w:sz="4" w:space="0" w:color="auto"/>
              <w:right w:val="single" w:sz="4" w:space="0" w:color="auto"/>
            </w:tcBorders>
            <w:shd w:val="clear" w:color="auto" w:fill="92D050"/>
            <w:vAlign w:val="center"/>
            <w:hideMark/>
          </w:tcPr>
          <w:p w:rsidR="00D13A56" w:rsidRPr="00D13A56" w:rsidRDefault="00D13A56" w:rsidP="0087131C">
            <w:pPr>
              <w:ind w:right="-156"/>
              <w:jc w:val="left"/>
              <w:rPr>
                <w:rFonts w:asciiTheme="minorHAnsi" w:hAnsiTheme="minorHAnsi" w:cstheme="minorHAnsi"/>
                <w:b/>
                <w:bCs/>
                <w:color w:val="000000"/>
                <w:szCs w:val="22"/>
              </w:rPr>
            </w:pPr>
            <w:r>
              <w:rPr>
                <w:rFonts w:asciiTheme="minorHAnsi" w:hAnsiTheme="minorHAnsi"/>
                <w:b/>
                <w:bCs/>
                <w:color w:val="000000"/>
                <w:szCs w:val="22"/>
              </w:rPr>
              <w:t>Тариф на централізоване водопостачання/водовідведення (грн/м</w:t>
            </w:r>
            <w:r w:rsidRPr="0087131C">
              <w:rPr>
                <w:rFonts w:asciiTheme="minorHAnsi" w:hAnsiTheme="minorHAnsi"/>
                <w:b/>
                <w:bCs/>
                <w:color w:val="000000"/>
                <w:szCs w:val="22"/>
                <w:vertAlign w:val="superscript"/>
              </w:rPr>
              <w:t>3</w:t>
            </w:r>
            <w:r>
              <w:rPr>
                <w:rFonts w:asciiTheme="minorHAnsi" w:hAnsiTheme="minorHAnsi"/>
                <w:b/>
                <w:bCs/>
                <w:color w:val="000000"/>
                <w:szCs w:val="22"/>
              </w:rPr>
              <w:t>)</w:t>
            </w:r>
          </w:p>
        </w:tc>
        <w:tc>
          <w:tcPr>
            <w:tcW w:w="2356" w:type="dxa"/>
            <w:gridSpan w:val="2"/>
            <w:tcBorders>
              <w:top w:val="single" w:sz="4" w:space="0" w:color="auto"/>
              <w:left w:val="nil"/>
              <w:bottom w:val="single" w:sz="4" w:space="0" w:color="auto"/>
              <w:right w:val="single" w:sz="4" w:space="0" w:color="000000"/>
            </w:tcBorders>
            <w:shd w:val="clear" w:color="auto" w:fill="92D050"/>
            <w:vAlign w:val="center"/>
            <w:hideMark/>
          </w:tcPr>
          <w:p w:rsidR="00D13A56" w:rsidRPr="00D13A56" w:rsidRDefault="00D13A56" w:rsidP="00C14EEF">
            <w:pPr>
              <w:jc w:val="center"/>
              <w:rPr>
                <w:rFonts w:asciiTheme="minorHAnsi" w:hAnsiTheme="minorHAnsi" w:cstheme="minorHAnsi"/>
                <w:b/>
                <w:bCs/>
                <w:color w:val="000000"/>
                <w:szCs w:val="22"/>
              </w:rPr>
            </w:pPr>
            <w:r>
              <w:rPr>
                <w:rFonts w:asciiTheme="minorHAnsi" w:hAnsiTheme="minorHAnsi"/>
                <w:b/>
                <w:bCs/>
                <w:color w:val="000000"/>
                <w:szCs w:val="22"/>
              </w:rPr>
              <w:t>5,92</w:t>
            </w:r>
          </w:p>
        </w:tc>
        <w:tc>
          <w:tcPr>
            <w:tcW w:w="2494" w:type="dxa"/>
            <w:gridSpan w:val="2"/>
            <w:tcBorders>
              <w:top w:val="single" w:sz="4" w:space="0" w:color="auto"/>
              <w:left w:val="nil"/>
              <w:bottom w:val="single" w:sz="4" w:space="0" w:color="auto"/>
              <w:right w:val="single" w:sz="4" w:space="0" w:color="000000"/>
            </w:tcBorders>
            <w:shd w:val="clear" w:color="auto" w:fill="92D050"/>
            <w:noWrap/>
            <w:vAlign w:val="center"/>
            <w:hideMark/>
          </w:tcPr>
          <w:p w:rsidR="00D13A56" w:rsidRPr="00D13A56" w:rsidRDefault="00D13A56" w:rsidP="00C14EEF">
            <w:pPr>
              <w:jc w:val="center"/>
              <w:rPr>
                <w:rFonts w:asciiTheme="minorHAnsi" w:hAnsiTheme="minorHAnsi" w:cstheme="minorHAnsi"/>
                <w:b/>
                <w:bCs/>
                <w:color w:val="000000"/>
                <w:szCs w:val="22"/>
              </w:rPr>
            </w:pPr>
            <w:r>
              <w:rPr>
                <w:rFonts w:asciiTheme="minorHAnsi" w:hAnsiTheme="minorHAnsi"/>
                <w:b/>
                <w:bCs/>
                <w:color w:val="000000"/>
                <w:szCs w:val="22"/>
              </w:rPr>
              <w:t>6,62</w:t>
            </w:r>
          </w:p>
        </w:tc>
      </w:tr>
      <w:tr w:rsidR="00D13A56" w:rsidRPr="00D13A56" w:rsidTr="0087131C">
        <w:trPr>
          <w:trHeight w:val="375"/>
        </w:trPr>
        <w:tc>
          <w:tcPr>
            <w:tcW w:w="1066" w:type="dxa"/>
            <w:tcBorders>
              <w:top w:val="nil"/>
              <w:left w:val="single" w:sz="4" w:space="0" w:color="auto"/>
              <w:bottom w:val="single" w:sz="4" w:space="0" w:color="auto"/>
              <w:right w:val="single" w:sz="4" w:space="0" w:color="auto"/>
            </w:tcBorders>
            <w:shd w:val="clear" w:color="auto" w:fill="auto"/>
            <w:vAlign w:val="center"/>
            <w:hideMark/>
          </w:tcPr>
          <w:p w:rsidR="00D13A56" w:rsidRPr="00424F41" w:rsidRDefault="00D13A56" w:rsidP="00C14EEF">
            <w:pPr>
              <w:jc w:val="center"/>
              <w:rPr>
                <w:rFonts w:asciiTheme="minorHAnsi" w:hAnsiTheme="minorHAnsi" w:cstheme="minorHAnsi"/>
                <w:bCs/>
                <w:color w:val="000000"/>
                <w:szCs w:val="22"/>
              </w:rPr>
            </w:pPr>
            <w:r>
              <w:rPr>
                <w:rFonts w:asciiTheme="minorHAnsi" w:hAnsiTheme="minorHAnsi"/>
                <w:bCs/>
                <w:color w:val="000000"/>
                <w:szCs w:val="22"/>
              </w:rPr>
              <w:t>12</w:t>
            </w:r>
          </w:p>
        </w:tc>
        <w:tc>
          <w:tcPr>
            <w:tcW w:w="3844" w:type="dxa"/>
            <w:tcBorders>
              <w:top w:val="nil"/>
              <w:left w:val="nil"/>
              <w:bottom w:val="single" w:sz="4" w:space="0" w:color="auto"/>
              <w:right w:val="single" w:sz="4" w:space="0" w:color="auto"/>
            </w:tcBorders>
            <w:shd w:val="clear" w:color="auto" w:fill="auto"/>
            <w:vAlign w:val="center"/>
            <w:hideMark/>
          </w:tcPr>
          <w:p w:rsidR="00D13A56" w:rsidRPr="00424F41" w:rsidRDefault="00D13A56" w:rsidP="00C14EEF">
            <w:pPr>
              <w:jc w:val="left"/>
              <w:rPr>
                <w:rFonts w:asciiTheme="minorHAnsi" w:hAnsiTheme="minorHAnsi" w:cstheme="minorHAnsi"/>
                <w:bCs/>
                <w:color w:val="000000"/>
                <w:szCs w:val="22"/>
              </w:rPr>
            </w:pPr>
            <w:r>
              <w:rPr>
                <w:rFonts w:asciiTheme="minorHAnsi" w:hAnsiTheme="minorHAnsi"/>
                <w:bCs/>
                <w:color w:val="000000"/>
                <w:szCs w:val="22"/>
              </w:rPr>
              <w:t>Продажі (у тис. м</w:t>
            </w:r>
            <w:r w:rsidRPr="0087131C">
              <w:rPr>
                <w:rFonts w:asciiTheme="minorHAnsi" w:hAnsiTheme="minorHAnsi"/>
                <w:bCs/>
                <w:color w:val="000000"/>
                <w:szCs w:val="22"/>
                <w:vertAlign w:val="superscript"/>
              </w:rPr>
              <w:t>3</w:t>
            </w:r>
            <w:r>
              <w:rPr>
                <w:rFonts w:asciiTheme="minorHAnsi" w:hAnsiTheme="minorHAnsi"/>
                <w:bCs/>
                <w:color w:val="000000"/>
                <w:szCs w:val="22"/>
              </w:rPr>
              <w:t>)</w:t>
            </w:r>
          </w:p>
        </w:tc>
        <w:tc>
          <w:tcPr>
            <w:tcW w:w="2356" w:type="dxa"/>
            <w:gridSpan w:val="2"/>
            <w:tcBorders>
              <w:top w:val="single" w:sz="4" w:space="0" w:color="auto"/>
              <w:left w:val="nil"/>
              <w:bottom w:val="single" w:sz="4" w:space="0" w:color="auto"/>
              <w:right w:val="single" w:sz="4" w:space="0" w:color="000000"/>
            </w:tcBorders>
            <w:shd w:val="clear" w:color="auto" w:fill="auto"/>
            <w:vAlign w:val="center"/>
            <w:hideMark/>
          </w:tcPr>
          <w:p w:rsidR="00D13A56" w:rsidRPr="00424F41" w:rsidRDefault="00D13A56" w:rsidP="00C14EEF">
            <w:pPr>
              <w:jc w:val="center"/>
              <w:rPr>
                <w:rFonts w:asciiTheme="minorHAnsi" w:hAnsiTheme="minorHAnsi" w:cstheme="minorHAnsi"/>
                <w:bCs/>
                <w:color w:val="000000"/>
                <w:szCs w:val="22"/>
              </w:rPr>
            </w:pPr>
            <w:r>
              <w:rPr>
                <w:rFonts w:asciiTheme="minorHAnsi" w:hAnsiTheme="minorHAnsi"/>
                <w:bCs/>
                <w:color w:val="000000"/>
                <w:szCs w:val="22"/>
              </w:rPr>
              <w:t>11378,680</w:t>
            </w:r>
          </w:p>
        </w:tc>
        <w:tc>
          <w:tcPr>
            <w:tcW w:w="2494" w:type="dxa"/>
            <w:gridSpan w:val="2"/>
            <w:tcBorders>
              <w:top w:val="single" w:sz="4" w:space="0" w:color="auto"/>
              <w:left w:val="nil"/>
              <w:bottom w:val="single" w:sz="4" w:space="0" w:color="auto"/>
              <w:right w:val="single" w:sz="4" w:space="0" w:color="000000"/>
            </w:tcBorders>
            <w:shd w:val="clear" w:color="auto" w:fill="auto"/>
            <w:noWrap/>
            <w:vAlign w:val="center"/>
            <w:hideMark/>
          </w:tcPr>
          <w:p w:rsidR="00D13A56" w:rsidRPr="00424F41" w:rsidRDefault="00D13A56" w:rsidP="00C14EEF">
            <w:pPr>
              <w:jc w:val="center"/>
              <w:rPr>
                <w:rFonts w:asciiTheme="minorHAnsi" w:hAnsiTheme="minorHAnsi" w:cstheme="minorHAnsi"/>
                <w:bCs/>
                <w:color w:val="000000"/>
                <w:szCs w:val="22"/>
              </w:rPr>
            </w:pPr>
            <w:r>
              <w:rPr>
                <w:rFonts w:asciiTheme="minorHAnsi" w:hAnsiTheme="minorHAnsi"/>
                <w:bCs/>
                <w:color w:val="000000"/>
                <w:szCs w:val="22"/>
              </w:rPr>
              <w:t>11293,22</w:t>
            </w:r>
          </w:p>
        </w:tc>
      </w:tr>
    </w:tbl>
    <w:p w:rsidR="00A21E0F" w:rsidRDefault="00A21E0F" w:rsidP="00C14EEF">
      <w:pPr>
        <w:pStyle w:val="aa"/>
        <w:rPr>
          <w:rFonts w:asciiTheme="minorBidi" w:hAnsiTheme="minorBidi" w:cstheme="minorBidi"/>
          <w:lang w:val="en-GB"/>
        </w:rPr>
      </w:pPr>
    </w:p>
    <w:bookmarkEnd w:id="57"/>
    <w:p w:rsidR="00D13A56" w:rsidRPr="00AF614D" w:rsidRDefault="00D13A56" w:rsidP="00C14EEF">
      <w:pPr>
        <w:pStyle w:val="a8"/>
        <w:spacing w:after="0"/>
        <w:rPr>
          <w:rFonts w:ascii="Arial" w:hAnsi="Arial" w:cs="Arial"/>
          <w:szCs w:val="22"/>
        </w:rPr>
      </w:pPr>
      <w:r>
        <w:rPr>
          <w:rFonts w:ascii="Arial" w:hAnsi="Arial"/>
          <w:szCs w:val="22"/>
        </w:rPr>
        <w:t>Зазначені показники для тарифів на централізоване водопостачання/водовідведення визначають такі основні складові вартості:</w:t>
      </w:r>
    </w:p>
    <w:p w:rsidR="00D13A56" w:rsidRPr="00AF614D" w:rsidRDefault="00D13A56" w:rsidP="00C14EEF">
      <w:pPr>
        <w:pStyle w:val="a8"/>
        <w:widowControl w:val="0"/>
        <w:numPr>
          <w:ilvl w:val="0"/>
          <w:numId w:val="35"/>
        </w:numPr>
        <w:spacing w:after="0"/>
        <w:rPr>
          <w:rFonts w:ascii="Arial" w:hAnsi="Arial" w:cs="Arial"/>
          <w:szCs w:val="22"/>
        </w:rPr>
      </w:pPr>
      <w:r>
        <w:rPr>
          <w:rFonts w:ascii="Arial" w:hAnsi="Arial"/>
          <w:color w:val="000000"/>
          <w:szCs w:val="22"/>
        </w:rPr>
        <w:t>Прямі матеріальні витрати на централізоване водопостачання/ водовідведення (</w:t>
      </w:r>
      <w:r>
        <w:rPr>
          <w:rFonts w:ascii="Arial" w:hAnsi="Arial"/>
          <w:b/>
          <w:color w:val="000000"/>
          <w:szCs w:val="22"/>
        </w:rPr>
        <w:t>30,64%</w:t>
      </w:r>
      <w:r>
        <w:rPr>
          <w:rFonts w:ascii="Arial" w:hAnsi="Arial"/>
          <w:color w:val="000000"/>
          <w:szCs w:val="22"/>
        </w:rPr>
        <w:t xml:space="preserve"> та </w:t>
      </w:r>
      <w:r>
        <w:rPr>
          <w:rFonts w:ascii="Arial" w:hAnsi="Arial"/>
          <w:b/>
          <w:color w:val="000000"/>
          <w:szCs w:val="22"/>
        </w:rPr>
        <w:t>31,82%</w:t>
      </w:r>
      <w:r>
        <w:rPr>
          <w:rFonts w:ascii="Arial" w:hAnsi="Arial"/>
          <w:color w:val="000000"/>
          <w:szCs w:val="22"/>
        </w:rPr>
        <w:t xml:space="preserve"> загальних витрат, відповідно).</w:t>
      </w:r>
    </w:p>
    <w:p w:rsidR="00D13A56" w:rsidRPr="00AF614D" w:rsidRDefault="00D13A56" w:rsidP="00C14EEF">
      <w:pPr>
        <w:pStyle w:val="a8"/>
        <w:widowControl w:val="0"/>
        <w:numPr>
          <w:ilvl w:val="0"/>
          <w:numId w:val="35"/>
        </w:numPr>
        <w:spacing w:after="0"/>
        <w:rPr>
          <w:rFonts w:ascii="Arial" w:hAnsi="Arial" w:cs="Arial"/>
          <w:szCs w:val="22"/>
        </w:rPr>
      </w:pPr>
      <w:r>
        <w:rPr>
          <w:rFonts w:ascii="Arial" w:hAnsi="Arial"/>
          <w:color w:val="000000"/>
          <w:szCs w:val="22"/>
        </w:rPr>
        <w:t>Частка витрат на виробництво з централізованого водопостачання/</w:t>
      </w:r>
      <w:r w:rsidR="0087131C">
        <w:rPr>
          <w:rFonts w:ascii="Arial" w:hAnsi="Arial"/>
          <w:color w:val="000000"/>
          <w:szCs w:val="22"/>
        </w:rPr>
        <w:t xml:space="preserve"> </w:t>
      </w:r>
      <w:r>
        <w:rPr>
          <w:rFonts w:ascii="Arial" w:hAnsi="Arial"/>
          <w:color w:val="000000"/>
          <w:szCs w:val="22"/>
        </w:rPr>
        <w:t>водовідведення</w:t>
      </w:r>
      <w:r w:rsidR="0087131C">
        <w:rPr>
          <w:rFonts w:ascii="Arial" w:hAnsi="Arial"/>
          <w:color w:val="000000"/>
          <w:szCs w:val="22"/>
        </w:rPr>
        <w:t xml:space="preserve"> </w:t>
      </w:r>
      <w:r>
        <w:rPr>
          <w:rFonts w:ascii="Arial" w:hAnsi="Arial"/>
          <w:color w:val="000000"/>
          <w:szCs w:val="22"/>
        </w:rPr>
        <w:t>(36,89% та 32,54% загальних витрат, відповідно).</w:t>
      </w:r>
    </w:p>
    <w:p w:rsidR="00D13A56" w:rsidRPr="00AF614D" w:rsidRDefault="00D13A56" w:rsidP="00C14EEF">
      <w:pPr>
        <w:pStyle w:val="a8"/>
        <w:widowControl w:val="0"/>
        <w:numPr>
          <w:ilvl w:val="0"/>
          <w:numId w:val="35"/>
        </w:numPr>
        <w:spacing w:after="0"/>
        <w:rPr>
          <w:rFonts w:ascii="Arial" w:hAnsi="Arial" w:cs="Arial"/>
          <w:szCs w:val="22"/>
        </w:rPr>
      </w:pPr>
      <w:r>
        <w:rPr>
          <w:rFonts w:ascii="Arial" w:hAnsi="Arial"/>
          <w:color w:val="000000"/>
          <w:szCs w:val="22"/>
        </w:rPr>
        <w:t>Оплата праці є часткою Витрат на виробництво (</w:t>
      </w:r>
      <w:r>
        <w:rPr>
          <w:rFonts w:ascii="Arial" w:hAnsi="Arial"/>
          <w:b/>
          <w:color w:val="000000"/>
          <w:szCs w:val="22"/>
        </w:rPr>
        <w:t>21,59% та 18,70%</w:t>
      </w:r>
      <w:r w:rsidR="0087131C">
        <w:rPr>
          <w:rFonts w:ascii="Arial" w:hAnsi="Arial"/>
          <w:b/>
          <w:color w:val="000000"/>
          <w:szCs w:val="22"/>
        </w:rPr>
        <w:t xml:space="preserve"> </w:t>
      </w:r>
      <w:r>
        <w:rPr>
          <w:rFonts w:ascii="Arial" w:hAnsi="Arial"/>
          <w:color w:val="000000"/>
          <w:szCs w:val="22"/>
        </w:rPr>
        <w:t>загальних витрат, відповідно).</w:t>
      </w:r>
    </w:p>
    <w:p w:rsidR="00424F41" w:rsidRPr="00AF614D" w:rsidRDefault="00424F41" w:rsidP="00C14EEF">
      <w:pPr>
        <w:pStyle w:val="iCStandard"/>
        <w:rPr>
          <w:rFonts w:ascii="Arial" w:hAnsi="Arial" w:cs="Arial"/>
          <w:sz w:val="20"/>
          <w:lang w:val="en-GB"/>
        </w:rPr>
      </w:pPr>
    </w:p>
    <w:p w:rsidR="00A21E0F" w:rsidRPr="00521A95" w:rsidRDefault="00A21E0F" w:rsidP="00C14EEF">
      <w:pPr>
        <w:pStyle w:val="aa"/>
        <w:rPr>
          <w:rFonts w:ascii="Arial" w:hAnsi="Arial" w:cs="Arial"/>
        </w:rPr>
      </w:pPr>
      <w:bookmarkStart w:id="58" w:name="_Toc48643464"/>
      <w:r>
        <w:t xml:space="preserve">Малюнок </w:t>
      </w:r>
      <w:r w:rsidRPr="00AF614D">
        <w:rPr>
          <w:rFonts w:ascii="Arial" w:hAnsi="Arial" w:cs="Arial"/>
        </w:rPr>
        <w:fldChar w:fldCharType="begin"/>
      </w:r>
      <w:r w:rsidRPr="00AF614D">
        <w:rPr>
          <w:rFonts w:ascii="Arial" w:hAnsi="Arial" w:cs="Arial"/>
        </w:rPr>
        <w:instrText xml:space="preserve"> SEQ Figure \* ARABIC </w:instrText>
      </w:r>
      <w:r w:rsidRPr="00AF614D">
        <w:rPr>
          <w:rFonts w:ascii="Arial" w:hAnsi="Arial" w:cs="Arial"/>
        </w:rPr>
        <w:fldChar w:fldCharType="separate"/>
      </w:r>
      <w:r w:rsidR="00CB1B48">
        <w:rPr>
          <w:rFonts w:ascii="Arial" w:hAnsi="Arial" w:cs="Arial"/>
        </w:rPr>
        <w:t>4</w:t>
      </w:r>
      <w:r w:rsidRPr="00AF614D">
        <w:rPr>
          <w:rFonts w:ascii="Arial" w:hAnsi="Arial" w:cs="Arial"/>
        </w:rPr>
        <w:fldChar w:fldCharType="end"/>
      </w:r>
      <w:r>
        <w:t>:</w:t>
      </w:r>
      <w:r>
        <w:rPr>
          <w:rFonts w:ascii="Arial" w:hAnsi="Arial"/>
        </w:rPr>
        <w:t xml:space="preserve"> </w:t>
      </w:r>
      <w:bookmarkStart w:id="59" w:name="_Toc501108265"/>
      <w:r>
        <w:t>Розбивка вартості виробничих витрат за тарифом на воду 2019 р</w:t>
      </w:r>
      <w:bookmarkEnd w:id="58"/>
      <w:r>
        <w:t xml:space="preserve"> </w:t>
      </w:r>
      <w:bookmarkEnd w:id="59"/>
    </w:p>
    <w:p w:rsidR="00D13A56" w:rsidRDefault="00D13A56" w:rsidP="00C14EEF">
      <w:pPr>
        <w:pStyle w:val="iCStandard"/>
        <w:rPr>
          <w:noProof/>
        </w:rPr>
      </w:pPr>
      <w:r>
        <w:rPr>
          <w:noProof/>
          <w:lang w:eastAsia="uk-UA"/>
        </w:rPr>
        <w:drawing>
          <wp:inline distT="0" distB="0" distL="0" distR="0" wp14:anchorId="7D3D30A9" wp14:editId="2F80C792">
            <wp:extent cx="3590925" cy="1857375"/>
            <wp:effectExtent l="0" t="0" r="9525"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D13A56" w:rsidRPr="00D13A56" w:rsidRDefault="00D13A56" w:rsidP="00C14EEF">
      <w:pPr>
        <w:pStyle w:val="iCStandard"/>
        <w:rPr>
          <w:lang w:val="en-US"/>
        </w:rPr>
      </w:pPr>
    </w:p>
    <w:p w:rsidR="0087131C" w:rsidRDefault="0087131C">
      <w:pPr>
        <w:jc w:val="left"/>
        <w:rPr>
          <w:rFonts w:asciiTheme="minorHAnsi" w:hAnsiTheme="minorHAnsi"/>
          <w:b/>
          <w:bCs/>
          <w:noProof/>
          <w:szCs w:val="18"/>
        </w:rPr>
      </w:pPr>
      <w:r>
        <w:br w:type="page"/>
      </w:r>
    </w:p>
    <w:p w:rsidR="00A21E0F" w:rsidRPr="00AF614D" w:rsidRDefault="00A21E0F" w:rsidP="00C14EEF">
      <w:pPr>
        <w:pStyle w:val="aa"/>
        <w:rPr>
          <w:rFonts w:ascii="Arial" w:hAnsi="Arial" w:cs="Arial"/>
        </w:rPr>
      </w:pPr>
      <w:bookmarkStart w:id="60" w:name="_Toc48643465"/>
      <w:r>
        <w:t xml:space="preserve">Малюнок </w:t>
      </w:r>
      <w:r w:rsidRPr="00AF614D">
        <w:rPr>
          <w:rFonts w:ascii="Arial" w:hAnsi="Arial" w:cs="Arial"/>
        </w:rPr>
        <w:fldChar w:fldCharType="begin"/>
      </w:r>
      <w:r w:rsidRPr="00AF614D">
        <w:rPr>
          <w:rFonts w:ascii="Arial" w:hAnsi="Arial" w:cs="Arial"/>
        </w:rPr>
        <w:instrText xml:space="preserve"> SEQ Figure \* ARABIC </w:instrText>
      </w:r>
      <w:r w:rsidRPr="00AF614D">
        <w:rPr>
          <w:rFonts w:ascii="Arial" w:hAnsi="Arial" w:cs="Arial"/>
        </w:rPr>
        <w:fldChar w:fldCharType="separate"/>
      </w:r>
      <w:r w:rsidR="00CB1B48">
        <w:rPr>
          <w:rFonts w:ascii="Arial" w:hAnsi="Arial" w:cs="Arial"/>
        </w:rPr>
        <w:t>5</w:t>
      </w:r>
      <w:r w:rsidRPr="00AF614D">
        <w:rPr>
          <w:rFonts w:ascii="Arial" w:hAnsi="Arial" w:cs="Arial"/>
        </w:rPr>
        <w:fldChar w:fldCharType="end"/>
      </w:r>
      <w:r>
        <w:t>:</w:t>
      </w:r>
      <w:r>
        <w:rPr>
          <w:rFonts w:ascii="Arial" w:hAnsi="Arial"/>
        </w:rPr>
        <w:t xml:space="preserve"> Розбивка вартості виробничих витрат за тарифом на водовідведення 2018 р (багатоквартирні будинки)</w:t>
      </w:r>
      <w:bookmarkEnd w:id="60"/>
    </w:p>
    <w:p w:rsidR="00A21E0F" w:rsidRDefault="00D13A56" w:rsidP="00C14EEF">
      <w:pPr>
        <w:pStyle w:val="iCStandard"/>
      </w:pPr>
      <w:r>
        <w:rPr>
          <w:noProof/>
          <w:lang w:eastAsia="uk-UA"/>
        </w:rPr>
        <w:drawing>
          <wp:inline distT="0" distB="0" distL="0" distR="0" wp14:anchorId="7A74EF65" wp14:editId="73110135">
            <wp:extent cx="3590925" cy="1695450"/>
            <wp:effectExtent l="0" t="0" r="9525" b="1905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A21E0F" w:rsidRPr="00AF614D" w:rsidRDefault="00A21E0F" w:rsidP="00C14EEF">
      <w:pPr>
        <w:pStyle w:val="iCStandard"/>
        <w:rPr>
          <w:rFonts w:ascii="Arial" w:hAnsi="Arial" w:cs="Arial"/>
          <w:szCs w:val="22"/>
          <w:lang w:val="en-GB"/>
        </w:rPr>
      </w:pPr>
    </w:p>
    <w:p w:rsidR="00A21E0F" w:rsidRPr="008D0C5C" w:rsidRDefault="00A21E0F" w:rsidP="00C14EEF">
      <w:pPr>
        <w:pStyle w:val="aa"/>
      </w:pPr>
      <w:bookmarkStart w:id="61" w:name="_Toc48643450"/>
      <w:r>
        <w:t xml:space="preserve">Таблиця </w:t>
      </w:r>
      <w:r w:rsidRPr="008D0C5C">
        <w:fldChar w:fldCharType="begin"/>
      </w:r>
      <w:r w:rsidRPr="008D0C5C">
        <w:instrText xml:space="preserve"> SEQ Table \* ARABIC </w:instrText>
      </w:r>
      <w:r w:rsidRPr="008D0C5C">
        <w:fldChar w:fldCharType="separate"/>
      </w:r>
      <w:r w:rsidR="00CB1B48">
        <w:t>10</w:t>
      </w:r>
      <w:r w:rsidRPr="008D0C5C">
        <w:fldChar w:fldCharType="end"/>
      </w:r>
      <w:r>
        <w:t xml:space="preserve">: </w:t>
      </w:r>
      <w:r>
        <w:rPr>
          <w:rFonts w:ascii="Arial" w:hAnsi="Arial"/>
          <w:szCs w:val="22"/>
        </w:rPr>
        <w:t>Розбивка</w:t>
      </w:r>
      <w:r w:rsidR="00CB1B48">
        <w:rPr>
          <w:rFonts w:ascii="Arial" w:hAnsi="Arial"/>
          <w:szCs w:val="22"/>
        </w:rPr>
        <w:t xml:space="preserve"> </w:t>
      </w:r>
      <w:r>
        <w:rPr>
          <w:rFonts w:ascii="Arial" w:hAnsi="Arial"/>
          <w:szCs w:val="22"/>
        </w:rPr>
        <w:t>виробничих витрат за складовими, % (2019, централізоване водопостачання/водовідведення)</w:t>
      </w:r>
      <w:bookmarkEnd w:id="61"/>
    </w:p>
    <w:tbl>
      <w:tblPr>
        <w:tblW w:w="8995" w:type="dxa"/>
        <w:tblInd w:w="93" w:type="dxa"/>
        <w:tblLook w:val="04A0" w:firstRow="1" w:lastRow="0" w:firstColumn="1" w:lastColumn="0" w:noHBand="0" w:noVBand="1"/>
      </w:tblPr>
      <w:tblGrid>
        <w:gridCol w:w="960"/>
        <w:gridCol w:w="4867"/>
        <w:gridCol w:w="1134"/>
        <w:gridCol w:w="2034"/>
      </w:tblGrid>
      <w:tr w:rsidR="00D13A56" w:rsidRPr="00D13A56" w:rsidTr="00C8203D">
        <w:trPr>
          <w:trHeight w:val="300"/>
        </w:trPr>
        <w:tc>
          <w:tcPr>
            <w:tcW w:w="960" w:type="dxa"/>
            <w:vMerge w:val="restart"/>
            <w:tcBorders>
              <w:top w:val="single" w:sz="4" w:space="0" w:color="auto"/>
              <w:left w:val="single" w:sz="4" w:space="0" w:color="auto"/>
              <w:right w:val="single" w:sz="4" w:space="0" w:color="auto"/>
            </w:tcBorders>
            <w:shd w:val="clear" w:color="auto" w:fill="92D050"/>
            <w:noWrap/>
            <w:vAlign w:val="bottom"/>
            <w:hideMark/>
          </w:tcPr>
          <w:p w:rsidR="00D13A56" w:rsidRPr="00D13A56" w:rsidRDefault="00D13A56" w:rsidP="00C14EEF">
            <w:pPr>
              <w:jc w:val="center"/>
              <w:rPr>
                <w:rFonts w:ascii="Arial" w:hAnsi="Arial" w:cs="Arial"/>
                <w:szCs w:val="22"/>
              </w:rPr>
            </w:pPr>
            <w:r>
              <w:rPr>
                <w:rFonts w:ascii="Arial" w:hAnsi="Arial"/>
                <w:b/>
                <w:bCs/>
                <w:szCs w:val="22"/>
              </w:rPr>
              <w:t>№</w:t>
            </w:r>
          </w:p>
        </w:tc>
        <w:tc>
          <w:tcPr>
            <w:tcW w:w="5718" w:type="dxa"/>
            <w:vMerge w:val="restart"/>
            <w:tcBorders>
              <w:top w:val="single" w:sz="4" w:space="0" w:color="auto"/>
              <w:left w:val="single" w:sz="4" w:space="0" w:color="auto"/>
              <w:right w:val="single" w:sz="4" w:space="0" w:color="auto"/>
            </w:tcBorders>
            <w:shd w:val="clear" w:color="auto" w:fill="92D050"/>
            <w:vAlign w:val="bottom"/>
          </w:tcPr>
          <w:p w:rsidR="00D13A56" w:rsidRPr="00D13A56" w:rsidRDefault="00D13A56" w:rsidP="00C14EEF">
            <w:pPr>
              <w:jc w:val="center"/>
              <w:rPr>
                <w:rFonts w:ascii="Arial" w:hAnsi="Arial" w:cs="Arial"/>
                <w:szCs w:val="22"/>
              </w:rPr>
            </w:pPr>
            <w:r>
              <w:rPr>
                <w:rFonts w:ascii="Arial" w:hAnsi="Arial"/>
                <w:b/>
                <w:bCs/>
                <w:szCs w:val="22"/>
              </w:rPr>
              <w:t>Параметр</w:t>
            </w:r>
          </w:p>
        </w:tc>
        <w:tc>
          <w:tcPr>
            <w:tcW w:w="2317" w:type="dxa"/>
            <w:gridSpan w:val="2"/>
            <w:tcBorders>
              <w:top w:val="single" w:sz="4" w:space="0" w:color="auto"/>
              <w:left w:val="single" w:sz="4" w:space="0" w:color="auto"/>
              <w:bottom w:val="single" w:sz="4" w:space="0" w:color="auto"/>
              <w:right w:val="single" w:sz="4" w:space="0" w:color="000000"/>
            </w:tcBorders>
            <w:shd w:val="clear" w:color="auto" w:fill="92D050"/>
            <w:noWrap/>
            <w:vAlign w:val="bottom"/>
            <w:hideMark/>
          </w:tcPr>
          <w:p w:rsidR="00D13A56" w:rsidRPr="00D13A56" w:rsidRDefault="00D13A56" w:rsidP="00C14EEF">
            <w:pPr>
              <w:jc w:val="center"/>
              <w:rPr>
                <w:rFonts w:ascii="Arial" w:hAnsi="Arial" w:cs="Arial"/>
                <w:szCs w:val="22"/>
              </w:rPr>
            </w:pPr>
            <w:r>
              <w:rPr>
                <w:rFonts w:ascii="Arial" w:hAnsi="Arial"/>
                <w:szCs w:val="22"/>
              </w:rPr>
              <w:t xml:space="preserve">% </w:t>
            </w:r>
            <w:r w:rsidR="0087131C">
              <w:rPr>
                <w:rFonts w:ascii="Arial" w:hAnsi="Arial"/>
                <w:szCs w:val="22"/>
              </w:rPr>
              <w:t>виробничих</w:t>
            </w:r>
            <w:r>
              <w:rPr>
                <w:rFonts w:ascii="Arial" w:hAnsi="Arial"/>
                <w:szCs w:val="22"/>
              </w:rPr>
              <w:t xml:space="preserve"> витрат</w:t>
            </w:r>
          </w:p>
        </w:tc>
      </w:tr>
      <w:tr w:rsidR="00D13A56" w:rsidRPr="00D13A56" w:rsidTr="00C8203D">
        <w:trPr>
          <w:trHeight w:val="421"/>
        </w:trPr>
        <w:tc>
          <w:tcPr>
            <w:tcW w:w="960" w:type="dxa"/>
            <w:vMerge/>
            <w:tcBorders>
              <w:left w:val="single" w:sz="4" w:space="0" w:color="auto"/>
              <w:bottom w:val="single" w:sz="4" w:space="0" w:color="auto"/>
              <w:right w:val="single" w:sz="4" w:space="0" w:color="auto"/>
            </w:tcBorders>
            <w:shd w:val="clear" w:color="auto" w:fill="AADC14" w:themeFill="text1"/>
            <w:vAlign w:val="center"/>
            <w:hideMark/>
          </w:tcPr>
          <w:p w:rsidR="00D13A56" w:rsidRPr="00D13A56" w:rsidRDefault="00D13A56" w:rsidP="00C14EEF">
            <w:pPr>
              <w:jc w:val="center"/>
              <w:rPr>
                <w:rFonts w:ascii="Arial" w:hAnsi="Arial" w:cs="Arial"/>
                <w:b/>
                <w:bCs/>
                <w:szCs w:val="22"/>
                <w:lang w:val="en-US" w:eastAsia="uk-UA"/>
              </w:rPr>
            </w:pPr>
          </w:p>
        </w:tc>
        <w:tc>
          <w:tcPr>
            <w:tcW w:w="5718" w:type="dxa"/>
            <w:vMerge/>
            <w:tcBorders>
              <w:left w:val="single" w:sz="4" w:space="0" w:color="auto"/>
              <w:bottom w:val="single" w:sz="4" w:space="0" w:color="auto"/>
              <w:right w:val="single" w:sz="4" w:space="0" w:color="auto"/>
            </w:tcBorders>
            <w:shd w:val="clear" w:color="auto" w:fill="AADC14" w:themeFill="text1"/>
            <w:vAlign w:val="center"/>
            <w:hideMark/>
          </w:tcPr>
          <w:p w:rsidR="00D13A56" w:rsidRPr="00D13A56" w:rsidRDefault="00D13A56" w:rsidP="00C14EEF">
            <w:pPr>
              <w:jc w:val="center"/>
              <w:rPr>
                <w:rFonts w:ascii="Arial" w:hAnsi="Arial" w:cs="Arial"/>
                <w:b/>
                <w:bCs/>
                <w:szCs w:val="22"/>
                <w:lang w:val="en-US" w:eastAsia="uk-UA"/>
              </w:rPr>
            </w:pPr>
          </w:p>
        </w:tc>
        <w:tc>
          <w:tcPr>
            <w:tcW w:w="1134" w:type="dxa"/>
            <w:tcBorders>
              <w:top w:val="nil"/>
              <w:left w:val="nil"/>
              <w:bottom w:val="single" w:sz="4" w:space="0" w:color="auto"/>
              <w:right w:val="single" w:sz="4" w:space="0" w:color="auto"/>
            </w:tcBorders>
            <w:shd w:val="clear" w:color="auto" w:fill="92D050"/>
            <w:noWrap/>
            <w:vAlign w:val="center"/>
            <w:hideMark/>
          </w:tcPr>
          <w:p w:rsidR="00D13A56" w:rsidRPr="00D13A56" w:rsidRDefault="00D13A56" w:rsidP="00C14EEF">
            <w:pPr>
              <w:jc w:val="center"/>
              <w:rPr>
                <w:rFonts w:ascii="Arial" w:hAnsi="Arial" w:cs="Arial"/>
                <w:b/>
                <w:bCs/>
                <w:szCs w:val="22"/>
              </w:rPr>
            </w:pPr>
            <w:r>
              <w:rPr>
                <w:rFonts w:ascii="Arial" w:hAnsi="Arial"/>
                <w:b/>
                <w:bCs/>
                <w:szCs w:val="22"/>
              </w:rPr>
              <w:t>Вода</w:t>
            </w:r>
          </w:p>
        </w:tc>
        <w:tc>
          <w:tcPr>
            <w:tcW w:w="1183" w:type="dxa"/>
            <w:tcBorders>
              <w:top w:val="nil"/>
              <w:left w:val="nil"/>
              <w:bottom w:val="single" w:sz="4" w:space="0" w:color="auto"/>
              <w:right w:val="single" w:sz="4" w:space="0" w:color="auto"/>
            </w:tcBorders>
            <w:shd w:val="clear" w:color="auto" w:fill="92D050"/>
            <w:noWrap/>
            <w:vAlign w:val="center"/>
            <w:hideMark/>
          </w:tcPr>
          <w:p w:rsidR="00D13A56" w:rsidRPr="00D13A56" w:rsidRDefault="00D13A56" w:rsidP="00C14EEF">
            <w:pPr>
              <w:jc w:val="center"/>
              <w:rPr>
                <w:rFonts w:ascii="Arial" w:hAnsi="Arial" w:cs="Arial"/>
                <w:b/>
                <w:bCs/>
                <w:szCs w:val="22"/>
              </w:rPr>
            </w:pPr>
            <w:r>
              <w:rPr>
                <w:rFonts w:ascii="Arial" w:hAnsi="Arial"/>
                <w:b/>
                <w:bCs/>
                <w:szCs w:val="22"/>
              </w:rPr>
              <w:t>Водовідведення</w:t>
            </w:r>
          </w:p>
        </w:tc>
      </w:tr>
      <w:tr w:rsidR="00D13A56" w:rsidRPr="00D13A56" w:rsidTr="0004226A">
        <w:trPr>
          <w:trHeight w:val="33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D13A56" w:rsidRPr="00D13A56" w:rsidRDefault="00D13A56" w:rsidP="00C14EEF">
            <w:pPr>
              <w:jc w:val="center"/>
              <w:rPr>
                <w:rFonts w:ascii="Arial" w:hAnsi="Arial" w:cs="Arial"/>
                <w:b/>
                <w:bCs/>
                <w:color w:val="000000"/>
                <w:szCs w:val="22"/>
              </w:rPr>
            </w:pPr>
            <w:r>
              <w:rPr>
                <w:rFonts w:ascii="Arial" w:hAnsi="Arial"/>
                <w:b/>
                <w:bCs/>
                <w:color w:val="000000"/>
                <w:szCs w:val="22"/>
              </w:rPr>
              <w:t>1</w:t>
            </w:r>
          </w:p>
        </w:tc>
        <w:tc>
          <w:tcPr>
            <w:tcW w:w="5718"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left"/>
              <w:rPr>
                <w:rFonts w:ascii="Arial" w:hAnsi="Arial" w:cs="Arial"/>
                <w:b/>
                <w:bCs/>
                <w:color w:val="000000"/>
                <w:szCs w:val="22"/>
              </w:rPr>
            </w:pPr>
            <w:r>
              <w:rPr>
                <w:rFonts w:ascii="Arial" w:hAnsi="Arial"/>
                <w:b/>
                <w:bCs/>
                <w:color w:val="000000"/>
                <w:szCs w:val="22"/>
              </w:rPr>
              <w:t>Виробничі витрати, включно:</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Arial" w:hAnsi="Arial" w:cs="Arial"/>
                <w:b/>
                <w:bCs/>
                <w:color w:val="000000"/>
                <w:szCs w:val="22"/>
              </w:rPr>
            </w:pPr>
            <w:r>
              <w:rPr>
                <w:rFonts w:ascii="Arial" w:hAnsi="Arial"/>
                <w:b/>
                <w:bCs/>
                <w:color w:val="000000"/>
                <w:szCs w:val="22"/>
              </w:rPr>
              <w:t>100</w:t>
            </w:r>
          </w:p>
        </w:tc>
        <w:tc>
          <w:tcPr>
            <w:tcW w:w="1183" w:type="dxa"/>
            <w:tcBorders>
              <w:top w:val="single" w:sz="4" w:space="0" w:color="auto"/>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Arial" w:hAnsi="Arial" w:cs="Arial"/>
                <w:b/>
                <w:bCs/>
                <w:color w:val="000000"/>
                <w:szCs w:val="22"/>
              </w:rPr>
            </w:pPr>
            <w:r>
              <w:rPr>
                <w:rFonts w:ascii="Arial" w:hAnsi="Arial"/>
                <w:b/>
                <w:bCs/>
                <w:color w:val="000000"/>
                <w:szCs w:val="22"/>
              </w:rPr>
              <w:t>100</w:t>
            </w:r>
          </w:p>
        </w:tc>
      </w:tr>
      <w:tr w:rsidR="00D13A56" w:rsidRPr="00D13A56" w:rsidTr="0004226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D13A56" w:rsidRPr="00D13A56" w:rsidRDefault="00D13A56" w:rsidP="00C14EEF">
            <w:pPr>
              <w:jc w:val="center"/>
              <w:rPr>
                <w:rFonts w:ascii="Arial" w:hAnsi="Arial" w:cs="Arial"/>
                <w:color w:val="000000"/>
                <w:szCs w:val="22"/>
              </w:rPr>
            </w:pPr>
            <w:r>
              <w:rPr>
                <w:rFonts w:ascii="Arial" w:hAnsi="Arial"/>
                <w:color w:val="000000"/>
                <w:szCs w:val="22"/>
              </w:rPr>
              <w:t>1,1.</w:t>
            </w:r>
          </w:p>
        </w:tc>
        <w:tc>
          <w:tcPr>
            <w:tcW w:w="5718"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left"/>
              <w:rPr>
                <w:rFonts w:ascii="Arial" w:hAnsi="Arial" w:cs="Arial"/>
                <w:b/>
                <w:bCs/>
                <w:color w:val="000000"/>
                <w:szCs w:val="22"/>
              </w:rPr>
            </w:pPr>
            <w:r>
              <w:rPr>
                <w:rFonts w:ascii="Arial" w:hAnsi="Arial"/>
                <w:b/>
                <w:bCs/>
                <w:color w:val="000000"/>
                <w:szCs w:val="22"/>
              </w:rPr>
              <w:t>Прямі матеріальні витрати</w:t>
            </w:r>
          </w:p>
        </w:tc>
        <w:tc>
          <w:tcPr>
            <w:tcW w:w="1134"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Arial" w:hAnsi="Arial" w:cs="Arial"/>
                <w:color w:val="000000"/>
                <w:szCs w:val="22"/>
              </w:rPr>
            </w:pPr>
            <w:r>
              <w:rPr>
                <w:rFonts w:ascii="Arial" w:hAnsi="Arial"/>
                <w:color w:val="000000"/>
                <w:szCs w:val="22"/>
              </w:rPr>
              <w:t>30,84</w:t>
            </w:r>
          </w:p>
        </w:tc>
        <w:tc>
          <w:tcPr>
            <w:tcW w:w="1183"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Arial" w:hAnsi="Arial" w:cs="Arial"/>
                <w:color w:val="000000"/>
                <w:szCs w:val="22"/>
              </w:rPr>
            </w:pPr>
            <w:r>
              <w:rPr>
                <w:rFonts w:ascii="Arial" w:hAnsi="Arial"/>
                <w:color w:val="000000"/>
                <w:szCs w:val="22"/>
              </w:rPr>
              <w:t>32,92</w:t>
            </w:r>
          </w:p>
        </w:tc>
      </w:tr>
      <w:tr w:rsidR="00D13A56" w:rsidRPr="00D13A56" w:rsidTr="00C8203D">
        <w:trPr>
          <w:trHeight w:val="300"/>
        </w:trPr>
        <w:tc>
          <w:tcPr>
            <w:tcW w:w="960" w:type="dxa"/>
            <w:tcBorders>
              <w:top w:val="nil"/>
              <w:left w:val="single" w:sz="4" w:space="0" w:color="auto"/>
              <w:bottom w:val="single" w:sz="4" w:space="0" w:color="auto"/>
              <w:right w:val="single" w:sz="4" w:space="0" w:color="auto"/>
            </w:tcBorders>
            <w:shd w:val="clear" w:color="auto" w:fill="92D050"/>
            <w:vAlign w:val="center"/>
            <w:hideMark/>
          </w:tcPr>
          <w:p w:rsidR="00D13A56" w:rsidRPr="00D13A56" w:rsidRDefault="00D13A56" w:rsidP="00C14EEF">
            <w:pPr>
              <w:jc w:val="center"/>
              <w:rPr>
                <w:rFonts w:ascii="Arial" w:hAnsi="Arial" w:cs="Arial"/>
                <w:color w:val="000000"/>
                <w:szCs w:val="22"/>
              </w:rPr>
            </w:pPr>
            <w:r>
              <w:rPr>
                <w:rFonts w:ascii="Arial" w:hAnsi="Arial"/>
                <w:color w:val="000000"/>
                <w:szCs w:val="22"/>
              </w:rPr>
              <w:t>1.1.1</w:t>
            </w:r>
          </w:p>
        </w:tc>
        <w:tc>
          <w:tcPr>
            <w:tcW w:w="5718" w:type="dxa"/>
            <w:tcBorders>
              <w:top w:val="nil"/>
              <w:left w:val="nil"/>
              <w:bottom w:val="single" w:sz="4" w:space="0" w:color="auto"/>
              <w:right w:val="single" w:sz="4" w:space="0" w:color="auto"/>
            </w:tcBorders>
            <w:shd w:val="clear" w:color="auto" w:fill="92D050"/>
            <w:vAlign w:val="center"/>
            <w:hideMark/>
          </w:tcPr>
          <w:p w:rsidR="00D13A56" w:rsidRPr="00D13A56" w:rsidRDefault="00D13A56" w:rsidP="00C14EEF">
            <w:pPr>
              <w:jc w:val="left"/>
              <w:rPr>
                <w:rFonts w:ascii="Arial" w:hAnsi="Arial" w:cs="Arial"/>
                <w:color w:val="000000"/>
                <w:szCs w:val="22"/>
              </w:rPr>
            </w:pPr>
            <w:r>
              <w:rPr>
                <w:rFonts w:ascii="Arial" w:hAnsi="Arial"/>
                <w:color w:val="000000"/>
                <w:szCs w:val="22"/>
              </w:rPr>
              <w:t>Електроенергія</w:t>
            </w:r>
          </w:p>
        </w:tc>
        <w:tc>
          <w:tcPr>
            <w:tcW w:w="1134" w:type="dxa"/>
            <w:tcBorders>
              <w:top w:val="nil"/>
              <w:left w:val="nil"/>
              <w:bottom w:val="single" w:sz="4" w:space="0" w:color="auto"/>
              <w:right w:val="single" w:sz="4" w:space="0" w:color="auto"/>
            </w:tcBorders>
            <w:shd w:val="clear" w:color="auto" w:fill="92D050"/>
            <w:noWrap/>
            <w:vAlign w:val="center"/>
            <w:hideMark/>
          </w:tcPr>
          <w:p w:rsidR="00D13A56" w:rsidRPr="00D13A56" w:rsidRDefault="00D13A56" w:rsidP="00C14EEF">
            <w:pPr>
              <w:jc w:val="right"/>
              <w:rPr>
                <w:rFonts w:ascii="Arial" w:hAnsi="Arial" w:cs="Arial"/>
                <w:b/>
                <w:color w:val="000000"/>
                <w:szCs w:val="22"/>
              </w:rPr>
            </w:pPr>
            <w:r>
              <w:rPr>
                <w:rFonts w:ascii="Arial" w:hAnsi="Arial"/>
                <w:b/>
                <w:color w:val="000000"/>
                <w:szCs w:val="22"/>
              </w:rPr>
              <w:t>30,12</w:t>
            </w:r>
          </w:p>
        </w:tc>
        <w:tc>
          <w:tcPr>
            <w:tcW w:w="1183" w:type="dxa"/>
            <w:tcBorders>
              <w:top w:val="nil"/>
              <w:left w:val="nil"/>
              <w:bottom w:val="single" w:sz="4" w:space="0" w:color="auto"/>
              <w:right w:val="single" w:sz="4" w:space="0" w:color="auto"/>
            </w:tcBorders>
            <w:shd w:val="clear" w:color="auto" w:fill="92D050"/>
            <w:noWrap/>
            <w:vAlign w:val="center"/>
            <w:hideMark/>
          </w:tcPr>
          <w:p w:rsidR="00D13A56" w:rsidRPr="00D13A56" w:rsidRDefault="00D13A56" w:rsidP="00C14EEF">
            <w:pPr>
              <w:jc w:val="right"/>
              <w:rPr>
                <w:rFonts w:ascii="Arial" w:hAnsi="Arial" w:cs="Arial"/>
                <w:b/>
                <w:color w:val="000000"/>
                <w:szCs w:val="22"/>
              </w:rPr>
            </w:pPr>
            <w:r>
              <w:rPr>
                <w:rFonts w:ascii="Arial" w:hAnsi="Arial"/>
                <w:b/>
                <w:color w:val="000000"/>
                <w:szCs w:val="22"/>
              </w:rPr>
              <w:t>32,92</w:t>
            </w:r>
          </w:p>
        </w:tc>
      </w:tr>
      <w:tr w:rsidR="00D13A56" w:rsidRPr="00D13A56" w:rsidTr="0004226A">
        <w:trPr>
          <w:trHeight w:val="75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D13A56" w:rsidRPr="00D13A56" w:rsidRDefault="00D13A56" w:rsidP="00C14EEF">
            <w:pPr>
              <w:jc w:val="center"/>
              <w:rPr>
                <w:rFonts w:ascii="Arial" w:hAnsi="Arial" w:cs="Arial"/>
                <w:color w:val="000000"/>
                <w:szCs w:val="22"/>
              </w:rPr>
            </w:pPr>
            <w:r>
              <w:rPr>
                <w:rFonts w:ascii="Arial" w:hAnsi="Arial"/>
                <w:color w:val="000000"/>
                <w:szCs w:val="22"/>
              </w:rPr>
              <w:t>2.1.1</w:t>
            </w:r>
          </w:p>
        </w:tc>
        <w:tc>
          <w:tcPr>
            <w:tcW w:w="5718"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left"/>
              <w:rPr>
                <w:rFonts w:ascii="Arial" w:hAnsi="Arial" w:cs="Arial"/>
                <w:color w:val="000000"/>
                <w:szCs w:val="22"/>
              </w:rPr>
            </w:pPr>
            <w:r>
              <w:rPr>
                <w:rFonts w:ascii="Arial" w:hAnsi="Arial"/>
                <w:color w:val="000000"/>
                <w:szCs w:val="22"/>
              </w:rPr>
              <w:t xml:space="preserve">Витрати на </w:t>
            </w:r>
            <w:proofErr w:type="spellStart"/>
            <w:r>
              <w:rPr>
                <w:rFonts w:ascii="Arial" w:hAnsi="Arial"/>
                <w:color w:val="000000"/>
                <w:szCs w:val="22"/>
              </w:rPr>
              <w:t>водопідготовку</w:t>
            </w:r>
            <w:proofErr w:type="spellEnd"/>
            <w:r>
              <w:rPr>
                <w:rFonts w:ascii="Arial" w:hAnsi="Arial"/>
                <w:color w:val="000000"/>
                <w:szCs w:val="22"/>
              </w:rPr>
              <w:t xml:space="preserve"> /водовідведення силами інших підприємств</w:t>
            </w:r>
          </w:p>
        </w:tc>
        <w:tc>
          <w:tcPr>
            <w:tcW w:w="1134"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Arial" w:hAnsi="Arial" w:cs="Arial"/>
                <w:color w:val="000000"/>
                <w:szCs w:val="22"/>
              </w:rPr>
            </w:pPr>
            <w:r>
              <w:rPr>
                <w:rFonts w:ascii="Arial" w:hAnsi="Arial"/>
                <w:color w:val="000000"/>
                <w:szCs w:val="22"/>
              </w:rPr>
              <w:t>0,00</w:t>
            </w:r>
          </w:p>
        </w:tc>
        <w:tc>
          <w:tcPr>
            <w:tcW w:w="1183"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Arial" w:hAnsi="Arial" w:cs="Arial"/>
                <w:color w:val="000000"/>
                <w:szCs w:val="22"/>
              </w:rPr>
            </w:pPr>
            <w:r>
              <w:rPr>
                <w:rFonts w:ascii="Arial" w:hAnsi="Arial"/>
                <w:color w:val="000000"/>
                <w:szCs w:val="22"/>
              </w:rPr>
              <w:t>0,00</w:t>
            </w:r>
          </w:p>
        </w:tc>
      </w:tr>
      <w:tr w:rsidR="00D13A56" w:rsidRPr="00D13A56" w:rsidTr="0004226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D13A56" w:rsidRPr="00D13A56" w:rsidRDefault="00D13A56" w:rsidP="00C14EEF">
            <w:pPr>
              <w:jc w:val="center"/>
              <w:rPr>
                <w:rFonts w:ascii="Arial" w:hAnsi="Arial" w:cs="Arial"/>
                <w:color w:val="000000"/>
                <w:szCs w:val="22"/>
              </w:rPr>
            </w:pPr>
            <w:r>
              <w:rPr>
                <w:rFonts w:ascii="Arial" w:hAnsi="Arial"/>
                <w:color w:val="000000"/>
                <w:szCs w:val="22"/>
              </w:rPr>
              <w:t>3.1.1</w:t>
            </w:r>
          </w:p>
        </w:tc>
        <w:tc>
          <w:tcPr>
            <w:tcW w:w="5718"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left"/>
              <w:rPr>
                <w:rFonts w:ascii="Arial" w:hAnsi="Arial" w:cs="Arial"/>
                <w:color w:val="000000"/>
                <w:szCs w:val="22"/>
              </w:rPr>
            </w:pPr>
            <w:r>
              <w:rPr>
                <w:rFonts w:ascii="Arial" w:hAnsi="Arial"/>
                <w:color w:val="000000"/>
                <w:szCs w:val="22"/>
              </w:rPr>
              <w:t>Реагенти</w:t>
            </w:r>
          </w:p>
        </w:tc>
        <w:tc>
          <w:tcPr>
            <w:tcW w:w="1134"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Arial" w:hAnsi="Arial" w:cs="Arial"/>
                <w:color w:val="000000"/>
                <w:szCs w:val="22"/>
              </w:rPr>
            </w:pPr>
            <w:r>
              <w:rPr>
                <w:rFonts w:ascii="Arial" w:hAnsi="Arial"/>
                <w:color w:val="000000"/>
                <w:szCs w:val="22"/>
              </w:rPr>
              <w:t>0,60</w:t>
            </w:r>
          </w:p>
        </w:tc>
        <w:tc>
          <w:tcPr>
            <w:tcW w:w="1183"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Arial" w:hAnsi="Arial" w:cs="Arial"/>
                <w:color w:val="000000"/>
                <w:szCs w:val="22"/>
              </w:rPr>
            </w:pPr>
            <w:r>
              <w:rPr>
                <w:rFonts w:ascii="Arial" w:hAnsi="Arial"/>
                <w:color w:val="000000"/>
                <w:szCs w:val="22"/>
              </w:rPr>
              <w:t>0,00</w:t>
            </w:r>
          </w:p>
        </w:tc>
      </w:tr>
      <w:tr w:rsidR="00D13A56" w:rsidRPr="00D13A56" w:rsidTr="0004226A">
        <w:trPr>
          <w:trHeight w:val="48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D13A56" w:rsidRPr="00D13A56" w:rsidRDefault="00D13A56" w:rsidP="00C14EEF">
            <w:pPr>
              <w:jc w:val="center"/>
              <w:rPr>
                <w:rFonts w:ascii="Arial" w:hAnsi="Arial" w:cs="Arial"/>
                <w:color w:val="000000"/>
                <w:szCs w:val="22"/>
              </w:rPr>
            </w:pPr>
            <w:r>
              <w:rPr>
                <w:rFonts w:ascii="Arial" w:hAnsi="Arial"/>
                <w:color w:val="000000"/>
                <w:szCs w:val="22"/>
              </w:rPr>
              <w:t>4.1.1</w:t>
            </w:r>
          </w:p>
        </w:tc>
        <w:tc>
          <w:tcPr>
            <w:tcW w:w="5718"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left"/>
              <w:rPr>
                <w:rFonts w:ascii="Arial" w:hAnsi="Arial" w:cs="Arial"/>
                <w:color w:val="000000"/>
                <w:szCs w:val="22"/>
              </w:rPr>
            </w:pPr>
            <w:r>
              <w:rPr>
                <w:rFonts w:ascii="Arial" w:hAnsi="Arial"/>
                <w:color w:val="000000"/>
                <w:szCs w:val="22"/>
              </w:rPr>
              <w:t>Інші прямі матеріальні витрати (ремонт)</w:t>
            </w:r>
          </w:p>
        </w:tc>
        <w:tc>
          <w:tcPr>
            <w:tcW w:w="1134"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Arial" w:hAnsi="Arial" w:cs="Arial"/>
                <w:color w:val="000000"/>
                <w:szCs w:val="22"/>
              </w:rPr>
            </w:pPr>
            <w:r>
              <w:rPr>
                <w:rFonts w:ascii="Arial" w:hAnsi="Arial"/>
                <w:color w:val="000000"/>
                <w:szCs w:val="22"/>
              </w:rPr>
              <w:t>0,12</w:t>
            </w:r>
          </w:p>
        </w:tc>
        <w:tc>
          <w:tcPr>
            <w:tcW w:w="1183"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Arial" w:hAnsi="Arial" w:cs="Arial"/>
                <w:color w:val="000000"/>
                <w:szCs w:val="22"/>
              </w:rPr>
            </w:pPr>
            <w:r>
              <w:rPr>
                <w:rFonts w:ascii="Arial" w:hAnsi="Arial"/>
                <w:color w:val="000000"/>
                <w:szCs w:val="22"/>
              </w:rPr>
              <w:t>0,00</w:t>
            </w:r>
          </w:p>
        </w:tc>
      </w:tr>
      <w:tr w:rsidR="00D13A56" w:rsidRPr="00D13A56" w:rsidTr="00C8203D">
        <w:trPr>
          <w:trHeight w:val="300"/>
        </w:trPr>
        <w:tc>
          <w:tcPr>
            <w:tcW w:w="960" w:type="dxa"/>
            <w:tcBorders>
              <w:top w:val="nil"/>
              <w:left w:val="single" w:sz="4" w:space="0" w:color="auto"/>
              <w:bottom w:val="single" w:sz="4" w:space="0" w:color="auto"/>
              <w:right w:val="single" w:sz="4" w:space="0" w:color="auto"/>
            </w:tcBorders>
            <w:shd w:val="clear" w:color="auto" w:fill="92D050"/>
            <w:vAlign w:val="center"/>
            <w:hideMark/>
          </w:tcPr>
          <w:p w:rsidR="00D13A56" w:rsidRPr="00D13A56" w:rsidRDefault="00D13A56" w:rsidP="00C14EEF">
            <w:pPr>
              <w:jc w:val="center"/>
              <w:rPr>
                <w:rFonts w:ascii="Arial" w:hAnsi="Arial" w:cs="Arial"/>
                <w:b/>
                <w:bCs/>
                <w:color w:val="000000"/>
                <w:szCs w:val="22"/>
              </w:rPr>
            </w:pPr>
            <w:r>
              <w:rPr>
                <w:rFonts w:ascii="Arial" w:hAnsi="Arial"/>
                <w:b/>
                <w:bCs/>
                <w:color w:val="000000"/>
                <w:szCs w:val="22"/>
              </w:rPr>
              <w:t>1,2.</w:t>
            </w:r>
          </w:p>
        </w:tc>
        <w:tc>
          <w:tcPr>
            <w:tcW w:w="5718" w:type="dxa"/>
            <w:tcBorders>
              <w:top w:val="nil"/>
              <w:left w:val="nil"/>
              <w:bottom w:val="single" w:sz="4" w:space="0" w:color="auto"/>
              <w:right w:val="single" w:sz="4" w:space="0" w:color="auto"/>
            </w:tcBorders>
            <w:shd w:val="clear" w:color="auto" w:fill="92D050"/>
            <w:vAlign w:val="center"/>
            <w:hideMark/>
          </w:tcPr>
          <w:p w:rsidR="00D13A56" w:rsidRPr="00D13A56" w:rsidRDefault="00D13A56" w:rsidP="00C14EEF">
            <w:pPr>
              <w:jc w:val="left"/>
              <w:rPr>
                <w:rFonts w:ascii="Arial" w:hAnsi="Arial" w:cs="Arial"/>
                <w:b/>
                <w:bCs/>
                <w:color w:val="000000"/>
                <w:szCs w:val="22"/>
              </w:rPr>
            </w:pPr>
            <w:r>
              <w:rPr>
                <w:rFonts w:ascii="Arial" w:hAnsi="Arial"/>
                <w:b/>
                <w:bCs/>
                <w:color w:val="000000"/>
                <w:szCs w:val="22"/>
              </w:rPr>
              <w:t>Прямі витрати на оплату праці</w:t>
            </w:r>
          </w:p>
        </w:tc>
        <w:tc>
          <w:tcPr>
            <w:tcW w:w="1134" w:type="dxa"/>
            <w:tcBorders>
              <w:top w:val="nil"/>
              <w:left w:val="nil"/>
              <w:bottom w:val="single" w:sz="4" w:space="0" w:color="auto"/>
              <w:right w:val="single" w:sz="4" w:space="0" w:color="auto"/>
            </w:tcBorders>
            <w:shd w:val="clear" w:color="auto" w:fill="92D050"/>
            <w:noWrap/>
            <w:vAlign w:val="center"/>
            <w:hideMark/>
          </w:tcPr>
          <w:p w:rsidR="00D13A56" w:rsidRPr="00D13A56" w:rsidRDefault="00D13A56" w:rsidP="00C14EEF">
            <w:pPr>
              <w:jc w:val="right"/>
              <w:rPr>
                <w:rFonts w:ascii="Arial" w:hAnsi="Arial" w:cs="Arial"/>
                <w:b/>
                <w:color w:val="000000"/>
                <w:szCs w:val="22"/>
              </w:rPr>
            </w:pPr>
            <w:r>
              <w:rPr>
                <w:rFonts w:ascii="Arial" w:hAnsi="Arial"/>
                <w:b/>
                <w:color w:val="000000"/>
                <w:szCs w:val="22"/>
              </w:rPr>
              <w:t>14,01</w:t>
            </w:r>
          </w:p>
        </w:tc>
        <w:tc>
          <w:tcPr>
            <w:tcW w:w="1183" w:type="dxa"/>
            <w:tcBorders>
              <w:top w:val="nil"/>
              <w:left w:val="nil"/>
              <w:bottom w:val="single" w:sz="4" w:space="0" w:color="auto"/>
              <w:right w:val="single" w:sz="4" w:space="0" w:color="auto"/>
            </w:tcBorders>
            <w:shd w:val="clear" w:color="auto" w:fill="92D050"/>
            <w:noWrap/>
            <w:vAlign w:val="center"/>
            <w:hideMark/>
          </w:tcPr>
          <w:p w:rsidR="00D13A56" w:rsidRPr="00D13A56" w:rsidRDefault="00D13A56" w:rsidP="00C14EEF">
            <w:pPr>
              <w:jc w:val="right"/>
              <w:rPr>
                <w:rFonts w:ascii="Arial" w:hAnsi="Arial" w:cs="Arial"/>
                <w:b/>
                <w:color w:val="000000"/>
                <w:szCs w:val="22"/>
              </w:rPr>
            </w:pPr>
            <w:r>
              <w:rPr>
                <w:rFonts w:ascii="Arial" w:hAnsi="Arial"/>
                <w:b/>
                <w:color w:val="000000"/>
                <w:szCs w:val="22"/>
              </w:rPr>
              <w:t>21,58</w:t>
            </w:r>
          </w:p>
        </w:tc>
      </w:tr>
      <w:tr w:rsidR="00D13A56" w:rsidRPr="00D13A56" w:rsidTr="0004226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D13A56" w:rsidRPr="00D13A56" w:rsidRDefault="00D13A56" w:rsidP="00C14EEF">
            <w:pPr>
              <w:jc w:val="center"/>
              <w:rPr>
                <w:rFonts w:ascii="Arial" w:hAnsi="Arial" w:cs="Arial"/>
                <w:b/>
                <w:bCs/>
                <w:color w:val="000000"/>
                <w:szCs w:val="22"/>
              </w:rPr>
            </w:pPr>
            <w:r>
              <w:rPr>
                <w:rFonts w:ascii="Arial" w:hAnsi="Arial"/>
                <w:b/>
                <w:bCs/>
                <w:color w:val="000000"/>
                <w:szCs w:val="22"/>
              </w:rPr>
              <w:t>1,3.</w:t>
            </w:r>
          </w:p>
        </w:tc>
        <w:tc>
          <w:tcPr>
            <w:tcW w:w="5718"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left"/>
              <w:rPr>
                <w:rFonts w:ascii="Arial" w:hAnsi="Arial" w:cs="Arial"/>
                <w:b/>
                <w:bCs/>
                <w:color w:val="000000"/>
                <w:szCs w:val="22"/>
              </w:rPr>
            </w:pPr>
            <w:r>
              <w:rPr>
                <w:rFonts w:ascii="Arial" w:hAnsi="Arial"/>
                <w:b/>
                <w:bCs/>
                <w:color w:val="000000"/>
                <w:szCs w:val="22"/>
              </w:rPr>
              <w:t>Інші прямі витрати, включно:</w:t>
            </w:r>
          </w:p>
        </w:tc>
        <w:tc>
          <w:tcPr>
            <w:tcW w:w="1134"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Arial" w:hAnsi="Arial" w:cs="Arial"/>
                <w:color w:val="000000"/>
                <w:szCs w:val="22"/>
              </w:rPr>
            </w:pPr>
            <w:r>
              <w:rPr>
                <w:rFonts w:ascii="Arial" w:hAnsi="Arial"/>
                <w:color w:val="000000"/>
                <w:szCs w:val="22"/>
              </w:rPr>
              <w:t>18,02</w:t>
            </w:r>
          </w:p>
        </w:tc>
        <w:tc>
          <w:tcPr>
            <w:tcW w:w="1183"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Arial" w:hAnsi="Arial" w:cs="Arial"/>
                <w:color w:val="000000"/>
                <w:szCs w:val="22"/>
              </w:rPr>
            </w:pPr>
            <w:r>
              <w:rPr>
                <w:rFonts w:ascii="Arial" w:hAnsi="Arial"/>
                <w:color w:val="000000"/>
                <w:szCs w:val="22"/>
              </w:rPr>
              <w:t>11,85</w:t>
            </w:r>
          </w:p>
        </w:tc>
      </w:tr>
      <w:tr w:rsidR="00D13A56" w:rsidRPr="00D13A56" w:rsidTr="0004226A">
        <w:trPr>
          <w:trHeight w:val="34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D13A56" w:rsidRPr="00D13A56" w:rsidRDefault="00D13A56" w:rsidP="00C14EEF">
            <w:pPr>
              <w:jc w:val="center"/>
              <w:rPr>
                <w:rFonts w:ascii="Arial" w:hAnsi="Arial" w:cs="Arial"/>
                <w:color w:val="000000"/>
                <w:szCs w:val="22"/>
              </w:rPr>
            </w:pPr>
            <w:r>
              <w:rPr>
                <w:rFonts w:ascii="Arial" w:hAnsi="Arial"/>
                <w:color w:val="000000"/>
                <w:szCs w:val="22"/>
              </w:rPr>
              <w:t>1.3.1</w:t>
            </w:r>
          </w:p>
        </w:tc>
        <w:tc>
          <w:tcPr>
            <w:tcW w:w="5718"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left"/>
              <w:rPr>
                <w:rFonts w:ascii="Arial" w:hAnsi="Arial" w:cs="Arial"/>
                <w:color w:val="000000"/>
                <w:szCs w:val="22"/>
              </w:rPr>
            </w:pPr>
            <w:r>
              <w:rPr>
                <w:rFonts w:ascii="Arial" w:hAnsi="Arial"/>
                <w:color w:val="000000"/>
                <w:szCs w:val="22"/>
              </w:rPr>
              <w:t>Соціальне страхування працівників</w:t>
            </w:r>
          </w:p>
        </w:tc>
        <w:tc>
          <w:tcPr>
            <w:tcW w:w="1134"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Arial" w:hAnsi="Arial" w:cs="Arial"/>
                <w:color w:val="000000"/>
                <w:szCs w:val="22"/>
              </w:rPr>
            </w:pPr>
            <w:r>
              <w:rPr>
                <w:rFonts w:ascii="Arial" w:hAnsi="Arial"/>
                <w:color w:val="000000"/>
                <w:szCs w:val="22"/>
              </w:rPr>
              <w:t>3,08</w:t>
            </w:r>
          </w:p>
        </w:tc>
        <w:tc>
          <w:tcPr>
            <w:tcW w:w="1183"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Arial" w:hAnsi="Arial" w:cs="Arial"/>
                <w:color w:val="000000"/>
                <w:szCs w:val="22"/>
              </w:rPr>
            </w:pPr>
            <w:r>
              <w:rPr>
                <w:rFonts w:ascii="Arial" w:hAnsi="Arial"/>
                <w:color w:val="000000"/>
                <w:szCs w:val="22"/>
              </w:rPr>
              <w:t>4,75</w:t>
            </w:r>
          </w:p>
        </w:tc>
      </w:tr>
      <w:tr w:rsidR="00D13A56" w:rsidRPr="00D13A56" w:rsidTr="0004226A">
        <w:trPr>
          <w:trHeight w:val="34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D13A56" w:rsidRPr="00D13A56" w:rsidRDefault="00D13A56" w:rsidP="00C14EEF">
            <w:pPr>
              <w:jc w:val="center"/>
              <w:rPr>
                <w:rFonts w:ascii="Arial" w:hAnsi="Arial" w:cs="Arial"/>
                <w:color w:val="000000"/>
                <w:szCs w:val="22"/>
              </w:rPr>
            </w:pPr>
            <w:r>
              <w:rPr>
                <w:rFonts w:ascii="Arial" w:hAnsi="Arial"/>
                <w:color w:val="000000"/>
                <w:szCs w:val="22"/>
              </w:rPr>
              <w:t>1.3.2</w:t>
            </w:r>
          </w:p>
        </w:tc>
        <w:tc>
          <w:tcPr>
            <w:tcW w:w="5718"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left"/>
              <w:rPr>
                <w:rFonts w:ascii="Arial" w:hAnsi="Arial" w:cs="Arial"/>
                <w:color w:val="000000"/>
                <w:szCs w:val="22"/>
              </w:rPr>
            </w:pPr>
            <w:r>
              <w:rPr>
                <w:rFonts w:ascii="Arial" w:hAnsi="Arial"/>
                <w:color w:val="000000"/>
                <w:szCs w:val="22"/>
              </w:rPr>
              <w:t>Знос/амортизація</w:t>
            </w:r>
          </w:p>
        </w:tc>
        <w:tc>
          <w:tcPr>
            <w:tcW w:w="1134"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Arial" w:hAnsi="Arial" w:cs="Arial"/>
                <w:color w:val="000000"/>
                <w:szCs w:val="22"/>
              </w:rPr>
            </w:pPr>
            <w:r>
              <w:rPr>
                <w:rFonts w:ascii="Arial" w:hAnsi="Arial"/>
                <w:color w:val="000000"/>
                <w:szCs w:val="22"/>
              </w:rPr>
              <w:t>5,07</w:t>
            </w:r>
          </w:p>
        </w:tc>
        <w:tc>
          <w:tcPr>
            <w:tcW w:w="1183"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Arial" w:hAnsi="Arial" w:cs="Arial"/>
                <w:color w:val="000000"/>
                <w:szCs w:val="22"/>
              </w:rPr>
            </w:pPr>
            <w:r>
              <w:rPr>
                <w:rFonts w:ascii="Arial" w:hAnsi="Arial"/>
                <w:color w:val="000000"/>
                <w:szCs w:val="22"/>
              </w:rPr>
              <w:t>6,71</w:t>
            </w:r>
          </w:p>
        </w:tc>
      </w:tr>
      <w:tr w:rsidR="00D13A56" w:rsidRPr="00D13A56" w:rsidTr="0004226A">
        <w:trPr>
          <w:trHeight w:val="28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D13A56" w:rsidRPr="00D13A56" w:rsidRDefault="00D13A56" w:rsidP="00C14EEF">
            <w:pPr>
              <w:jc w:val="center"/>
              <w:rPr>
                <w:rFonts w:ascii="Arial" w:hAnsi="Arial" w:cs="Arial"/>
                <w:color w:val="000000"/>
                <w:szCs w:val="22"/>
              </w:rPr>
            </w:pPr>
            <w:r>
              <w:rPr>
                <w:rFonts w:ascii="Arial" w:hAnsi="Arial"/>
                <w:color w:val="000000"/>
                <w:szCs w:val="22"/>
              </w:rPr>
              <w:t>1.3.3</w:t>
            </w:r>
          </w:p>
        </w:tc>
        <w:tc>
          <w:tcPr>
            <w:tcW w:w="5718" w:type="dxa"/>
            <w:tcBorders>
              <w:top w:val="nil"/>
              <w:left w:val="nil"/>
              <w:bottom w:val="nil"/>
              <w:right w:val="single" w:sz="4" w:space="0" w:color="auto"/>
            </w:tcBorders>
            <w:shd w:val="clear" w:color="auto" w:fill="auto"/>
            <w:vAlign w:val="center"/>
            <w:hideMark/>
          </w:tcPr>
          <w:p w:rsidR="00D13A56" w:rsidRPr="00D13A56" w:rsidRDefault="00D13A56" w:rsidP="00C14EEF">
            <w:pPr>
              <w:jc w:val="left"/>
              <w:rPr>
                <w:rFonts w:ascii="Arial" w:hAnsi="Arial" w:cs="Arial"/>
                <w:color w:val="000000"/>
                <w:szCs w:val="22"/>
              </w:rPr>
            </w:pPr>
            <w:r>
              <w:rPr>
                <w:rFonts w:ascii="Arial" w:hAnsi="Arial"/>
                <w:color w:val="000000"/>
                <w:szCs w:val="22"/>
              </w:rPr>
              <w:t>Перекачування силами інших підрядників</w:t>
            </w:r>
          </w:p>
        </w:tc>
        <w:tc>
          <w:tcPr>
            <w:tcW w:w="1134"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Arial" w:hAnsi="Arial" w:cs="Arial"/>
                <w:color w:val="000000"/>
                <w:szCs w:val="22"/>
              </w:rPr>
            </w:pPr>
            <w:r>
              <w:rPr>
                <w:rFonts w:ascii="Arial" w:hAnsi="Arial"/>
                <w:color w:val="000000"/>
                <w:szCs w:val="22"/>
              </w:rPr>
              <w:t>8,89</w:t>
            </w:r>
          </w:p>
        </w:tc>
        <w:tc>
          <w:tcPr>
            <w:tcW w:w="1183"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Arial" w:hAnsi="Arial" w:cs="Arial"/>
                <w:color w:val="000000"/>
                <w:szCs w:val="22"/>
              </w:rPr>
            </w:pPr>
            <w:r>
              <w:rPr>
                <w:rFonts w:ascii="Arial" w:hAnsi="Arial"/>
                <w:color w:val="000000"/>
                <w:szCs w:val="22"/>
              </w:rPr>
              <w:t>0,00</w:t>
            </w:r>
          </w:p>
        </w:tc>
      </w:tr>
      <w:tr w:rsidR="00D13A56" w:rsidRPr="00D13A56" w:rsidTr="0004226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D13A56" w:rsidRPr="00D13A56" w:rsidRDefault="00D13A56" w:rsidP="00C14EEF">
            <w:pPr>
              <w:jc w:val="center"/>
              <w:rPr>
                <w:rFonts w:ascii="Arial" w:hAnsi="Arial" w:cs="Arial"/>
                <w:color w:val="000000"/>
                <w:szCs w:val="22"/>
              </w:rPr>
            </w:pPr>
            <w:r>
              <w:rPr>
                <w:rFonts w:ascii="Arial" w:hAnsi="Arial"/>
                <w:color w:val="000000"/>
                <w:szCs w:val="22"/>
              </w:rPr>
              <w:t>1.3.4</w:t>
            </w:r>
          </w:p>
        </w:tc>
        <w:tc>
          <w:tcPr>
            <w:tcW w:w="5718" w:type="dxa"/>
            <w:tcBorders>
              <w:top w:val="single" w:sz="4" w:space="0" w:color="auto"/>
              <w:left w:val="nil"/>
              <w:bottom w:val="single" w:sz="4" w:space="0" w:color="auto"/>
              <w:right w:val="single" w:sz="4" w:space="0" w:color="auto"/>
            </w:tcBorders>
            <w:shd w:val="clear" w:color="auto" w:fill="auto"/>
            <w:vAlign w:val="center"/>
            <w:hideMark/>
          </w:tcPr>
          <w:p w:rsidR="00D13A56" w:rsidRPr="00D13A56" w:rsidRDefault="00D13A56" w:rsidP="00C14EEF">
            <w:pPr>
              <w:jc w:val="left"/>
              <w:rPr>
                <w:rFonts w:ascii="Arial" w:hAnsi="Arial" w:cs="Arial"/>
                <w:color w:val="000000"/>
                <w:szCs w:val="22"/>
              </w:rPr>
            </w:pPr>
            <w:r>
              <w:rPr>
                <w:rFonts w:ascii="Arial" w:hAnsi="Arial"/>
                <w:color w:val="000000"/>
                <w:szCs w:val="22"/>
              </w:rPr>
              <w:t>Інші прямі витрати</w:t>
            </w:r>
          </w:p>
        </w:tc>
        <w:tc>
          <w:tcPr>
            <w:tcW w:w="1134"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Arial" w:hAnsi="Arial" w:cs="Arial"/>
                <w:color w:val="000000"/>
                <w:szCs w:val="22"/>
              </w:rPr>
            </w:pPr>
            <w:r>
              <w:rPr>
                <w:rFonts w:ascii="Arial" w:hAnsi="Arial"/>
                <w:color w:val="000000"/>
                <w:szCs w:val="22"/>
              </w:rPr>
              <w:t>0,97</w:t>
            </w:r>
          </w:p>
        </w:tc>
        <w:tc>
          <w:tcPr>
            <w:tcW w:w="1183"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Arial" w:hAnsi="Arial" w:cs="Arial"/>
                <w:color w:val="000000"/>
                <w:szCs w:val="22"/>
              </w:rPr>
            </w:pPr>
            <w:r>
              <w:rPr>
                <w:rFonts w:ascii="Arial" w:hAnsi="Arial"/>
                <w:color w:val="000000"/>
                <w:szCs w:val="22"/>
              </w:rPr>
              <w:t>0,39</w:t>
            </w:r>
          </w:p>
        </w:tc>
      </w:tr>
      <w:tr w:rsidR="00D13A56" w:rsidRPr="00D13A56" w:rsidTr="0004226A">
        <w:trPr>
          <w:trHeight w:val="34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D13A56" w:rsidRPr="00D13A56" w:rsidRDefault="00D13A56" w:rsidP="00C14EEF">
            <w:pPr>
              <w:jc w:val="center"/>
              <w:rPr>
                <w:rFonts w:ascii="Arial" w:hAnsi="Arial" w:cs="Arial"/>
                <w:b/>
                <w:bCs/>
                <w:color w:val="000000"/>
                <w:szCs w:val="22"/>
              </w:rPr>
            </w:pPr>
            <w:r>
              <w:rPr>
                <w:rFonts w:ascii="Arial" w:hAnsi="Arial"/>
                <w:b/>
                <w:bCs/>
                <w:color w:val="000000"/>
                <w:szCs w:val="22"/>
              </w:rPr>
              <w:t>1,4.</w:t>
            </w:r>
          </w:p>
        </w:tc>
        <w:tc>
          <w:tcPr>
            <w:tcW w:w="5718"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left"/>
              <w:rPr>
                <w:rFonts w:ascii="Arial" w:hAnsi="Arial" w:cs="Arial"/>
                <w:b/>
                <w:bCs/>
                <w:color w:val="000000"/>
                <w:szCs w:val="22"/>
              </w:rPr>
            </w:pPr>
            <w:r>
              <w:rPr>
                <w:rFonts w:ascii="Arial" w:hAnsi="Arial"/>
                <w:b/>
                <w:bCs/>
                <w:color w:val="000000"/>
                <w:szCs w:val="22"/>
              </w:rPr>
              <w:t>Витрати на виробництво</w:t>
            </w:r>
          </w:p>
        </w:tc>
        <w:tc>
          <w:tcPr>
            <w:tcW w:w="1134"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Arial" w:hAnsi="Arial" w:cs="Arial"/>
                <w:color w:val="000000"/>
                <w:szCs w:val="22"/>
              </w:rPr>
            </w:pPr>
            <w:r>
              <w:rPr>
                <w:rFonts w:ascii="Arial" w:hAnsi="Arial"/>
                <w:color w:val="000000"/>
                <w:szCs w:val="22"/>
              </w:rPr>
              <w:t>37,14</w:t>
            </w:r>
          </w:p>
        </w:tc>
        <w:tc>
          <w:tcPr>
            <w:tcW w:w="1183"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Arial" w:hAnsi="Arial" w:cs="Arial"/>
                <w:color w:val="000000"/>
                <w:szCs w:val="22"/>
              </w:rPr>
            </w:pPr>
            <w:r>
              <w:rPr>
                <w:rFonts w:ascii="Arial" w:hAnsi="Arial"/>
                <w:color w:val="000000"/>
                <w:szCs w:val="22"/>
              </w:rPr>
              <w:t>33,66</w:t>
            </w:r>
          </w:p>
        </w:tc>
      </w:tr>
      <w:tr w:rsidR="00D13A56" w:rsidRPr="00D13A56" w:rsidTr="00C8203D">
        <w:trPr>
          <w:trHeight w:val="300"/>
        </w:trPr>
        <w:tc>
          <w:tcPr>
            <w:tcW w:w="960" w:type="dxa"/>
            <w:tcBorders>
              <w:top w:val="nil"/>
              <w:left w:val="single" w:sz="4" w:space="0" w:color="auto"/>
              <w:bottom w:val="single" w:sz="4" w:space="0" w:color="auto"/>
              <w:right w:val="single" w:sz="4" w:space="0" w:color="auto"/>
            </w:tcBorders>
            <w:shd w:val="clear" w:color="auto" w:fill="92D050"/>
            <w:vAlign w:val="center"/>
            <w:hideMark/>
          </w:tcPr>
          <w:p w:rsidR="00D13A56" w:rsidRPr="00D13A56" w:rsidRDefault="00D13A56" w:rsidP="00C14EEF">
            <w:pPr>
              <w:jc w:val="center"/>
              <w:rPr>
                <w:rFonts w:ascii="Arial" w:hAnsi="Arial" w:cs="Arial"/>
                <w:color w:val="000000"/>
                <w:szCs w:val="22"/>
              </w:rPr>
            </w:pPr>
            <w:r>
              <w:rPr>
                <w:rFonts w:ascii="Arial" w:hAnsi="Arial"/>
                <w:color w:val="000000"/>
                <w:szCs w:val="22"/>
              </w:rPr>
              <w:t>1.1.4</w:t>
            </w:r>
          </w:p>
        </w:tc>
        <w:tc>
          <w:tcPr>
            <w:tcW w:w="5718" w:type="dxa"/>
            <w:tcBorders>
              <w:top w:val="nil"/>
              <w:left w:val="nil"/>
              <w:bottom w:val="single" w:sz="4" w:space="0" w:color="auto"/>
              <w:right w:val="single" w:sz="4" w:space="0" w:color="auto"/>
            </w:tcBorders>
            <w:shd w:val="clear" w:color="auto" w:fill="92D050"/>
            <w:vAlign w:val="center"/>
            <w:hideMark/>
          </w:tcPr>
          <w:p w:rsidR="00D13A56" w:rsidRPr="00D13A56" w:rsidRDefault="00D13A56" w:rsidP="00C14EEF">
            <w:pPr>
              <w:jc w:val="left"/>
              <w:rPr>
                <w:rFonts w:ascii="Arial" w:hAnsi="Arial" w:cs="Arial"/>
                <w:color w:val="000000"/>
                <w:szCs w:val="22"/>
              </w:rPr>
            </w:pPr>
            <w:r>
              <w:rPr>
                <w:rFonts w:ascii="Arial" w:hAnsi="Arial"/>
                <w:color w:val="000000"/>
                <w:szCs w:val="22"/>
              </w:rPr>
              <w:t>Оплата праці</w:t>
            </w:r>
          </w:p>
        </w:tc>
        <w:tc>
          <w:tcPr>
            <w:tcW w:w="1134" w:type="dxa"/>
            <w:tcBorders>
              <w:top w:val="nil"/>
              <w:left w:val="nil"/>
              <w:bottom w:val="single" w:sz="4" w:space="0" w:color="auto"/>
              <w:right w:val="single" w:sz="4" w:space="0" w:color="auto"/>
            </w:tcBorders>
            <w:shd w:val="clear" w:color="auto" w:fill="92D050"/>
            <w:noWrap/>
            <w:vAlign w:val="center"/>
            <w:hideMark/>
          </w:tcPr>
          <w:p w:rsidR="00D13A56" w:rsidRPr="00D13A56" w:rsidRDefault="00D13A56" w:rsidP="00C14EEF">
            <w:pPr>
              <w:jc w:val="right"/>
              <w:rPr>
                <w:rFonts w:ascii="Arial" w:hAnsi="Arial" w:cs="Arial"/>
                <w:b/>
                <w:color w:val="000000"/>
                <w:szCs w:val="22"/>
              </w:rPr>
            </w:pPr>
            <w:r>
              <w:rPr>
                <w:rFonts w:ascii="Arial" w:hAnsi="Arial"/>
                <w:b/>
                <w:color w:val="000000"/>
                <w:szCs w:val="22"/>
              </w:rPr>
              <w:t>21,74</w:t>
            </w:r>
          </w:p>
        </w:tc>
        <w:tc>
          <w:tcPr>
            <w:tcW w:w="1183" w:type="dxa"/>
            <w:tcBorders>
              <w:top w:val="nil"/>
              <w:left w:val="nil"/>
              <w:bottom w:val="single" w:sz="4" w:space="0" w:color="auto"/>
              <w:right w:val="single" w:sz="4" w:space="0" w:color="auto"/>
            </w:tcBorders>
            <w:shd w:val="clear" w:color="auto" w:fill="92D050"/>
            <w:noWrap/>
            <w:vAlign w:val="center"/>
            <w:hideMark/>
          </w:tcPr>
          <w:p w:rsidR="00D13A56" w:rsidRPr="00D13A56" w:rsidRDefault="00D13A56" w:rsidP="00C14EEF">
            <w:pPr>
              <w:jc w:val="right"/>
              <w:rPr>
                <w:rFonts w:ascii="Arial" w:hAnsi="Arial" w:cs="Arial"/>
                <w:b/>
                <w:color w:val="000000"/>
                <w:szCs w:val="22"/>
              </w:rPr>
            </w:pPr>
            <w:r>
              <w:rPr>
                <w:rFonts w:ascii="Arial" w:hAnsi="Arial"/>
                <w:b/>
                <w:color w:val="000000"/>
                <w:szCs w:val="22"/>
              </w:rPr>
              <w:t>19,35</w:t>
            </w:r>
          </w:p>
        </w:tc>
      </w:tr>
      <w:tr w:rsidR="00D13A56" w:rsidRPr="00D13A56" w:rsidTr="0004226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D13A56" w:rsidRPr="00D13A56" w:rsidRDefault="00D13A56" w:rsidP="00C14EEF">
            <w:pPr>
              <w:jc w:val="center"/>
              <w:rPr>
                <w:rFonts w:ascii="Arial" w:hAnsi="Arial" w:cs="Arial"/>
                <w:color w:val="000000"/>
                <w:szCs w:val="22"/>
              </w:rPr>
            </w:pPr>
            <w:r>
              <w:rPr>
                <w:rFonts w:ascii="Arial" w:hAnsi="Arial"/>
                <w:color w:val="000000"/>
                <w:szCs w:val="22"/>
              </w:rPr>
              <w:t>1.2.4</w:t>
            </w:r>
          </w:p>
        </w:tc>
        <w:tc>
          <w:tcPr>
            <w:tcW w:w="5718"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left"/>
              <w:rPr>
                <w:rFonts w:ascii="Arial" w:hAnsi="Arial" w:cs="Arial"/>
                <w:color w:val="000000"/>
                <w:szCs w:val="22"/>
              </w:rPr>
            </w:pPr>
            <w:r>
              <w:rPr>
                <w:rFonts w:ascii="Arial" w:hAnsi="Arial"/>
                <w:color w:val="000000"/>
                <w:szCs w:val="22"/>
              </w:rPr>
              <w:t>Соціальне страхування</w:t>
            </w:r>
          </w:p>
        </w:tc>
        <w:tc>
          <w:tcPr>
            <w:tcW w:w="1134"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Arial" w:hAnsi="Arial" w:cs="Arial"/>
                <w:color w:val="000000"/>
                <w:szCs w:val="22"/>
              </w:rPr>
            </w:pPr>
            <w:r>
              <w:rPr>
                <w:rFonts w:ascii="Arial" w:hAnsi="Arial"/>
                <w:color w:val="000000"/>
                <w:szCs w:val="22"/>
              </w:rPr>
              <w:t>4,78</w:t>
            </w:r>
          </w:p>
        </w:tc>
        <w:tc>
          <w:tcPr>
            <w:tcW w:w="1183"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Arial" w:hAnsi="Arial" w:cs="Arial"/>
                <w:color w:val="000000"/>
                <w:szCs w:val="22"/>
              </w:rPr>
            </w:pPr>
            <w:r>
              <w:rPr>
                <w:rFonts w:ascii="Arial" w:hAnsi="Arial"/>
                <w:color w:val="000000"/>
                <w:szCs w:val="22"/>
              </w:rPr>
              <w:t>4,26</w:t>
            </w:r>
          </w:p>
        </w:tc>
      </w:tr>
      <w:tr w:rsidR="00D13A56" w:rsidRPr="00D13A56" w:rsidTr="0004226A">
        <w:trPr>
          <w:trHeight w:val="285"/>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D13A56" w:rsidRPr="00D13A56" w:rsidRDefault="00D13A56" w:rsidP="00C14EEF">
            <w:pPr>
              <w:jc w:val="center"/>
              <w:rPr>
                <w:rFonts w:ascii="Arial" w:hAnsi="Arial" w:cs="Arial"/>
                <w:color w:val="000000"/>
                <w:szCs w:val="22"/>
              </w:rPr>
            </w:pPr>
            <w:r>
              <w:rPr>
                <w:rFonts w:ascii="Arial" w:hAnsi="Arial"/>
                <w:color w:val="000000"/>
                <w:szCs w:val="22"/>
              </w:rPr>
              <w:t>1.3.4</w:t>
            </w:r>
          </w:p>
        </w:tc>
        <w:tc>
          <w:tcPr>
            <w:tcW w:w="5718"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left"/>
              <w:rPr>
                <w:rFonts w:ascii="Arial" w:hAnsi="Arial" w:cs="Arial"/>
                <w:color w:val="000000"/>
                <w:szCs w:val="22"/>
              </w:rPr>
            </w:pPr>
            <w:r>
              <w:rPr>
                <w:rFonts w:ascii="Arial" w:hAnsi="Arial"/>
                <w:color w:val="000000"/>
                <w:szCs w:val="22"/>
              </w:rPr>
              <w:t>Амортизація/знос</w:t>
            </w:r>
          </w:p>
        </w:tc>
        <w:tc>
          <w:tcPr>
            <w:tcW w:w="1134"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Arial" w:hAnsi="Arial" w:cs="Arial"/>
                <w:color w:val="000000"/>
                <w:szCs w:val="22"/>
              </w:rPr>
            </w:pPr>
            <w:r>
              <w:rPr>
                <w:rFonts w:ascii="Arial" w:hAnsi="Arial"/>
                <w:color w:val="000000"/>
                <w:szCs w:val="22"/>
              </w:rPr>
              <w:t>0,42</w:t>
            </w:r>
          </w:p>
        </w:tc>
        <w:tc>
          <w:tcPr>
            <w:tcW w:w="1183"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Arial" w:hAnsi="Arial" w:cs="Arial"/>
                <w:color w:val="000000"/>
                <w:szCs w:val="22"/>
              </w:rPr>
            </w:pPr>
            <w:r>
              <w:rPr>
                <w:rFonts w:ascii="Arial" w:hAnsi="Arial"/>
                <w:color w:val="000000"/>
                <w:szCs w:val="22"/>
              </w:rPr>
              <w:t>0,70</w:t>
            </w:r>
          </w:p>
        </w:tc>
      </w:tr>
      <w:tr w:rsidR="00D13A56" w:rsidRPr="00D13A56" w:rsidTr="0004226A">
        <w:trPr>
          <w:trHeight w:val="48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D13A56" w:rsidRPr="00D13A56" w:rsidRDefault="00D13A56" w:rsidP="00C14EEF">
            <w:pPr>
              <w:jc w:val="center"/>
              <w:rPr>
                <w:rFonts w:ascii="Arial" w:hAnsi="Arial" w:cs="Arial"/>
                <w:color w:val="000000"/>
                <w:szCs w:val="22"/>
              </w:rPr>
            </w:pPr>
            <w:r>
              <w:rPr>
                <w:rFonts w:ascii="Arial" w:hAnsi="Arial"/>
                <w:color w:val="000000"/>
                <w:szCs w:val="22"/>
              </w:rPr>
              <w:t>1.4.4</w:t>
            </w:r>
          </w:p>
        </w:tc>
        <w:tc>
          <w:tcPr>
            <w:tcW w:w="5718"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left"/>
              <w:rPr>
                <w:rFonts w:ascii="Arial" w:hAnsi="Arial" w:cs="Arial"/>
                <w:color w:val="000000"/>
                <w:szCs w:val="22"/>
              </w:rPr>
            </w:pPr>
            <w:r>
              <w:rPr>
                <w:rFonts w:ascii="Arial" w:hAnsi="Arial"/>
                <w:color w:val="000000"/>
                <w:szCs w:val="22"/>
              </w:rPr>
              <w:t>Податки, збори та інші обов'язкові платежі</w:t>
            </w:r>
          </w:p>
        </w:tc>
        <w:tc>
          <w:tcPr>
            <w:tcW w:w="1134"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Arial" w:hAnsi="Arial" w:cs="Arial"/>
                <w:color w:val="000000"/>
                <w:szCs w:val="22"/>
              </w:rPr>
            </w:pPr>
            <w:r>
              <w:rPr>
                <w:rFonts w:ascii="Arial" w:hAnsi="Arial"/>
                <w:color w:val="000000"/>
                <w:szCs w:val="22"/>
              </w:rPr>
              <w:t>5,40</w:t>
            </w:r>
          </w:p>
        </w:tc>
        <w:tc>
          <w:tcPr>
            <w:tcW w:w="1183"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Arial" w:hAnsi="Arial" w:cs="Arial"/>
                <w:color w:val="000000"/>
                <w:szCs w:val="22"/>
              </w:rPr>
            </w:pPr>
            <w:r>
              <w:rPr>
                <w:rFonts w:ascii="Arial" w:hAnsi="Arial"/>
                <w:color w:val="000000"/>
                <w:szCs w:val="22"/>
              </w:rPr>
              <w:t>2,13</w:t>
            </w:r>
          </w:p>
        </w:tc>
      </w:tr>
      <w:tr w:rsidR="00D13A56" w:rsidRPr="00D13A56" w:rsidTr="0004226A">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rsidR="00D13A56" w:rsidRPr="00D13A56" w:rsidRDefault="00D13A56" w:rsidP="00C14EEF">
            <w:pPr>
              <w:jc w:val="center"/>
              <w:rPr>
                <w:rFonts w:ascii="Arial" w:hAnsi="Arial" w:cs="Arial"/>
                <w:color w:val="000000"/>
                <w:szCs w:val="22"/>
              </w:rPr>
            </w:pPr>
            <w:r>
              <w:rPr>
                <w:rFonts w:ascii="Arial" w:hAnsi="Arial"/>
                <w:color w:val="000000"/>
                <w:szCs w:val="22"/>
              </w:rPr>
              <w:t>1.5.4</w:t>
            </w:r>
          </w:p>
        </w:tc>
        <w:tc>
          <w:tcPr>
            <w:tcW w:w="5718" w:type="dxa"/>
            <w:tcBorders>
              <w:top w:val="nil"/>
              <w:left w:val="nil"/>
              <w:bottom w:val="single" w:sz="4" w:space="0" w:color="auto"/>
              <w:right w:val="single" w:sz="4" w:space="0" w:color="auto"/>
            </w:tcBorders>
            <w:shd w:val="clear" w:color="auto" w:fill="auto"/>
            <w:vAlign w:val="center"/>
            <w:hideMark/>
          </w:tcPr>
          <w:p w:rsidR="00D13A56" w:rsidRPr="00D13A56" w:rsidRDefault="00D13A56" w:rsidP="00C14EEF">
            <w:pPr>
              <w:jc w:val="left"/>
              <w:rPr>
                <w:rFonts w:ascii="Arial" w:hAnsi="Arial" w:cs="Arial"/>
                <w:color w:val="000000"/>
                <w:szCs w:val="22"/>
              </w:rPr>
            </w:pPr>
            <w:r>
              <w:rPr>
                <w:rFonts w:ascii="Arial" w:hAnsi="Arial"/>
                <w:color w:val="000000"/>
                <w:szCs w:val="22"/>
              </w:rPr>
              <w:t>Інші витрати</w:t>
            </w:r>
          </w:p>
        </w:tc>
        <w:tc>
          <w:tcPr>
            <w:tcW w:w="1134"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Arial" w:hAnsi="Arial" w:cs="Arial"/>
                <w:color w:val="000000"/>
                <w:szCs w:val="22"/>
              </w:rPr>
            </w:pPr>
            <w:r>
              <w:rPr>
                <w:rFonts w:ascii="Arial" w:hAnsi="Arial"/>
                <w:color w:val="000000"/>
                <w:szCs w:val="22"/>
              </w:rPr>
              <w:t>4,80</w:t>
            </w:r>
          </w:p>
        </w:tc>
        <w:tc>
          <w:tcPr>
            <w:tcW w:w="1183" w:type="dxa"/>
            <w:tcBorders>
              <w:top w:val="nil"/>
              <w:left w:val="nil"/>
              <w:bottom w:val="single" w:sz="4" w:space="0" w:color="auto"/>
              <w:right w:val="single" w:sz="4" w:space="0" w:color="auto"/>
            </w:tcBorders>
            <w:shd w:val="clear" w:color="auto" w:fill="auto"/>
            <w:noWrap/>
            <w:vAlign w:val="center"/>
            <w:hideMark/>
          </w:tcPr>
          <w:p w:rsidR="00D13A56" w:rsidRPr="00D13A56" w:rsidRDefault="00D13A56" w:rsidP="00C14EEF">
            <w:pPr>
              <w:jc w:val="right"/>
              <w:rPr>
                <w:rFonts w:ascii="Arial" w:hAnsi="Arial" w:cs="Arial"/>
                <w:color w:val="000000"/>
                <w:szCs w:val="22"/>
              </w:rPr>
            </w:pPr>
            <w:r>
              <w:rPr>
                <w:rFonts w:ascii="Arial" w:hAnsi="Arial"/>
                <w:color w:val="000000"/>
                <w:szCs w:val="22"/>
              </w:rPr>
              <w:t>7,22</w:t>
            </w:r>
          </w:p>
        </w:tc>
      </w:tr>
    </w:tbl>
    <w:p w:rsidR="00A21E0F" w:rsidRDefault="00A21E0F" w:rsidP="00C14EEF">
      <w:pPr>
        <w:pStyle w:val="a8"/>
        <w:spacing w:after="0"/>
        <w:rPr>
          <w:rFonts w:asciiTheme="minorBidi" w:hAnsiTheme="minorBidi"/>
          <w:sz w:val="20"/>
        </w:rPr>
      </w:pPr>
    </w:p>
    <w:p w:rsidR="00D13A56" w:rsidRPr="00AF614D" w:rsidRDefault="00D13A56" w:rsidP="00C14EEF">
      <w:pPr>
        <w:pStyle w:val="iCStandard"/>
        <w:jc w:val="both"/>
        <w:rPr>
          <w:rFonts w:ascii="Arial" w:hAnsi="Arial" w:cs="Arial"/>
          <w:szCs w:val="22"/>
        </w:rPr>
      </w:pPr>
      <w:r>
        <w:rPr>
          <w:rFonts w:ascii="Arial" w:hAnsi="Arial"/>
          <w:szCs w:val="22"/>
        </w:rPr>
        <w:t>Зазначені показники демонструють, що найбільша частка Виробничих витрат складають такі статті:</w:t>
      </w:r>
    </w:p>
    <w:p w:rsidR="00D13A56" w:rsidRDefault="00D13A56" w:rsidP="00C14EEF">
      <w:pPr>
        <w:pStyle w:val="iCStandard"/>
        <w:numPr>
          <w:ilvl w:val="0"/>
          <w:numId w:val="36"/>
        </w:numPr>
        <w:jc w:val="both"/>
        <w:rPr>
          <w:rFonts w:ascii="Arial" w:hAnsi="Arial" w:cs="Arial"/>
          <w:szCs w:val="22"/>
        </w:rPr>
      </w:pPr>
      <w:r>
        <w:rPr>
          <w:rFonts w:ascii="Arial" w:hAnsi="Arial"/>
          <w:szCs w:val="22"/>
        </w:rPr>
        <w:t xml:space="preserve">Електроенергія - </w:t>
      </w:r>
      <w:r>
        <w:rPr>
          <w:rFonts w:ascii="Arial" w:hAnsi="Arial"/>
          <w:b/>
          <w:szCs w:val="22"/>
        </w:rPr>
        <w:t xml:space="preserve">30,12% </w:t>
      </w:r>
      <w:r>
        <w:rPr>
          <w:rFonts w:ascii="Arial" w:hAnsi="Arial"/>
          <w:szCs w:val="22"/>
        </w:rPr>
        <w:t xml:space="preserve">для водопостачання та </w:t>
      </w:r>
      <w:r>
        <w:rPr>
          <w:rFonts w:ascii="Arial" w:hAnsi="Arial"/>
          <w:b/>
          <w:szCs w:val="22"/>
        </w:rPr>
        <w:t>32,92%</w:t>
      </w:r>
      <w:r>
        <w:rPr>
          <w:rFonts w:ascii="Arial" w:hAnsi="Arial"/>
          <w:szCs w:val="22"/>
        </w:rPr>
        <w:t xml:space="preserve"> для водовідведення</w:t>
      </w:r>
    </w:p>
    <w:p w:rsidR="00D13A56" w:rsidRPr="00AF614D" w:rsidRDefault="00D13A56" w:rsidP="00C14EEF">
      <w:pPr>
        <w:pStyle w:val="iCStandard"/>
        <w:numPr>
          <w:ilvl w:val="0"/>
          <w:numId w:val="36"/>
        </w:numPr>
        <w:jc w:val="both"/>
        <w:rPr>
          <w:rFonts w:ascii="Arial" w:hAnsi="Arial" w:cs="Arial"/>
          <w:szCs w:val="22"/>
        </w:rPr>
      </w:pPr>
      <w:r>
        <w:rPr>
          <w:rFonts w:ascii="Arial" w:hAnsi="Arial"/>
          <w:szCs w:val="22"/>
        </w:rPr>
        <w:t xml:space="preserve">Прямі витрати на оплату праці- </w:t>
      </w:r>
      <w:r>
        <w:rPr>
          <w:rFonts w:ascii="Arial" w:hAnsi="Arial"/>
          <w:b/>
          <w:szCs w:val="22"/>
        </w:rPr>
        <w:t>14,01%</w:t>
      </w:r>
      <w:r>
        <w:rPr>
          <w:rFonts w:ascii="Arial" w:hAnsi="Arial"/>
          <w:szCs w:val="22"/>
        </w:rPr>
        <w:t xml:space="preserve"> для водопостачання та </w:t>
      </w:r>
      <w:r>
        <w:rPr>
          <w:rFonts w:ascii="Arial" w:hAnsi="Arial"/>
          <w:b/>
          <w:szCs w:val="22"/>
        </w:rPr>
        <w:t>21,58%</w:t>
      </w:r>
      <w:r>
        <w:rPr>
          <w:rFonts w:ascii="Arial" w:hAnsi="Arial"/>
          <w:szCs w:val="22"/>
        </w:rPr>
        <w:t xml:space="preserve"> для водовідведення</w:t>
      </w:r>
    </w:p>
    <w:p w:rsidR="00D13A56" w:rsidRPr="00AF614D" w:rsidRDefault="00D13A56" w:rsidP="00C14EEF">
      <w:pPr>
        <w:pStyle w:val="iCStandard"/>
        <w:numPr>
          <w:ilvl w:val="0"/>
          <w:numId w:val="36"/>
        </w:numPr>
        <w:jc w:val="both"/>
        <w:rPr>
          <w:rFonts w:ascii="Arial" w:hAnsi="Arial" w:cs="Arial"/>
          <w:szCs w:val="22"/>
        </w:rPr>
      </w:pPr>
      <w:r>
        <w:rPr>
          <w:rFonts w:ascii="Arial" w:hAnsi="Arial"/>
          <w:szCs w:val="22"/>
        </w:rPr>
        <w:t xml:space="preserve">Зарплата - </w:t>
      </w:r>
      <w:r>
        <w:rPr>
          <w:rFonts w:ascii="Arial" w:hAnsi="Arial"/>
          <w:b/>
          <w:szCs w:val="22"/>
        </w:rPr>
        <w:t>21,74%</w:t>
      </w:r>
      <w:r>
        <w:rPr>
          <w:rFonts w:ascii="Arial" w:hAnsi="Arial"/>
          <w:szCs w:val="22"/>
        </w:rPr>
        <w:t xml:space="preserve"> для водопостачання та </w:t>
      </w:r>
      <w:r>
        <w:rPr>
          <w:rFonts w:ascii="Arial" w:hAnsi="Arial"/>
          <w:b/>
          <w:szCs w:val="22"/>
        </w:rPr>
        <w:t>19,35%</w:t>
      </w:r>
      <w:r>
        <w:rPr>
          <w:rFonts w:ascii="Arial" w:hAnsi="Arial"/>
          <w:szCs w:val="22"/>
        </w:rPr>
        <w:t xml:space="preserve"> для водовідведення.</w:t>
      </w:r>
    </w:p>
    <w:p w:rsidR="00D13A56" w:rsidRPr="00AF614D" w:rsidRDefault="00D13A56" w:rsidP="00C14EEF">
      <w:pPr>
        <w:pStyle w:val="iCStandard"/>
        <w:jc w:val="both"/>
        <w:rPr>
          <w:rFonts w:ascii="Arial" w:hAnsi="Arial" w:cs="Arial"/>
          <w:szCs w:val="22"/>
          <w:lang w:val="en-GB"/>
        </w:rPr>
      </w:pPr>
    </w:p>
    <w:p w:rsidR="00D13A56" w:rsidRDefault="00D13A56" w:rsidP="00C14EEF">
      <w:pPr>
        <w:pStyle w:val="a8"/>
        <w:spacing w:after="0"/>
        <w:rPr>
          <w:rFonts w:asciiTheme="minorBidi" w:hAnsiTheme="minorBidi"/>
          <w:sz w:val="20"/>
        </w:rPr>
      </w:pPr>
      <w:r>
        <w:rPr>
          <w:rFonts w:ascii="Arial" w:hAnsi="Arial"/>
          <w:szCs w:val="22"/>
        </w:rPr>
        <w:t>Ці три фактори мають вирішальне значення при формуванні тарифів та будь-яка зміна на ринку електроенергії або зміна мінімальної зарплати на державному рівні - безпосередньо впливає на тариф.</w:t>
      </w:r>
      <w:r w:rsidR="00CB1B48">
        <w:rPr>
          <w:rFonts w:ascii="Arial" w:hAnsi="Arial"/>
          <w:szCs w:val="22"/>
        </w:rPr>
        <w:t xml:space="preserve"> </w:t>
      </w:r>
      <w:r>
        <w:rPr>
          <w:rFonts w:ascii="Arial" w:hAnsi="Arial"/>
          <w:szCs w:val="22"/>
        </w:rPr>
        <w:t>Цей факт слід враховувати для стратегічного планування та моделювання.</w:t>
      </w:r>
      <w:r w:rsidR="00CB1B48">
        <w:rPr>
          <w:rFonts w:ascii="Arial" w:hAnsi="Arial"/>
          <w:szCs w:val="22"/>
        </w:rPr>
        <w:t xml:space="preserve"> </w:t>
      </w:r>
      <w:r>
        <w:rPr>
          <w:rFonts w:ascii="Arial" w:hAnsi="Arial"/>
          <w:szCs w:val="22"/>
        </w:rPr>
        <w:t>Звичайно, інші статті витрат також впливають на тариф, але їхня частка в загальних витратах не така помітна, як частка "Електроенергія" та "Заробітна плата".</w:t>
      </w:r>
    </w:p>
    <w:p w:rsidR="00A21E0F" w:rsidRPr="00AF614D" w:rsidRDefault="00A21E0F" w:rsidP="00C14EEF">
      <w:pPr>
        <w:pStyle w:val="iCStandard"/>
        <w:rPr>
          <w:rFonts w:ascii="Arial" w:hAnsi="Arial" w:cs="Arial"/>
          <w:szCs w:val="22"/>
          <w:lang w:val="en-GB"/>
        </w:rPr>
      </w:pPr>
    </w:p>
    <w:p w:rsidR="00A21E0F" w:rsidRPr="0062536F" w:rsidRDefault="00A21E0F" w:rsidP="00C14EEF">
      <w:pPr>
        <w:pStyle w:val="1"/>
        <w:spacing w:before="0" w:after="0"/>
        <w:contextualSpacing w:val="0"/>
      </w:pPr>
      <w:bookmarkStart w:id="62" w:name="_Toc48392545"/>
      <w:r>
        <w:t>ОЦІНКА ДОСТУПНОСТІ ТАРИФІВ</w:t>
      </w:r>
      <w:bookmarkEnd w:id="62"/>
    </w:p>
    <w:p w:rsidR="00D13A56" w:rsidRPr="00AF614D" w:rsidRDefault="0087131C" w:rsidP="00C14EEF">
      <w:pPr>
        <w:autoSpaceDE w:val="0"/>
        <w:autoSpaceDN w:val="0"/>
        <w:adjustRightInd w:val="0"/>
        <w:rPr>
          <w:rFonts w:ascii="Arial" w:hAnsi="Arial" w:cs="Arial"/>
          <w:szCs w:val="22"/>
        </w:rPr>
      </w:pPr>
      <w:r>
        <w:rPr>
          <w:rFonts w:ascii="Arial" w:hAnsi="Arial"/>
          <w:szCs w:val="22"/>
        </w:rPr>
        <w:t>Враховуючи те,</w:t>
      </w:r>
      <w:r w:rsidR="00D13A56">
        <w:rPr>
          <w:rFonts w:ascii="Arial" w:hAnsi="Arial"/>
          <w:szCs w:val="22"/>
        </w:rPr>
        <w:t xml:space="preserve"> що комунальне підприємство має звернути увагу на такий "чутливий" фактор, як доходи місцевих домогосподарств, до встановлення тарифів буде застосовано принцип доступності.</w:t>
      </w:r>
      <w:r w:rsidR="00CB1B48">
        <w:rPr>
          <w:rFonts w:ascii="Arial" w:hAnsi="Arial"/>
          <w:szCs w:val="22"/>
        </w:rPr>
        <w:t xml:space="preserve"> </w:t>
      </w:r>
      <w:r w:rsidR="00D13A56">
        <w:rPr>
          <w:rFonts w:ascii="Arial" w:hAnsi="Arial"/>
          <w:szCs w:val="22"/>
        </w:rPr>
        <w:t>У цьому відношенні будуть враховані наступні дані:</w:t>
      </w:r>
    </w:p>
    <w:p w:rsidR="00D13A56" w:rsidRPr="00AF614D" w:rsidRDefault="00D13A56" w:rsidP="00C14EEF">
      <w:pPr>
        <w:autoSpaceDE w:val="0"/>
        <w:autoSpaceDN w:val="0"/>
        <w:adjustRightInd w:val="0"/>
        <w:rPr>
          <w:rFonts w:ascii="Arial" w:hAnsi="Arial" w:cs="Arial"/>
          <w:szCs w:val="22"/>
          <w:lang w:val="en-US"/>
        </w:rPr>
      </w:pPr>
    </w:p>
    <w:p w:rsidR="00D13A56" w:rsidRPr="00AF614D" w:rsidRDefault="00D13A56" w:rsidP="00C14EEF">
      <w:pPr>
        <w:pStyle w:val="af3"/>
        <w:numPr>
          <w:ilvl w:val="0"/>
          <w:numId w:val="37"/>
        </w:numPr>
        <w:autoSpaceDE w:val="0"/>
        <w:autoSpaceDN w:val="0"/>
        <w:adjustRightInd w:val="0"/>
        <w:contextualSpacing w:val="0"/>
        <w:rPr>
          <w:rFonts w:ascii="Arial" w:hAnsi="Arial" w:cs="Arial"/>
        </w:rPr>
      </w:pPr>
      <w:r>
        <w:rPr>
          <w:rFonts w:ascii="Arial" w:hAnsi="Arial"/>
        </w:rPr>
        <w:t xml:space="preserve">Дані міжнародного </w:t>
      </w:r>
      <w:proofErr w:type="spellStart"/>
      <w:r>
        <w:rPr>
          <w:rFonts w:ascii="Arial" w:hAnsi="Arial"/>
        </w:rPr>
        <w:t>бенчмаркінгу</w:t>
      </w:r>
      <w:proofErr w:type="spellEnd"/>
      <w:r>
        <w:rPr>
          <w:rFonts w:ascii="Arial" w:hAnsi="Arial"/>
        </w:rPr>
        <w:t xml:space="preserve"> щодо доступності тарифів на водопостачання</w:t>
      </w:r>
      <w:r w:rsidR="00BF4AE7">
        <w:rPr>
          <w:rFonts w:ascii="Arial" w:hAnsi="Arial"/>
        </w:rPr>
        <w:t>/</w:t>
      </w:r>
      <w:r>
        <w:rPr>
          <w:rFonts w:ascii="Arial" w:hAnsi="Arial"/>
        </w:rPr>
        <w:t>водовідведення для домогосподарств демонструють 2,5-4% доходу домогосподарств.</w:t>
      </w:r>
      <w:r w:rsidR="00CB1B48">
        <w:rPr>
          <w:rFonts w:ascii="Arial" w:hAnsi="Arial"/>
        </w:rPr>
        <w:t xml:space="preserve"> </w:t>
      </w:r>
      <w:r>
        <w:rPr>
          <w:rFonts w:ascii="Arial" w:hAnsi="Arial"/>
        </w:rPr>
        <w:t>Для нашого розрахунку стандартним рівнем доступності буде враховано 4%.</w:t>
      </w:r>
    </w:p>
    <w:p w:rsidR="00D13A56" w:rsidRPr="00AF614D" w:rsidRDefault="00D13A56" w:rsidP="00C14EEF">
      <w:pPr>
        <w:pStyle w:val="af3"/>
        <w:numPr>
          <w:ilvl w:val="0"/>
          <w:numId w:val="37"/>
        </w:numPr>
        <w:autoSpaceDE w:val="0"/>
        <w:autoSpaceDN w:val="0"/>
        <w:adjustRightInd w:val="0"/>
        <w:contextualSpacing w:val="0"/>
        <w:rPr>
          <w:rFonts w:ascii="Arial" w:hAnsi="Arial" w:cs="Arial"/>
        </w:rPr>
      </w:pPr>
      <w:r>
        <w:rPr>
          <w:rFonts w:ascii="Arial" w:hAnsi="Arial"/>
        </w:rPr>
        <w:t xml:space="preserve">Для оцінювання доступності слід застосовувати підхід на основі </w:t>
      </w:r>
      <w:proofErr w:type="spellStart"/>
      <w:r>
        <w:rPr>
          <w:rFonts w:ascii="Arial" w:hAnsi="Arial"/>
        </w:rPr>
        <w:t>квінтилів</w:t>
      </w:r>
      <w:proofErr w:type="spellEnd"/>
      <w:r>
        <w:rPr>
          <w:rFonts w:ascii="Arial" w:hAnsi="Arial"/>
        </w:rPr>
        <w:t>.</w:t>
      </w:r>
      <w:r w:rsidR="00CB1B48">
        <w:rPr>
          <w:rFonts w:ascii="Arial" w:hAnsi="Arial"/>
        </w:rPr>
        <w:t xml:space="preserve"> </w:t>
      </w:r>
      <w:r>
        <w:rPr>
          <w:rFonts w:ascii="Arial" w:hAnsi="Arial"/>
        </w:rPr>
        <w:t xml:space="preserve">Математичний розрахунок базуватиметься на коефіцієнті </w:t>
      </w:r>
      <w:proofErr w:type="spellStart"/>
      <w:r>
        <w:rPr>
          <w:rFonts w:ascii="Arial" w:hAnsi="Arial"/>
        </w:rPr>
        <w:t>квінтільної</w:t>
      </w:r>
      <w:proofErr w:type="spellEnd"/>
      <w:r>
        <w:rPr>
          <w:rFonts w:ascii="Arial" w:hAnsi="Arial"/>
        </w:rPr>
        <w:t xml:space="preserve"> диференціації 1,9 (за даними Державної служби статистики України, 2018).</w:t>
      </w:r>
    </w:p>
    <w:p w:rsidR="00D13A56" w:rsidRPr="00AF614D" w:rsidRDefault="00D13A56" w:rsidP="00C14EEF">
      <w:pPr>
        <w:pStyle w:val="af3"/>
        <w:numPr>
          <w:ilvl w:val="0"/>
          <w:numId w:val="37"/>
        </w:numPr>
        <w:autoSpaceDE w:val="0"/>
        <w:autoSpaceDN w:val="0"/>
        <w:adjustRightInd w:val="0"/>
        <w:contextualSpacing w:val="0"/>
        <w:rPr>
          <w:rFonts w:ascii="Arial" w:hAnsi="Arial" w:cs="Arial"/>
        </w:rPr>
      </w:pPr>
      <w:r>
        <w:rPr>
          <w:rFonts w:ascii="Arial" w:hAnsi="Arial"/>
        </w:rPr>
        <w:t xml:space="preserve">Базовим показником для оцінки </w:t>
      </w:r>
      <w:proofErr w:type="spellStart"/>
      <w:r>
        <w:rPr>
          <w:rFonts w:ascii="Arial" w:hAnsi="Arial"/>
        </w:rPr>
        <w:t>квінтилів</w:t>
      </w:r>
      <w:proofErr w:type="spellEnd"/>
      <w:r>
        <w:rPr>
          <w:rFonts w:ascii="Arial" w:hAnsi="Arial"/>
        </w:rPr>
        <w:t xml:space="preserve"> є середній чистий щомісячний дохід домогосподарств (за даними Державної служби статистики України, 2018 рік).</w:t>
      </w:r>
    </w:p>
    <w:p w:rsidR="00D13A56" w:rsidRPr="00AF614D" w:rsidRDefault="00D13A56" w:rsidP="00C14EEF">
      <w:pPr>
        <w:pStyle w:val="af3"/>
        <w:numPr>
          <w:ilvl w:val="0"/>
          <w:numId w:val="37"/>
        </w:numPr>
        <w:autoSpaceDE w:val="0"/>
        <w:autoSpaceDN w:val="0"/>
        <w:adjustRightInd w:val="0"/>
        <w:contextualSpacing w:val="0"/>
        <w:rPr>
          <w:rFonts w:ascii="Arial" w:hAnsi="Arial" w:cs="Arial"/>
        </w:rPr>
      </w:pPr>
      <w:r>
        <w:rPr>
          <w:rFonts w:ascii="Arial" w:hAnsi="Arial"/>
        </w:rPr>
        <w:t xml:space="preserve">Згідно з даними (за 2017 рік </w:t>
      </w:r>
      <w:proofErr w:type="spellStart"/>
      <w:r>
        <w:rPr>
          <w:rFonts w:ascii="Arial" w:hAnsi="Arial"/>
        </w:rPr>
        <w:t>ДержСтат</w:t>
      </w:r>
      <w:proofErr w:type="spellEnd"/>
      <w:r>
        <w:rPr>
          <w:rFonts w:ascii="Arial" w:hAnsi="Arial"/>
        </w:rPr>
        <w:t xml:space="preserve"> України, 2018 рік) 37,3% населення України вважаються такими, що живуть «за межею бідності».</w:t>
      </w:r>
      <w:r w:rsidR="00CB1B48">
        <w:rPr>
          <w:rFonts w:ascii="Arial" w:hAnsi="Arial"/>
        </w:rPr>
        <w:t xml:space="preserve"> </w:t>
      </w:r>
      <w:r>
        <w:rPr>
          <w:rFonts w:ascii="Arial" w:hAnsi="Arial"/>
        </w:rPr>
        <w:t xml:space="preserve">Ця група населення (весь 1й </w:t>
      </w:r>
      <w:proofErr w:type="spellStart"/>
      <w:r>
        <w:rPr>
          <w:rFonts w:ascii="Arial" w:hAnsi="Arial"/>
        </w:rPr>
        <w:t>квінтиль</w:t>
      </w:r>
      <w:proofErr w:type="spellEnd"/>
      <w:r>
        <w:rPr>
          <w:rFonts w:ascii="Arial" w:hAnsi="Arial"/>
        </w:rPr>
        <w:t xml:space="preserve"> та частина 2го </w:t>
      </w:r>
      <w:proofErr w:type="spellStart"/>
      <w:r>
        <w:rPr>
          <w:rFonts w:ascii="Arial" w:hAnsi="Arial"/>
        </w:rPr>
        <w:t>квінтилю</w:t>
      </w:r>
      <w:proofErr w:type="spellEnd"/>
      <w:r>
        <w:rPr>
          <w:rFonts w:ascii="Arial" w:hAnsi="Arial"/>
        </w:rPr>
        <w:t>) можливо буд</w:t>
      </w:r>
      <w:r w:rsidR="0087131C">
        <w:rPr>
          <w:rFonts w:ascii="Arial" w:hAnsi="Arial"/>
        </w:rPr>
        <w:t xml:space="preserve">е </w:t>
      </w:r>
      <w:r>
        <w:rPr>
          <w:rFonts w:ascii="Arial" w:hAnsi="Arial"/>
        </w:rPr>
        <w:t>потребувати додаткової підтримки для доступності тарифів на водопостачання</w:t>
      </w:r>
      <w:r w:rsidR="00BF4AE7">
        <w:rPr>
          <w:rFonts w:ascii="Arial" w:hAnsi="Arial"/>
        </w:rPr>
        <w:t>/</w:t>
      </w:r>
      <w:r>
        <w:rPr>
          <w:rFonts w:ascii="Arial" w:hAnsi="Arial"/>
        </w:rPr>
        <w:t>водовідведення.</w:t>
      </w:r>
    </w:p>
    <w:p w:rsidR="00D13A56" w:rsidRPr="00AF614D" w:rsidRDefault="00D13A56" w:rsidP="00C14EEF">
      <w:pPr>
        <w:pStyle w:val="af3"/>
        <w:numPr>
          <w:ilvl w:val="0"/>
          <w:numId w:val="37"/>
        </w:numPr>
        <w:autoSpaceDE w:val="0"/>
        <w:autoSpaceDN w:val="0"/>
        <w:adjustRightInd w:val="0"/>
        <w:contextualSpacing w:val="0"/>
        <w:rPr>
          <w:rFonts w:ascii="Arial" w:hAnsi="Arial" w:cs="Arial"/>
        </w:rPr>
      </w:pPr>
      <w:r>
        <w:rPr>
          <w:rFonts w:ascii="Arial" w:hAnsi="Arial"/>
        </w:rPr>
        <w:t>Індикативна гру</w:t>
      </w:r>
      <w:r w:rsidR="0087131C">
        <w:rPr>
          <w:rFonts w:ascii="Arial" w:hAnsi="Arial"/>
        </w:rPr>
        <w:t xml:space="preserve">па домогосподарств - 3й </w:t>
      </w:r>
      <w:proofErr w:type="spellStart"/>
      <w:r w:rsidR="0087131C">
        <w:rPr>
          <w:rFonts w:ascii="Arial" w:hAnsi="Arial"/>
        </w:rPr>
        <w:t>квінтил</w:t>
      </w:r>
      <w:r>
        <w:rPr>
          <w:rFonts w:ascii="Arial" w:hAnsi="Arial"/>
        </w:rPr>
        <w:t>ь</w:t>
      </w:r>
      <w:proofErr w:type="spellEnd"/>
      <w:r>
        <w:rPr>
          <w:rFonts w:ascii="Arial" w:hAnsi="Arial"/>
        </w:rPr>
        <w:t>.</w:t>
      </w:r>
    </w:p>
    <w:p w:rsidR="00D13A56" w:rsidRPr="00AF614D" w:rsidRDefault="00D13A56" w:rsidP="00C14EEF">
      <w:pPr>
        <w:pStyle w:val="af3"/>
        <w:numPr>
          <w:ilvl w:val="0"/>
          <w:numId w:val="37"/>
        </w:numPr>
        <w:autoSpaceDE w:val="0"/>
        <w:autoSpaceDN w:val="0"/>
        <w:adjustRightInd w:val="0"/>
        <w:contextualSpacing w:val="0"/>
        <w:rPr>
          <w:rFonts w:ascii="Arial" w:hAnsi="Arial" w:cs="Arial"/>
        </w:rPr>
      </w:pPr>
      <w:r>
        <w:rPr>
          <w:rFonts w:ascii="Arial" w:hAnsi="Arial"/>
        </w:rPr>
        <w:t xml:space="preserve">У разі наявності позитивної маржі між 4% доходів домогосподарств 3го </w:t>
      </w:r>
      <w:proofErr w:type="spellStart"/>
      <w:r>
        <w:rPr>
          <w:rFonts w:ascii="Arial" w:hAnsi="Arial"/>
        </w:rPr>
        <w:t>квінтиля</w:t>
      </w:r>
      <w:proofErr w:type="spellEnd"/>
      <w:r>
        <w:rPr>
          <w:rFonts w:ascii="Arial" w:hAnsi="Arial"/>
        </w:rPr>
        <w:t xml:space="preserve"> та тарифами «повна вартість» - до бюджету (та до тарифів) комунального підприємства може бути доданий відповідний прибуток.</w:t>
      </w:r>
    </w:p>
    <w:p w:rsidR="00D13A56" w:rsidRPr="00AF614D" w:rsidRDefault="00D13A56" w:rsidP="00C14EEF">
      <w:pPr>
        <w:pStyle w:val="af3"/>
        <w:numPr>
          <w:ilvl w:val="0"/>
          <w:numId w:val="37"/>
        </w:numPr>
        <w:autoSpaceDE w:val="0"/>
        <w:autoSpaceDN w:val="0"/>
        <w:adjustRightInd w:val="0"/>
        <w:contextualSpacing w:val="0"/>
        <w:rPr>
          <w:rFonts w:ascii="Arial" w:hAnsi="Arial" w:cs="Arial"/>
        </w:rPr>
      </w:pPr>
      <w:r>
        <w:rPr>
          <w:rFonts w:ascii="Arial" w:hAnsi="Arial"/>
        </w:rPr>
        <w:t>Для розрахунку місячного обсягу споживання домогосподарств слід застосовувати реальне середнє споживання води на душу населення на добу (за даними відділу виставлення рахунків).</w:t>
      </w:r>
    </w:p>
    <w:p w:rsidR="00D13A56" w:rsidRPr="00AF614D" w:rsidRDefault="00D13A56" w:rsidP="00C14EEF">
      <w:pPr>
        <w:rPr>
          <w:rFonts w:ascii="Arial" w:hAnsi="Arial" w:cs="Arial"/>
          <w:szCs w:val="22"/>
          <w:u w:val="single"/>
          <w:lang w:val="en-US"/>
        </w:rPr>
      </w:pPr>
    </w:p>
    <w:p w:rsidR="00D13A56" w:rsidRPr="00AF614D" w:rsidRDefault="00D13A56" w:rsidP="00C14EEF">
      <w:pPr>
        <w:rPr>
          <w:rFonts w:ascii="Arial" w:hAnsi="Arial" w:cs="Arial"/>
          <w:szCs w:val="22"/>
        </w:rPr>
      </w:pPr>
      <w:r>
        <w:rPr>
          <w:rFonts w:ascii="Arial" w:hAnsi="Arial"/>
          <w:szCs w:val="22"/>
        </w:rPr>
        <w:t xml:space="preserve">Так, вищезазначений </w:t>
      </w:r>
      <w:proofErr w:type="spellStart"/>
      <w:r>
        <w:rPr>
          <w:rFonts w:ascii="Arial" w:hAnsi="Arial"/>
          <w:szCs w:val="22"/>
        </w:rPr>
        <w:t>квінтильний</w:t>
      </w:r>
      <w:proofErr w:type="spellEnd"/>
      <w:r>
        <w:rPr>
          <w:rFonts w:ascii="Arial" w:hAnsi="Arial"/>
          <w:szCs w:val="22"/>
        </w:rPr>
        <w:t xml:space="preserve"> підхід до оцінки доступності буде застосований для встановлення тарифів КП </w:t>
      </w:r>
      <w:proofErr w:type="spellStart"/>
      <w:r>
        <w:rPr>
          <w:rFonts w:ascii="Arial" w:hAnsi="Arial"/>
          <w:szCs w:val="22"/>
        </w:rPr>
        <w:t>Чернігівводоканал</w:t>
      </w:r>
      <w:proofErr w:type="spellEnd"/>
      <w:r>
        <w:rPr>
          <w:rFonts w:ascii="Arial" w:hAnsi="Arial"/>
          <w:szCs w:val="22"/>
        </w:rPr>
        <w:t>, щоб максимально скоригувати тарифи на водопостачання та водовідведення під поточну економічну та соціальну ситуацію в зоні обслуговування підприємства.</w:t>
      </w:r>
      <w:r w:rsidR="00CB1B48">
        <w:rPr>
          <w:rFonts w:ascii="Arial" w:hAnsi="Arial"/>
          <w:szCs w:val="22"/>
        </w:rPr>
        <w:t xml:space="preserve"> </w:t>
      </w:r>
    </w:p>
    <w:p w:rsidR="00D13A56" w:rsidRPr="00AF614D" w:rsidRDefault="00D13A56" w:rsidP="00C14EEF">
      <w:pPr>
        <w:rPr>
          <w:rFonts w:ascii="Arial" w:hAnsi="Arial" w:cs="Arial"/>
          <w:szCs w:val="22"/>
          <w:lang w:val="en-US"/>
        </w:rPr>
      </w:pPr>
    </w:p>
    <w:p w:rsidR="00D13A56" w:rsidRPr="00AF614D" w:rsidRDefault="00D13A56" w:rsidP="00C14EEF">
      <w:pPr>
        <w:rPr>
          <w:rFonts w:ascii="Arial" w:hAnsi="Arial" w:cs="Arial"/>
          <w:szCs w:val="22"/>
        </w:rPr>
      </w:pPr>
      <w:r>
        <w:rPr>
          <w:rFonts w:ascii="Arial" w:hAnsi="Arial"/>
          <w:szCs w:val="22"/>
        </w:rPr>
        <w:t>Для розрахунків доступності будуть застосовані наступні припущення:</w:t>
      </w:r>
    </w:p>
    <w:p w:rsidR="00D13A56" w:rsidRPr="00AF614D" w:rsidRDefault="00D13A56" w:rsidP="00C14EEF">
      <w:pPr>
        <w:rPr>
          <w:rFonts w:ascii="Arial" w:hAnsi="Arial" w:cs="Arial"/>
          <w:szCs w:val="22"/>
          <w:lang w:val="en-US"/>
        </w:rPr>
      </w:pPr>
    </w:p>
    <w:p w:rsidR="00C819DC" w:rsidRDefault="00C819DC" w:rsidP="00C14EEF">
      <w:pPr>
        <w:pStyle w:val="af3"/>
        <w:numPr>
          <w:ilvl w:val="0"/>
          <w:numId w:val="38"/>
        </w:numPr>
        <w:contextualSpacing w:val="0"/>
        <w:rPr>
          <w:rFonts w:ascii="Arial" w:hAnsi="Arial" w:cs="Arial"/>
        </w:rPr>
      </w:pPr>
      <w:r>
        <w:rPr>
          <w:rFonts w:ascii="Arial" w:hAnsi="Arial"/>
        </w:rPr>
        <w:t xml:space="preserve">Середній розмір домогосподарств у Волинській області (за даними Державної служби статистики України, 2018 р) – </w:t>
      </w:r>
      <w:r>
        <w:rPr>
          <w:rFonts w:ascii="Arial" w:hAnsi="Arial"/>
          <w:b/>
        </w:rPr>
        <w:t>3,03</w:t>
      </w:r>
      <w:r>
        <w:rPr>
          <w:rFonts w:ascii="Arial" w:hAnsi="Arial"/>
        </w:rPr>
        <w:t xml:space="preserve"> особи/домогосподарство.</w:t>
      </w:r>
    </w:p>
    <w:p w:rsidR="00D13A56" w:rsidRPr="00AF614D" w:rsidRDefault="00D13A56" w:rsidP="00C14EEF">
      <w:pPr>
        <w:pStyle w:val="af3"/>
        <w:numPr>
          <w:ilvl w:val="0"/>
          <w:numId w:val="38"/>
        </w:numPr>
        <w:contextualSpacing w:val="0"/>
        <w:rPr>
          <w:rFonts w:ascii="Arial" w:hAnsi="Arial" w:cs="Arial"/>
        </w:rPr>
      </w:pPr>
      <w:r>
        <w:rPr>
          <w:rFonts w:ascii="Arial" w:hAnsi="Arial"/>
        </w:rPr>
        <w:t>Середньомісячний дохід населення у Волинській області - 8546,63 грн (за даними Державної служби статистики України, 2018 р.).</w:t>
      </w:r>
      <w:r w:rsidR="00CB1B48">
        <w:rPr>
          <w:rFonts w:ascii="Arial" w:hAnsi="Arial"/>
        </w:rPr>
        <w:t xml:space="preserve"> </w:t>
      </w:r>
      <w:r>
        <w:rPr>
          <w:rFonts w:ascii="Arial" w:hAnsi="Arial"/>
        </w:rPr>
        <w:t>Щорічне збільшення доходів домогосподарств у 2018 фіскальному році становить 19,69% (за даними Державної служби статистики України, 2018 р.). Так, середньомісячний дохід домогосподарств</w:t>
      </w:r>
      <w:r w:rsidR="00CB1B48">
        <w:rPr>
          <w:rFonts w:ascii="Arial" w:hAnsi="Arial"/>
        </w:rPr>
        <w:t xml:space="preserve"> </w:t>
      </w:r>
      <w:r>
        <w:rPr>
          <w:rFonts w:ascii="Arial" w:hAnsi="Arial"/>
        </w:rPr>
        <w:t xml:space="preserve">було прийнято </w:t>
      </w:r>
      <w:r>
        <w:rPr>
          <w:rFonts w:ascii="Arial" w:hAnsi="Arial"/>
          <w:b/>
        </w:rPr>
        <w:t>12243,64</w:t>
      </w:r>
      <w:r>
        <w:rPr>
          <w:rFonts w:ascii="Arial" w:hAnsi="Arial"/>
        </w:rPr>
        <w:t xml:space="preserve"> грн. за 2019 фіскальний рік.</w:t>
      </w:r>
    </w:p>
    <w:p w:rsidR="00D13A56" w:rsidRPr="00AF614D" w:rsidRDefault="00D13A56" w:rsidP="00C14EEF">
      <w:pPr>
        <w:pStyle w:val="af3"/>
        <w:numPr>
          <w:ilvl w:val="0"/>
          <w:numId w:val="38"/>
        </w:numPr>
        <w:contextualSpacing w:val="0"/>
        <w:rPr>
          <w:rFonts w:ascii="Arial" w:hAnsi="Arial" w:cs="Arial"/>
        </w:rPr>
      </w:pPr>
      <w:r>
        <w:rPr>
          <w:rFonts w:ascii="Arial" w:hAnsi="Arial"/>
        </w:rPr>
        <w:t xml:space="preserve">Коефіцієнт </w:t>
      </w:r>
      <w:proofErr w:type="spellStart"/>
      <w:r>
        <w:rPr>
          <w:rFonts w:ascii="Arial" w:hAnsi="Arial"/>
        </w:rPr>
        <w:t>квінтильної</w:t>
      </w:r>
      <w:proofErr w:type="spellEnd"/>
      <w:r>
        <w:rPr>
          <w:rFonts w:ascii="Arial" w:hAnsi="Arial"/>
        </w:rPr>
        <w:t xml:space="preserve"> диференціації - 1,9 (за даними Державної служби статистики України, 2018 р.).</w:t>
      </w:r>
    </w:p>
    <w:p w:rsidR="00D13A56" w:rsidRPr="00AF614D" w:rsidRDefault="00D13A56" w:rsidP="00C14EEF">
      <w:pPr>
        <w:pStyle w:val="af3"/>
        <w:numPr>
          <w:ilvl w:val="0"/>
          <w:numId w:val="38"/>
        </w:numPr>
        <w:contextualSpacing w:val="0"/>
        <w:rPr>
          <w:rFonts w:ascii="Arial" w:hAnsi="Arial" w:cs="Arial"/>
        </w:rPr>
      </w:pPr>
      <w:r>
        <w:rPr>
          <w:rFonts w:ascii="Arial" w:hAnsi="Arial"/>
        </w:rPr>
        <w:t xml:space="preserve">Середній обсяг споживання води на домогосподарство на місяць (за даними водоканалу) становить </w:t>
      </w:r>
      <w:r>
        <w:rPr>
          <w:rFonts w:ascii="Arial" w:hAnsi="Arial"/>
          <w:b/>
        </w:rPr>
        <w:t>9,82</w:t>
      </w:r>
      <w:r>
        <w:rPr>
          <w:rFonts w:ascii="Arial" w:hAnsi="Arial"/>
        </w:rPr>
        <w:t xml:space="preserve"> м</w:t>
      </w:r>
      <w:r>
        <w:rPr>
          <w:rFonts w:ascii="Arial" w:hAnsi="Arial"/>
          <w:vertAlign w:val="superscript"/>
        </w:rPr>
        <w:t>3</w:t>
      </w:r>
      <w:r>
        <w:rPr>
          <w:rFonts w:ascii="Arial" w:hAnsi="Arial"/>
        </w:rPr>
        <w:t>.</w:t>
      </w:r>
      <w:r w:rsidR="00CB1B48">
        <w:rPr>
          <w:rFonts w:ascii="Arial" w:hAnsi="Arial"/>
        </w:rPr>
        <w:t xml:space="preserve"> </w:t>
      </w:r>
      <w:r>
        <w:rPr>
          <w:rFonts w:ascii="Arial" w:hAnsi="Arial"/>
        </w:rPr>
        <w:t>Середньомісячний обсяг послуг з водовідведення становить 1</w:t>
      </w:r>
      <w:r>
        <w:rPr>
          <w:rFonts w:ascii="Arial" w:hAnsi="Arial"/>
          <w:b/>
        </w:rPr>
        <w:t>10,27</w:t>
      </w:r>
      <w:r>
        <w:rPr>
          <w:rFonts w:ascii="Arial" w:hAnsi="Arial"/>
        </w:rPr>
        <w:t xml:space="preserve"> м</w:t>
      </w:r>
      <w:r>
        <w:rPr>
          <w:rFonts w:ascii="Arial" w:hAnsi="Arial"/>
          <w:vertAlign w:val="superscript"/>
        </w:rPr>
        <w:t>3</w:t>
      </w:r>
      <w:r>
        <w:rPr>
          <w:rFonts w:ascii="Arial" w:hAnsi="Arial"/>
        </w:rPr>
        <w:t xml:space="preserve"> відповідно. </w:t>
      </w:r>
    </w:p>
    <w:p w:rsidR="00D13A56" w:rsidRPr="00280F57" w:rsidRDefault="00D13A56" w:rsidP="00C14EEF">
      <w:pPr>
        <w:pStyle w:val="af3"/>
        <w:numPr>
          <w:ilvl w:val="0"/>
          <w:numId w:val="38"/>
        </w:numPr>
        <w:contextualSpacing w:val="0"/>
        <w:rPr>
          <w:rFonts w:ascii="Arial" w:hAnsi="Arial" w:cs="Arial"/>
        </w:rPr>
      </w:pPr>
      <w:r>
        <w:rPr>
          <w:rFonts w:ascii="Arial" w:hAnsi="Arial"/>
        </w:rPr>
        <w:t>Існуючий тариф за централізоване водопостачання/ водовідведення -5,92 грн/м</w:t>
      </w:r>
      <w:r>
        <w:rPr>
          <w:rFonts w:ascii="Arial" w:hAnsi="Arial"/>
          <w:vertAlign w:val="superscript"/>
        </w:rPr>
        <w:t>3</w:t>
      </w:r>
      <w:r>
        <w:rPr>
          <w:rFonts w:ascii="Arial" w:hAnsi="Arial"/>
        </w:rPr>
        <w:t xml:space="preserve"> (без ПДВ) та 6,62 грн/м</w:t>
      </w:r>
      <w:r>
        <w:rPr>
          <w:rFonts w:ascii="Arial" w:hAnsi="Arial"/>
          <w:vertAlign w:val="superscript"/>
        </w:rPr>
        <w:t>3</w:t>
      </w:r>
      <w:r>
        <w:rPr>
          <w:rFonts w:ascii="Arial" w:hAnsi="Arial"/>
        </w:rPr>
        <w:t xml:space="preserve"> (без ПДВ), комбінований тариф - </w:t>
      </w:r>
      <w:r>
        <w:rPr>
          <w:rFonts w:ascii="Arial" w:hAnsi="Arial"/>
          <w:b/>
        </w:rPr>
        <w:t>12,54 грн/м</w:t>
      </w:r>
      <w:r>
        <w:rPr>
          <w:rFonts w:ascii="Arial" w:hAnsi="Arial"/>
          <w:b/>
          <w:vertAlign w:val="superscript"/>
        </w:rPr>
        <w:t>3</w:t>
      </w:r>
      <w:r>
        <w:rPr>
          <w:rFonts w:ascii="Arial" w:hAnsi="Arial"/>
          <w:vertAlign w:val="superscript"/>
        </w:rPr>
        <w:t xml:space="preserve"> </w:t>
      </w:r>
      <w:r>
        <w:rPr>
          <w:rFonts w:ascii="Arial" w:hAnsi="Arial"/>
        </w:rPr>
        <w:t xml:space="preserve">(без ПДВ) та </w:t>
      </w:r>
      <w:r>
        <w:rPr>
          <w:rFonts w:ascii="Arial" w:hAnsi="Arial"/>
          <w:b/>
        </w:rPr>
        <w:t>15,048 (із ПДВ).</w:t>
      </w:r>
      <w:r w:rsidR="00CB1B48">
        <w:rPr>
          <w:rFonts w:ascii="Arial" w:hAnsi="Arial"/>
        </w:rPr>
        <w:t xml:space="preserve"> </w:t>
      </w:r>
      <w:r>
        <w:rPr>
          <w:rFonts w:ascii="Arial" w:hAnsi="Arial"/>
        </w:rPr>
        <w:t>Цей тариф буде використаний для наших розрахунків.</w:t>
      </w:r>
    </w:p>
    <w:p w:rsidR="00D13A56" w:rsidRDefault="00D13A56" w:rsidP="00C14EEF">
      <w:pPr>
        <w:pStyle w:val="af3"/>
        <w:contextualSpacing w:val="0"/>
        <w:rPr>
          <w:rFonts w:ascii="Arial" w:hAnsi="Arial" w:cs="Arial"/>
          <w:lang w:val="en-US"/>
        </w:rPr>
      </w:pPr>
    </w:p>
    <w:p w:rsidR="00971F30" w:rsidRPr="0070717B" w:rsidRDefault="00971F30" w:rsidP="00C14EEF">
      <w:pPr>
        <w:rPr>
          <w:rFonts w:ascii="Arial" w:hAnsi="Arial" w:cs="Arial"/>
          <w:lang w:val="en-US"/>
        </w:rPr>
      </w:pPr>
    </w:p>
    <w:p w:rsidR="006C1529" w:rsidRDefault="006C1529">
      <w:pPr>
        <w:jc w:val="left"/>
        <w:rPr>
          <w:rFonts w:asciiTheme="minorHAnsi" w:hAnsiTheme="minorHAnsi"/>
          <w:b/>
          <w:bCs/>
          <w:noProof/>
          <w:szCs w:val="18"/>
        </w:rPr>
      </w:pPr>
      <w:r>
        <w:br w:type="page"/>
      </w:r>
    </w:p>
    <w:p w:rsidR="00A21E0F" w:rsidRPr="000D3ACE" w:rsidRDefault="00A21E0F" w:rsidP="00C14EEF">
      <w:pPr>
        <w:pStyle w:val="aa"/>
      </w:pPr>
      <w:bookmarkStart w:id="63" w:name="_Toc48643451"/>
      <w:r>
        <w:t xml:space="preserve">Таблиця </w:t>
      </w:r>
      <w:r w:rsidRPr="000D3ACE">
        <w:fldChar w:fldCharType="begin"/>
      </w:r>
      <w:r w:rsidRPr="000D3ACE">
        <w:instrText xml:space="preserve"> SEQ Table \* ARABIC </w:instrText>
      </w:r>
      <w:r w:rsidRPr="000D3ACE">
        <w:fldChar w:fldCharType="separate"/>
      </w:r>
      <w:r w:rsidR="00CB1B48">
        <w:t>11</w:t>
      </w:r>
      <w:r w:rsidRPr="000D3ACE">
        <w:fldChar w:fldCharType="end"/>
      </w:r>
      <w:r>
        <w:t>: Доступність тарифів</w:t>
      </w:r>
      <w:bookmarkEnd w:id="63"/>
    </w:p>
    <w:tbl>
      <w:tblPr>
        <w:tblW w:w="9229" w:type="dxa"/>
        <w:tblInd w:w="93" w:type="dxa"/>
        <w:tblLook w:val="04A0" w:firstRow="1" w:lastRow="0" w:firstColumn="1" w:lastColumn="0" w:noHBand="0" w:noVBand="1"/>
      </w:tblPr>
      <w:tblGrid>
        <w:gridCol w:w="3547"/>
        <w:gridCol w:w="1194"/>
        <w:gridCol w:w="1139"/>
        <w:gridCol w:w="1116"/>
        <w:gridCol w:w="1139"/>
        <w:gridCol w:w="1094"/>
      </w:tblGrid>
      <w:tr w:rsidR="00D13A56" w:rsidRPr="00DD0D4E" w:rsidTr="00B05DDA">
        <w:trPr>
          <w:trHeight w:val="480"/>
          <w:tblHeader/>
        </w:trPr>
        <w:tc>
          <w:tcPr>
            <w:tcW w:w="2567" w:type="dxa"/>
            <w:vMerge w:val="restart"/>
            <w:tcBorders>
              <w:top w:val="single" w:sz="4" w:space="0" w:color="auto"/>
              <w:left w:val="single" w:sz="4" w:space="0" w:color="auto"/>
              <w:bottom w:val="single" w:sz="4" w:space="0" w:color="auto"/>
              <w:right w:val="single" w:sz="4" w:space="0" w:color="auto"/>
            </w:tcBorders>
            <w:shd w:val="clear" w:color="auto" w:fill="92D050"/>
            <w:vAlign w:val="center"/>
            <w:hideMark/>
          </w:tcPr>
          <w:p w:rsidR="00D13A56" w:rsidRPr="00DD0D4E" w:rsidRDefault="00D13A56" w:rsidP="00C14EEF">
            <w:pPr>
              <w:jc w:val="center"/>
              <w:rPr>
                <w:rFonts w:ascii="Arial" w:hAnsi="Arial" w:cs="Arial"/>
                <w:b/>
                <w:bCs/>
                <w:color w:val="000000"/>
                <w:sz w:val="20"/>
              </w:rPr>
            </w:pPr>
            <w:proofErr w:type="spellStart"/>
            <w:r>
              <w:rPr>
                <w:rFonts w:ascii="Arial" w:hAnsi="Arial"/>
                <w:b/>
                <w:bCs/>
                <w:color w:val="000000"/>
                <w:sz w:val="20"/>
              </w:rPr>
              <w:t>Квінтиль</w:t>
            </w:r>
            <w:proofErr w:type="spellEnd"/>
          </w:p>
        </w:tc>
        <w:tc>
          <w:tcPr>
            <w:tcW w:w="1417" w:type="dxa"/>
            <w:tcBorders>
              <w:top w:val="single" w:sz="4" w:space="0" w:color="auto"/>
              <w:left w:val="nil"/>
              <w:bottom w:val="single" w:sz="4" w:space="0" w:color="auto"/>
              <w:right w:val="single" w:sz="4" w:space="0" w:color="auto"/>
            </w:tcBorders>
            <w:shd w:val="clear" w:color="auto" w:fill="92D050"/>
            <w:vAlign w:val="center"/>
            <w:hideMark/>
          </w:tcPr>
          <w:p w:rsidR="00D13A56" w:rsidRPr="00DD0D4E" w:rsidRDefault="00D13A56" w:rsidP="00C14EEF">
            <w:pPr>
              <w:jc w:val="center"/>
              <w:rPr>
                <w:rFonts w:ascii="Arial" w:hAnsi="Arial" w:cs="Arial"/>
                <w:b/>
                <w:bCs/>
                <w:color w:val="000000"/>
                <w:sz w:val="20"/>
              </w:rPr>
            </w:pPr>
            <w:r>
              <w:rPr>
                <w:rFonts w:ascii="Arial" w:hAnsi="Arial"/>
                <w:b/>
                <w:bCs/>
                <w:color w:val="000000"/>
                <w:sz w:val="20"/>
              </w:rPr>
              <w:t>Найнижчі 20%</w:t>
            </w:r>
          </w:p>
        </w:tc>
        <w:tc>
          <w:tcPr>
            <w:tcW w:w="1418" w:type="dxa"/>
            <w:tcBorders>
              <w:top w:val="single" w:sz="4" w:space="0" w:color="auto"/>
              <w:left w:val="nil"/>
              <w:bottom w:val="single" w:sz="4" w:space="0" w:color="auto"/>
              <w:right w:val="single" w:sz="4" w:space="0" w:color="auto"/>
            </w:tcBorders>
            <w:shd w:val="clear" w:color="auto" w:fill="92D050"/>
            <w:vAlign w:val="center"/>
            <w:hideMark/>
          </w:tcPr>
          <w:p w:rsidR="00D13A56" w:rsidRPr="00DD0D4E" w:rsidRDefault="00D13A56" w:rsidP="00C14EEF">
            <w:pPr>
              <w:jc w:val="center"/>
              <w:rPr>
                <w:rFonts w:ascii="Arial" w:hAnsi="Arial" w:cs="Arial"/>
                <w:b/>
                <w:bCs/>
                <w:color w:val="000000"/>
                <w:sz w:val="20"/>
              </w:rPr>
            </w:pPr>
            <w:r>
              <w:rPr>
                <w:rFonts w:ascii="Arial" w:hAnsi="Arial"/>
                <w:b/>
                <w:bCs/>
                <w:color w:val="000000"/>
                <w:sz w:val="20"/>
              </w:rPr>
              <w:t>Другі 20%</w:t>
            </w:r>
          </w:p>
        </w:tc>
        <w:tc>
          <w:tcPr>
            <w:tcW w:w="1276" w:type="dxa"/>
            <w:tcBorders>
              <w:top w:val="single" w:sz="4" w:space="0" w:color="auto"/>
              <w:left w:val="nil"/>
              <w:bottom w:val="single" w:sz="4" w:space="0" w:color="auto"/>
              <w:right w:val="single" w:sz="4" w:space="0" w:color="auto"/>
            </w:tcBorders>
            <w:shd w:val="clear" w:color="auto" w:fill="92D050"/>
            <w:vAlign w:val="center"/>
            <w:hideMark/>
          </w:tcPr>
          <w:p w:rsidR="00D13A56" w:rsidRPr="00DD0D4E" w:rsidRDefault="00D13A56" w:rsidP="00C14EEF">
            <w:pPr>
              <w:jc w:val="center"/>
              <w:rPr>
                <w:rFonts w:ascii="Arial" w:hAnsi="Arial" w:cs="Arial"/>
                <w:b/>
                <w:bCs/>
                <w:color w:val="000000"/>
                <w:sz w:val="20"/>
              </w:rPr>
            </w:pPr>
            <w:r>
              <w:rPr>
                <w:rFonts w:ascii="Arial" w:hAnsi="Arial"/>
                <w:b/>
                <w:bCs/>
                <w:color w:val="000000"/>
                <w:sz w:val="20"/>
              </w:rPr>
              <w:t>Треті 20%</w:t>
            </w:r>
          </w:p>
        </w:tc>
        <w:tc>
          <w:tcPr>
            <w:tcW w:w="1417" w:type="dxa"/>
            <w:tcBorders>
              <w:top w:val="single" w:sz="4" w:space="0" w:color="auto"/>
              <w:left w:val="nil"/>
              <w:bottom w:val="single" w:sz="4" w:space="0" w:color="auto"/>
              <w:right w:val="single" w:sz="4" w:space="0" w:color="auto"/>
            </w:tcBorders>
            <w:shd w:val="clear" w:color="auto" w:fill="92D050"/>
            <w:vAlign w:val="center"/>
            <w:hideMark/>
          </w:tcPr>
          <w:p w:rsidR="00D13A56" w:rsidRPr="00DD0D4E" w:rsidRDefault="00D13A56" w:rsidP="00C14EEF">
            <w:pPr>
              <w:jc w:val="center"/>
              <w:rPr>
                <w:rFonts w:ascii="Arial" w:hAnsi="Arial" w:cs="Arial"/>
                <w:b/>
                <w:bCs/>
                <w:color w:val="000000"/>
                <w:sz w:val="20"/>
              </w:rPr>
            </w:pPr>
            <w:r>
              <w:rPr>
                <w:rFonts w:ascii="Arial" w:hAnsi="Arial"/>
                <w:b/>
                <w:bCs/>
                <w:color w:val="000000"/>
                <w:sz w:val="20"/>
              </w:rPr>
              <w:t>Четверті 20%</w:t>
            </w:r>
          </w:p>
        </w:tc>
        <w:tc>
          <w:tcPr>
            <w:tcW w:w="1134" w:type="dxa"/>
            <w:tcBorders>
              <w:top w:val="single" w:sz="4" w:space="0" w:color="auto"/>
              <w:left w:val="nil"/>
              <w:bottom w:val="single" w:sz="4" w:space="0" w:color="auto"/>
              <w:right w:val="single" w:sz="4" w:space="0" w:color="auto"/>
            </w:tcBorders>
            <w:shd w:val="clear" w:color="auto" w:fill="92D050"/>
            <w:vAlign w:val="center"/>
            <w:hideMark/>
          </w:tcPr>
          <w:p w:rsidR="00D13A56" w:rsidRPr="00DD0D4E" w:rsidRDefault="00D13A56" w:rsidP="00C14EEF">
            <w:pPr>
              <w:jc w:val="center"/>
              <w:rPr>
                <w:rFonts w:ascii="Arial" w:hAnsi="Arial" w:cs="Arial"/>
                <w:b/>
                <w:bCs/>
                <w:color w:val="000000"/>
                <w:sz w:val="20"/>
              </w:rPr>
            </w:pPr>
            <w:r>
              <w:rPr>
                <w:rFonts w:ascii="Arial" w:hAnsi="Arial"/>
                <w:b/>
                <w:bCs/>
                <w:color w:val="000000"/>
                <w:sz w:val="20"/>
              </w:rPr>
              <w:t>П'яті 20%</w:t>
            </w:r>
          </w:p>
        </w:tc>
      </w:tr>
      <w:tr w:rsidR="00D13A56" w:rsidRPr="00DD0D4E" w:rsidTr="00B05DDA">
        <w:trPr>
          <w:trHeight w:val="525"/>
          <w:tblHeader/>
        </w:trPr>
        <w:tc>
          <w:tcPr>
            <w:tcW w:w="2567" w:type="dxa"/>
            <w:vMerge/>
            <w:tcBorders>
              <w:top w:val="single" w:sz="4" w:space="0" w:color="auto"/>
              <w:left w:val="single" w:sz="4" w:space="0" w:color="auto"/>
              <w:bottom w:val="single" w:sz="4" w:space="0" w:color="auto"/>
              <w:right w:val="single" w:sz="4" w:space="0" w:color="auto"/>
            </w:tcBorders>
            <w:shd w:val="clear" w:color="auto" w:fill="92D050"/>
            <w:vAlign w:val="center"/>
            <w:hideMark/>
          </w:tcPr>
          <w:p w:rsidR="00D13A56" w:rsidRPr="00DD0D4E" w:rsidRDefault="00D13A56" w:rsidP="00C14EEF">
            <w:pPr>
              <w:jc w:val="left"/>
              <w:rPr>
                <w:rFonts w:ascii="Arial" w:hAnsi="Arial" w:cs="Arial"/>
                <w:b/>
                <w:bCs/>
                <w:color w:val="000000"/>
                <w:sz w:val="20"/>
                <w:lang w:val="en-US" w:eastAsia="uk-UA"/>
              </w:rPr>
            </w:pPr>
          </w:p>
        </w:tc>
        <w:tc>
          <w:tcPr>
            <w:tcW w:w="1417" w:type="dxa"/>
            <w:tcBorders>
              <w:top w:val="nil"/>
              <w:left w:val="nil"/>
              <w:bottom w:val="single" w:sz="4" w:space="0" w:color="auto"/>
              <w:right w:val="single" w:sz="4" w:space="0" w:color="auto"/>
            </w:tcBorders>
            <w:shd w:val="clear" w:color="auto" w:fill="92D050"/>
            <w:vAlign w:val="center"/>
            <w:hideMark/>
          </w:tcPr>
          <w:p w:rsidR="00D13A56" w:rsidRPr="00DD0D4E" w:rsidRDefault="00D13A56" w:rsidP="00C14EEF">
            <w:pPr>
              <w:jc w:val="center"/>
              <w:rPr>
                <w:rFonts w:ascii="Arial" w:hAnsi="Arial" w:cs="Arial"/>
                <w:b/>
                <w:bCs/>
                <w:color w:val="000000"/>
                <w:sz w:val="20"/>
              </w:rPr>
            </w:pPr>
            <w:r>
              <w:rPr>
                <w:rFonts w:ascii="Arial" w:hAnsi="Arial"/>
                <w:b/>
                <w:bCs/>
                <w:color w:val="000000"/>
                <w:sz w:val="20"/>
              </w:rPr>
              <w:t>(1</w:t>
            </w:r>
            <w:r>
              <w:rPr>
                <w:rFonts w:ascii="Arial" w:hAnsi="Arial"/>
                <w:b/>
                <w:bCs/>
                <w:color w:val="000000"/>
                <w:sz w:val="20"/>
                <w:vertAlign w:val="superscript"/>
              </w:rPr>
              <w:t>ий</w:t>
            </w:r>
            <w:r>
              <w:rPr>
                <w:rFonts w:ascii="Arial" w:hAnsi="Arial"/>
                <w:b/>
                <w:bCs/>
                <w:color w:val="000000"/>
                <w:sz w:val="20"/>
              </w:rPr>
              <w:t xml:space="preserve"> </w:t>
            </w:r>
            <w:proofErr w:type="spellStart"/>
            <w:r>
              <w:rPr>
                <w:rFonts w:ascii="Arial" w:hAnsi="Arial"/>
                <w:b/>
                <w:bCs/>
                <w:color w:val="000000"/>
                <w:sz w:val="20"/>
              </w:rPr>
              <w:t>квінтіль</w:t>
            </w:r>
            <w:proofErr w:type="spellEnd"/>
            <w:r>
              <w:rPr>
                <w:rFonts w:ascii="Arial" w:hAnsi="Arial"/>
                <w:b/>
                <w:bCs/>
                <w:color w:val="000000"/>
                <w:sz w:val="20"/>
              </w:rPr>
              <w:t>)</w:t>
            </w:r>
          </w:p>
        </w:tc>
        <w:tc>
          <w:tcPr>
            <w:tcW w:w="1418" w:type="dxa"/>
            <w:tcBorders>
              <w:top w:val="nil"/>
              <w:left w:val="nil"/>
              <w:bottom w:val="single" w:sz="4" w:space="0" w:color="auto"/>
              <w:right w:val="single" w:sz="4" w:space="0" w:color="auto"/>
            </w:tcBorders>
            <w:shd w:val="clear" w:color="auto" w:fill="92D050"/>
            <w:vAlign w:val="center"/>
            <w:hideMark/>
          </w:tcPr>
          <w:p w:rsidR="00D13A56" w:rsidRPr="00DD0D4E" w:rsidRDefault="00D13A56" w:rsidP="00C14EEF">
            <w:pPr>
              <w:jc w:val="center"/>
              <w:rPr>
                <w:rFonts w:ascii="Arial" w:hAnsi="Arial" w:cs="Arial"/>
                <w:b/>
                <w:bCs/>
                <w:color w:val="000000"/>
                <w:sz w:val="20"/>
              </w:rPr>
            </w:pPr>
            <w:r>
              <w:rPr>
                <w:rFonts w:ascii="Arial" w:hAnsi="Arial"/>
                <w:b/>
                <w:bCs/>
                <w:color w:val="000000"/>
                <w:sz w:val="20"/>
              </w:rPr>
              <w:t>(2</w:t>
            </w:r>
            <w:r>
              <w:rPr>
                <w:rFonts w:ascii="Arial" w:hAnsi="Arial"/>
                <w:b/>
                <w:bCs/>
                <w:color w:val="000000"/>
                <w:sz w:val="20"/>
                <w:vertAlign w:val="superscript"/>
              </w:rPr>
              <w:t>ий</w:t>
            </w:r>
            <w:r>
              <w:rPr>
                <w:rFonts w:ascii="Arial" w:hAnsi="Arial"/>
                <w:b/>
                <w:bCs/>
                <w:color w:val="000000"/>
                <w:sz w:val="20"/>
              </w:rPr>
              <w:t xml:space="preserve"> </w:t>
            </w:r>
            <w:proofErr w:type="spellStart"/>
            <w:r>
              <w:rPr>
                <w:rFonts w:ascii="Arial" w:hAnsi="Arial"/>
                <w:b/>
                <w:bCs/>
                <w:color w:val="000000"/>
                <w:sz w:val="20"/>
              </w:rPr>
              <w:t>квінтіль</w:t>
            </w:r>
            <w:proofErr w:type="spellEnd"/>
            <w:r>
              <w:rPr>
                <w:rFonts w:ascii="Arial" w:hAnsi="Arial"/>
                <w:b/>
                <w:bCs/>
                <w:color w:val="000000"/>
                <w:sz w:val="20"/>
              </w:rPr>
              <w:t>)</w:t>
            </w:r>
          </w:p>
        </w:tc>
        <w:tc>
          <w:tcPr>
            <w:tcW w:w="1276" w:type="dxa"/>
            <w:tcBorders>
              <w:top w:val="nil"/>
              <w:left w:val="nil"/>
              <w:bottom w:val="single" w:sz="4" w:space="0" w:color="auto"/>
              <w:right w:val="single" w:sz="4" w:space="0" w:color="auto"/>
            </w:tcBorders>
            <w:shd w:val="clear" w:color="auto" w:fill="92D050"/>
            <w:vAlign w:val="center"/>
            <w:hideMark/>
          </w:tcPr>
          <w:p w:rsidR="00D13A56" w:rsidRPr="00DD0D4E" w:rsidRDefault="00D13A56" w:rsidP="00C14EEF">
            <w:pPr>
              <w:jc w:val="center"/>
              <w:rPr>
                <w:rFonts w:ascii="Arial" w:hAnsi="Arial" w:cs="Arial"/>
                <w:b/>
                <w:bCs/>
                <w:color w:val="000000"/>
                <w:sz w:val="20"/>
              </w:rPr>
            </w:pPr>
            <w:r>
              <w:rPr>
                <w:rFonts w:ascii="Arial" w:hAnsi="Arial"/>
                <w:b/>
                <w:bCs/>
                <w:color w:val="000000"/>
                <w:sz w:val="20"/>
              </w:rPr>
              <w:t>(3</w:t>
            </w:r>
            <w:r>
              <w:rPr>
                <w:rFonts w:ascii="Arial" w:hAnsi="Arial"/>
                <w:b/>
                <w:bCs/>
                <w:color w:val="000000"/>
                <w:sz w:val="20"/>
                <w:vertAlign w:val="superscript"/>
              </w:rPr>
              <w:t>ій</w:t>
            </w:r>
            <w:r>
              <w:rPr>
                <w:rFonts w:ascii="Arial" w:hAnsi="Arial"/>
                <w:b/>
                <w:bCs/>
                <w:color w:val="000000"/>
                <w:sz w:val="20"/>
              </w:rPr>
              <w:t xml:space="preserve"> </w:t>
            </w:r>
            <w:proofErr w:type="spellStart"/>
            <w:r>
              <w:rPr>
                <w:rFonts w:ascii="Arial" w:hAnsi="Arial"/>
                <w:b/>
                <w:bCs/>
                <w:color w:val="000000"/>
                <w:sz w:val="20"/>
              </w:rPr>
              <w:t>квінтіль</w:t>
            </w:r>
            <w:proofErr w:type="spellEnd"/>
            <w:r>
              <w:rPr>
                <w:rFonts w:ascii="Arial" w:hAnsi="Arial"/>
                <w:b/>
                <w:bCs/>
                <w:color w:val="000000"/>
                <w:sz w:val="20"/>
              </w:rPr>
              <w:t>)</w:t>
            </w:r>
          </w:p>
        </w:tc>
        <w:tc>
          <w:tcPr>
            <w:tcW w:w="1417" w:type="dxa"/>
            <w:tcBorders>
              <w:top w:val="nil"/>
              <w:left w:val="nil"/>
              <w:bottom w:val="single" w:sz="4" w:space="0" w:color="auto"/>
              <w:right w:val="single" w:sz="4" w:space="0" w:color="auto"/>
            </w:tcBorders>
            <w:shd w:val="clear" w:color="auto" w:fill="92D050"/>
            <w:vAlign w:val="center"/>
            <w:hideMark/>
          </w:tcPr>
          <w:p w:rsidR="00D13A56" w:rsidRPr="00DD0D4E" w:rsidRDefault="00D13A56" w:rsidP="00C14EEF">
            <w:pPr>
              <w:jc w:val="center"/>
              <w:rPr>
                <w:rFonts w:ascii="Arial" w:hAnsi="Arial" w:cs="Arial"/>
                <w:b/>
                <w:bCs/>
                <w:color w:val="000000"/>
                <w:sz w:val="20"/>
              </w:rPr>
            </w:pPr>
            <w:r>
              <w:rPr>
                <w:rFonts w:ascii="Arial" w:hAnsi="Arial"/>
                <w:b/>
                <w:bCs/>
                <w:color w:val="000000"/>
                <w:sz w:val="20"/>
              </w:rPr>
              <w:t>(4</w:t>
            </w:r>
            <w:r>
              <w:rPr>
                <w:rFonts w:ascii="Arial" w:hAnsi="Arial"/>
                <w:b/>
                <w:bCs/>
                <w:color w:val="000000"/>
                <w:sz w:val="20"/>
                <w:vertAlign w:val="superscript"/>
              </w:rPr>
              <w:t>ий</w:t>
            </w:r>
            <w:r>
              <w:rPr>
                <w:rFonts w:ascii="Arial" w:hAnsi="Arial"/>
                <w:b/>
                <w:bCs/>
                <w:color w:val="000000"/>
                <w:sz w:val="20"/>
              </w:rPr>
              <w:t xml:space="preserve"> </w:t>
            </w:r>
            <w:proofErr w:type="spellStart"/>
            <w:r>
              <w:rPr>
                <w:rFonts w:ascii="Arial" w:hAnsi="Arial"/>
                <w:b/>
                <w:bCs/>
                <w:color w:val="000000"/>
                <w:sz w:val="20"/>
              </w:rPr>
              <w:t>квінтіль</w:t>
            </w:r>
            <w:proofErr w:type="spellEnd"/>
            <w:r>
              <w:rPr>
                <w:rFonts w:ascii="Arial" w:hAnsi="Arial"/>
                <w:b/>
                <w:bCs/>
                <w:color w:val="000000"/>
                <w:sz w:val="20"/>
              </w:rPr>
              <w:t>)</w:t>
            </w:r>
          </w:p>
        </w:tc>
        <w:tc>
          <w:tcPr>
            <w:tcW w:w="1134" w:type="dxa"/>
            <w:tcBorders>
              <w:top w:val="nil"/>
              <w:left w:val="nil"/>
              <w:bottom w:val="single" w:sz="4" w:space="0" w:color="auto"/>
              <w:right w:val="single" w:sz="4" w:space="0" w:color="auto"/>
            </w:tcBorders>
            <w:shd w:val="clear" w:color="auto" w:fill="92D050"/>
            <w:vAlign w:val="center"/>
            <w:hideMark/>
          </w:tcPr>
          <w:p w:rsidR="00D13A56" w:rsidRPr="00DD0D4E" w:rsidRDefault="00D13A56" w:rsidP="00C14EEF">
            <w:pPr>
              <w:jc w:val="center"/>
              <w:rPr>
                <w:rFonts w:ascii="Arial" w:hAnsi="Arial" w:cs="Arial"/>
                <w:b/>
                <w:bCs/>
                <w:color w:val="000000"/>
                <w:sz w:val="20"/>
              </w:rPr>
            </w:pPr>
            <w:r>
              <w:rPr>
                <w:rFonts w:ascii="Arial" w:hAnsi="Arial"/>
                <w:b/>
                <w:bCs/>
                <w:color w:val="000000"/>
                <w:sz w:val="20"/>
              </w:rPr>
              <w:t>(5</w:t>
            </w:r>
            <w:r>
              <w:rPr>
                <w:rFonts w:ascii="Arial" w:hAnsi="Arial"/>
                <w:b/>
                <w:bCs/>
                <w:color w:val="000000"/>
                <w:sz w:val="20"/>
                <w:vertAlign w:val="superscript"/>
              </w:rPr>
              <w:t>ий</w:t>
            </w:r>
            <w:r>
              <w:rPr>
                <w:rFonts w:ascii="Arial" w:hAnsi="Arial"/>
                <w:b/>
                <w:bCs/>
                <w:color w:val="000000"/>
                <w:sz w:val="20"/>
              </w:rPr>
              <w:t xml:space="preserve"> </w:t>
            </w:r>
            <w:proofErr w:type="spellStart"/>
            <w:r>
              <w:rPr>
                <w:rFonts w:ascii="Arial" w:hAnsi="Arial"/>
                <w:b/>
                <w:bCs/>
                <w:color w:val="000000"/>
                <w:sz w:val="20"/>
              </w:rPr>
              <w:t>квінтіль</w:t>
            </w:r>
            <w:proofErr w:type="spellEnd"/>
            <w:r>
              <w:rPr>
                <w:rFonts w:ascii="Arial" w:hAnsi="Arial"/>
                <w:b/>
                <w:bCs/>
                <w:color w:val="000000"/>
                <w:sz w:val="20"/>
              </w:rPr>
              <w:t>)</w:t>
            </w:r>
          </w:p>
        </w:tc>
      </w:tr>
      <w:tr w:rsidR="00D13A56" w:rsidRPr="00DD0D4E" w:rsidTr="0004226A">
        <w:trPr>
          <w:trHeight w:val="6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D13A56" w:rsidRPr="00DD0D4E" w:rsidRDefault="00D13A56" w:rsidP="00C14EEF">
            <w:pPr>
              <w:jc w:val="left"/>
              <w:rPr>
                <w:rFonts w:ascii="Arial" w:hAnsi="Arial" w:cs="Arial"/>
                <w:b/>
                <w:bCs/>
                <w:color w:val="000000"/>
                <w:sz w:val="20"/>
              </w:rPr>
            </w:pPr>
            <w:r>
              <w:rPr>
                <w:rFonts w:ascii="Arial" w:hAnsi="Arial"/>
                <w:b/>
                <w:bCs/>
                <w:color w:val="000000"/>
                <w:sz w:val="20"/>
              </w:rPr>
              <w:t>Середній чистий дохід домогосподарства (грн/місяць)</w:t>
            </w:r>
          </w:p>
        </w:tc>
        <w:tc>
          <w:tcPr>
            <w:tcW w:w="1417" w:type="dxa"/>
            <w:tcBorders>
              <w:top w:val="nil"/>
              <w:left w:val="nil"/>
              <w:bottom w:val="single" w:sz="4" w:space="0" w:color="auto"/>
              <w:right w:val="single" w:sz="4" w:space="0" w:color="auto"/>
            </w:tcBorders>
            <w:shd w:val="clear" w:color="auto" w:fill="auto"/>
            <w:vAlign w:val="center"/>
            <w:hideMark/>
          </w:tcPr>
          <w:p w:rsidR="00D13A56" w:rsidRPr="00DD0D4E" w:rsidRDefault="00D13A56" w:rsidP="00C14EEF">
            <w:pPr>
              <w:jc w:val="right"/>
              <w:rPr>
                <w:rFonts w:ascii="Arial" w:hAnsi="Arial" w:cs="Arial"/>
                <w:b/>
                <w:bCs/>
                <w:sz w:val="20"/>
              </w:rPr>
            </w:pPr>
            <w:r>
              <w:rPr>
                <w:rFonts w:ascii="Arial" w:hAnsi="Arial"/>
                <w:b/>
                <w:bCs/>
                <w:sz w:val="20"/>
              </w:rPr>
              <w:t>3391,59</w:t>
            </w:r>
          </w:p>
        </w:tc>
        <w:tc>
          <w:tcPr>
            <w:tcW w:w="1418" w:type="dxa"/>
            <w:tcBorders>
              <w:top w:val="nil"/>
              <w:left w:val="nil"/>
              <w:bottom w:val="single" w:sz="4" w:space="0" w:color="auto"/>
              <w:right w:val="single" w:sz="4" w:space="0" w:color="auto"/>
            </w:tcBorders>
            <w:shd w:val="clear" w:color="auto" w:fill="auto"/>
            <w:vAlign w:val="center"/>
            <w:hideMark/>
          </w:tcPr>
          <w:p w:rsidR="00D13A56" w:rsidRPr="00DD0D4E" w:rsidRDefault="00D13A56" w:rsidP="00C14EEF">
            <w:pPr>
              <w:jc w:val="center"/>
              <w:rPr>
                <w:rFonts w:ascii="Arial" w:hAnsi="Arial" w:cs="Arial"/>
                <w:b/>
                <w:bCs/>
                <w:sz w:val="20"/>
              </w:rPr>
            </w:pPr>
            <w:r>
              <w:rPr>
                <w:rFonts w:ascii="Arial" w:hAnsi="Arial"/>
                <w:b/>
                <w:bCs/>
                <w:sz w:val="20"/>
              </w:rPr>
              <w:t>6444,02</w:t>
            </w:r>
          </w:p>
        </w:tc>
        <w:tc>
          <w:tcPr>
            <w:tcW w:w="1276" w:type="dxa"/>
            <w:tcBorders>
              <w:top w:val="nil"/>
              <w:left w:val="nil"/>
              <w:bottom w:val="single" w:sz="4" w:space="0" w:color="auto"/>
              <w:right w:val="single" w:sz="4" w:space="0" w:color="auto"/>
            </w:tcBorders>
            <w:shd w:val="clear" w:color="000000" w:fill="FFFF00"/>
            <w:vAlign w:val="center"/>
            <w:hideMark/>
          </w:tcPr>
          <w:p w:rsidR="00D13A56" w:rsidRPr="00DD0D4E" w:rsidRDefault="00D13A56" w:rsidP="00C14EEF">
            <w:pPr>
              <w:jc w:val="center"/>
              <w:rPr>
                <w:rFonts w:ascii="Arial" w:hAnsi="Arial" w:cs="Arial"/>
                <w:b/>
                <w:bCs/>
                <w:sz w:val="20"/>
              </w:rPr>
            </w:pPr>
            <w:r>
              <w:rPr>
                <w:rFonts w:ascii="Arial" w:hAnsi="Arial"/>
                <w:b/>
                <w:bCs/>
                <w:sz w:val="20"/>
              </w:rPr>
              <w:t>12243,64</w:t>
            </w:r>
          </w:p>
        </w:tc>
        <w:tc>
          <w:tcPr>
            <w:tcW w:w="1417" w:type="dxa"/>
            <w:tcBorders>
              <w:top w:val="nil"/>
              <w:left w:val="nil"/>
              <w:bottom w:val="single" w:sz="4" w:space="0" w:color="auto"/>
              <w:right w:val="single" w:sz="4" w:space="0" w:color="auto"/>
            </w:tcBorders>
            <w:shd w:val="clear" w:color="auto" w:fill="auto"/>
            <w:vAlign w:val="center"/>
            <w:hideMark/>
          </w:tcPr>
          <w:p w:rsidR="00D13A56" w:rsidRPr="00DD0D4E" w:rsidRDefault="00D13A56" w:rsidP="00C14EEF">
            <w:pPr>
              <w:jc w:val="center"/>
              <w:rPr>
                <w:rFonts w:ascii="Arial" w:hAnsi="Arial" w:cs="Arial"/>
                <w:b/>
                <w:bCs/>
                <w:sz w:val="20"/>
              </w:rPr>
            </w:pPr>
            <w:r>
              <w:rPr>
                <w:rFonts w:ascii="Arial" w:hAnsi="Arial"/>
                <w:b/>
                <w:bCs/>
                <w:sz w:val="20"/>
              </w:rPr>
              <w:t>23262,92</w:t>
            </w:r>
          </w:p>
        </w:tc>
        <w:tc>
          <w:tcPr>
            <w:tcW w:w="1134" w:type="dxa"/>
            <w:tcBorders>
              <w:top w:val="nil"/>
              <w:left w:val="nil"/>
              <w:bottom w:val="single" w:sz="4" w:space="0" w:color="auto"/>
              <w:right w:val="single" w:sz="4" w:space="0" w:color="auto"/>
            </w:tcBorders>
            <w:shd w:val="clear" w:color="auto" w:fill="auto"/>
            <w:vAlign w:val="center"/>
            <w:hideMark/>
          </w:tcPr>
          <w:p w:rsidR="00D13A56" w:rsidRPr="00DD0D4E" w:rsidRDefault="00D13A56" w:rsidP="00C14EEF">
            <w:pPr>
              <w:jc w:val="center"/>
              <w:rPr>
                <w:rFonts w:ascii="Arial" w:hAnsi="Arial" w:cs="Arial"/>
                <w:b/>
                <w:bCs/>
                <w:sz w:val="20"/>
              </w:rPr>
            </w:pPr>
            <w:r>
              <w:rPr>
                <w:rFonts w:ascii="Arial" w:hAnsi="Arial"/>
                <w:b/>
                <w:bCs/>
                <w:sz w:val="20"/>
              </w:rPr>
              <w:t>44199,54</w:t>
            </w:r>
          </w:p>
        </w:tc>
      </w:tr>
      <w:tr w:rsidR="0070717B" w:rsidRPr="00DD0D4E" w:rsidTr="0004226A">
        <w:trPr>
          <w:trHeight w:val="60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70717B" w:rsidRPr="00DD0D4E" w:rsidRDefault="0070717B" w:rsidP="00C14EEF">
            <w:pPr>
              <w:jc w:val="left"/>
              <w:rPr>
                <w:rFonts w:ascii="Arial" w:hAnsi="Arial" w:cs="Arial"/>
                <w:color w:val="000000"/>
                <w:sz w:val="20"/>
              </w:rPr>
            </w:pPr>
            <w:r>
              <w:rPr>
                <w:rFonts w:ascii="Arial" w:hAnsi="Arial"/>
                <w:color w:val="000000"/>
                <w:sz w:val="20"/>
              </w:rPr>
              <w:t>Середнє споживання послуг з водопостачання домогосподарством (м</w:t>
            </w:r>
            <w:r w:rsidRPr="006C1529">
              <w:rPr>
                <w:rFonts w:ascii="Arial" w:hAnsi="Arial"/>
                <w:color w:val="000000"/>
                <w:sz w:val="20"/>
                <w:vertAlign w:val="superscript"/>
              </w:rPr>
              <w:t>3</w:t>
            </w:r>
            <w:r>
              <w:rPr>
                <w:rFonts w:ascii="Arial" w:hAnsi="Arial"/>
                <w:color w:val="000000"/>
                <w:sz w:val="20"/>
              </w:rPr>
              <w:t>/місяць)</w:t>
            </w:r>
          </w:p>
        </w:tc>
        <w:tc>
          <w:tcPr>
            <w:tcW w:w="1417" w:type="dxa"/>
            <w:tcBorders>
              <w:top w:val="nil"/>
              <w:left w:val="nil"/>
              <w:bottom w:val="single" w:sz="4" w:space="0" w:color="auto"/>
              <w:right w:val="single" w:sz="4" w:space="0" w:color="auto"/>
            </w:tcBorders>
            <w:shd w:val="clear" w:color="auto" w:fill="auto"/>
            <w:vAlign w:val="center"/>
            <w:hideMark/>
          </w:tcPr>
          <w:p w:rsidR="0070717B" w:rsidRPr="00DD0D4E" w:rsidRDefault="00F2587F" w:rsidP="00C14EEF">
            <w:pPr>
              <w:jc w:val="right"/>
              <w:rPr>
                <w:rFonts w:ascii="Arial" w:hAnsi="Arial" w:cs="Arial"/>
                <w:sz w:val="20"/>
              </w:rPr>
            </w:pPr>
            <w:r>
              <w:rPr>
                <w:rFonts w:ascii="Arial" w:hAnsi="Arial"/>
                <w:sz w:val="20"/>
              </w:rPr>
              <w:t>9,82</w:t>
            </w:r>
          </w:p>
        </w:tc>
        <w:tc>
          <w:tcPr>
            <w:tcW w:w="1418" w:type="dxa"/>
            <w:tcBorders>
              <w:top w:val="nil"/>
              <w:left w:val="nil"/>
              <w:bottom w:val="single" w:sz="4" w:space="0" w:color="auto"/>
              <w:right w:val="single" w:sz="4" w:space="0" w:color="auto"/>
            </w:tcBorders>
            <w:shd w:val="clear" w:color="auto" w:fill="auto"/>
            <w:vAlign w:val="center"/>
            <w:hideMark/>
          </w:tcPr>
          <w:p w:rsidR="0070717B" w:rsidRPr="00DD0D4E" w:rsidRDefault="00F2587F" w:rsidP="00C14EEF">
            <w:pPr>
              <w:jc w:val="right"/>
              <w:rPr>
                <w:rFonts w:ascii="Arial" w:hAnsi="Arial" w:cs="Arial"/>
                <w:sz w:val="20"/>
              </w:rPr>
            </w:pPr>
            <w:r>
              <w:rPr>
                <w:rFonts w:ascii="Arial" w:hAnsi="Arial"/>
                <w:sz w:val="20"/>
              </w:rPr>
              <w:t>9,82</w:t>
            </w:r>
          </w:p>
        </w:tc>
        <w:tc>
          <w:tcPr>
            <w:tcW w:w="1276" w:type="dxa"/>
            <w:tcBorders>
              <w:top w:val="nil"/>
              <w:left w:val="nil"/>
              <w:bottom w:val="single" w:sz="4" w:space="0" w:color="auto"/>
              <w:right w:val="single" w:sz="4" w:space="0" w:color="auto"/>
            </w:tcBorders>
            <w:shd w:val="clear" w:color="000000" w:fill="FFFF00"/>
            <w:vAlign w:val="center"/>
            <w:hideMark/>
          </w:tcPr>
          <w:p w:rsidR="0070717B" w:rsidRPr="00DD0D4E" w:rsidRDefault="00F2587F" w:rsidP="00C14EEF">
            <w:pPr>
              <w:jc w:val="right"/>
              <w:rPr>
                <w:rFonts w:ascii="Arial" w:hAnsi="Arial" w:cs="Arial"/>
                <w:sz w:val="20"/>
              </w:rPr>
            </w:pPr>
            <w:r>
              <w:rPr>
                <w:rFonts w:ascii="Arial" w:hAnsi="Arial"/>
                <w:sz w:val="20"/>
              </w:rPr>
              <w:t>9,82</w:t>
            </w:r>
          </w:p>
        </w:tc>
        <w:tc>
          <w:tcPr>
            <w:tcW w:w="1417" w:type="dxa"/>
            <w:tcBorders>
              <w:top w:val="nil"/>
              <w:left w:val="nil"/>
              <w:bottom w:val="single" w:sz="4" w:space="0" w:color="auto"/>
              <w:right w:val="single" w:sz="4" w:space="0" w:color="auto"/>
            </w:tcBorders>
            <w:shd w:val="clear" w:color="auto" w:fill="auto"/>
            <w:vAlign w:val="center"/>
            <w:hideMark/>
          </w:tcPr>
          <w:p w:rsidR="0070717B" w:rsidRPr="00DD0D4E" w:rsidRDefault="00F2587F" w:rsidP="00C14EEF">
            <w:pPr>
              <w:jc w:val="right"/>
              <w:rPr>
                <w:rFonts w:ascii="Arial" w:hAnsi="Arial" w:cs="Arial"/>
                <w:sz w:val="20"/>
              </w:rPr>
            </w:pPr>
            <w:r>
              <w:rPr>
                <w:rFonts w:ascii="Arial" w:hAnsi="Arial"/>
                <w:sz w:val="20"/>
              </w:rPr>
              <w:t>9,82</w:t>
            </w:r>
          </w:p>
        </w:tc>
        <w:tc>
          <w:tcPr>
            <w:tcW w:w="1134" w:type="dxa"/>
            <w:tcBorders>
              <w:top w:val="nil"/>
              <w:left w:val="nil"/>
              <w:bottom w:val="single" w:sz="4" w:space="0" w:color="auto"/>
              <w:right w:val="single" w:sz="4" w:space="0" w:color="auto"/>
            </w:tcBorders>
            <w:shd w:val="clear" w:color="auto" w:fill="auto"/>
            <w:vAlign w:val="center"/>
            <w:hideMark/>
          </w:tcPr>
          <w:p w:rsidR="0070717B" w:rsidRPr="00DD0D4E" w:rsidRDefault="00F2587F" w:rsidP="00C14EEF">
            <w:pPr>
              <w:jc w:val="right"/>
              <w:rPr>
                <w:rFonts w:ascii="Arial" w:hAnsi="Arial" w:cs="Arial"/>
                <w:sz w:val="20"/>
              </w:rPr>
            </w:pPr>
            <w:r>
              <w:rPr>
                <w:rFonts w:ascii="Arial" w:hAnsi="Arial"/>
                <w:sz w:val="20"/>
              </w:rPr>
              <w:t>9,82</w:t>
            </w:r>
          </w:p>
        </w:tc>
      </w:tr>
      <w:tr w:rsidR="0070717B" w:rsidRPr="00DD0D4E" w:rsidTr="0070717B">
        <w:trPr>
          <w:trHeight w:val="705"/>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70717B" w:rsidRPr="00DD0D4E" w:rsidRDefault="0070717B" w:rsidP="00C14EEF">
            <w:pPr>
              <w:jc w:val="left"/>
              <w:rPr>
                <w:rFonts w:ascii="Arial" w:hAnsi="Arial" w:cs="Arial"/>
                <w:color w:val="000000"/>
                <w:sz w:val="20"/>
              </w:rPr>
            </w:pPr>
            <w:r>
              <w:rPr>
                <w:rFonts w:ascii="Arial" w:hAnsi="Arial"/>
                <w:color w:val="000000"/>
                <w:sz w:val="20"/>
              </w:rPr>
              <w:t>Середнє споживання послуг з водовідведення домогосподарством (м</w:t>
            </w:r>
            <w:r w:rsidRPr="006C1529">
              <w:rPr>
                <w:rFonts w:ascii="Arial" w:hAnsi="Arial"/>
                <w:color w:val="000000"/>
                <w:sz w:val="20"/>
                <w:vertAlign w:val="superscript"/>
              </w:rPr>
              <w:t>3</w:t>
            </w:r>
            <w:r>
              <w:rPr>
                <w:rFonts w:ascii="Arial" w:hAnsi="Arial"/>
                <w:color w:val="000000"/>
                <w:sz w:val="20"/>
              </w:rPr>
              <w:t>/місяць)</w:t>
            </w:r>
          </w:p>
        </w:tc>
        <w:tc>
          <w:tcPr>
            <w:tcW w:w="1417" w:type="dxa"/>
            <w:tcBorders>
              <w:top w:val="nil"/>
              <w:left w:val="nil"/>
              <w:bottom w:val="single" w:sz="4" w:space="0" w:color="auto"/>
              <w:right w:val="single" w:sz="4" w:space="0" w:color="auto"/>
            </w:tcBorders>
            <w:shd w:val="clear" w:color="auto" w:fill="auto"/>
            <w:hideMark/>
          </w:tcPr>
          <w:p w:rsidR="0070717B" w:rsidRDefault="0070717B" w:rsidP="00C14EEF">
            <w:pPr>
              <w:jc w:val="right"/>
            </w:pPr>
            <w:r>
              <w:rPr>
                <w:rFonts w:ascii="Arial" w:hAnsi="Arial"/>
                <w:sz w:val="20"/>
              </w:rPr>
              <w:t>10,27</w:t>
            </w:r>
          </w:p>
        </w:tc>
        <w:tc>
          <w:tcPr>
            <w:tcW w:w="1418" w:type="dxa"/>
            <w:tcBorders>
              <w:top w:val="nil"/>
              <w:left w:val="nil"/>
              <w:bottom w:val="single" w:sz="4" w:space="0" w:color="auto"/>
              <w:right w:val="single" w:sz="4" w:space="0" w:color="auto"/>
            </w:tcBorders>
            <w:shd w:val="clear" w:color="auto" w:fill="auto"/>
            <w:hideMark/>
          </w:tcPr>
          <w:p w:rsidR="0070717B" w:rsidRDefault="0070717B" w:rsidP="00C14EEF">
            <w:pPr>
              <w:jc w:val="right"/>
            </w:pPr>
            <w:r>
              <w:rPr>
                <w:rFonts w:ascii="Arial" w:hAnsi="Arial"/>
                <w:sz w:val="20"/>
              </w:rPr>
              <w:t>10,27</w:t>
            </w:r>
          </w:p>
        </w:tc>
        <w:tc>
          <w:tcPr>
            <w:tcW w:w="1276" w:type="dxa"/>
            <w:tcBorders>
              <w:top w:val="nil"/>
              <w:left w:val="nil"/>
              <w:bottom w:val="single" w:sz="4" w:space="0" w:color="auto"/>
              <w:right w:val="single" w:sz="4" w:space="0" w:color="auto"/>
            </w:tcBorders>
            <w:shd w:val="clear" w:color="000000" w:fill="FFFF00"/>
            <w:hideMark/>
          </w:tcPr>
          <w:p w:rsidR="0070717B" w:rsidRDefault="0070717B" w:rsidP="00C14EEF">
            <w:pPr>
              <w:jc w:val="right"/>
            </w:pPr>
            <w:r>
              <w:rPr>
                <w:rFonts w:ascii="Arial" w:hAnsi="Arial"/>
                <w:sz w:val="20"/>
              </w:rPr>
              <w:t>10,27</w:t>
            </w:r>
          </w:p>
        </w:tc>
        <w:tc>
          <w:tcPr>
            <w:tcW w:w="1417" w:type="dxa"/>
            <w:tcBorders>
              <w:top w:val="nil"/>
              <w:left w:val="nil"/>
              <w:bottom w:val="single" w:sz="4" w:space="0" w:color="auto"/>
              <w:right w:val="single" w:sz="4" w:space="0" w:color="auto"/>
            </w:tcBorders>
            <w:shd w:val="clear" w:color="auto" w:fill="auto"/>
            <w:hideMark/>
          </w:tcPr>
          <w:p w:rsidR="0070717B" w:rsidRDefault="0070717B" w:rsidP="00C14EEF">
            <w:pPr>
              <w:jc w:val="right"/>
            </w:pPr>
            <w:r>
              <w:rPr>
                <w:rFonts w:ascii="Arial" w:hAnsi="Arial"/>
                <w:sz w:val="20"/>
              </w:rPr>
              <w:t>10,27</w:t>
            </w:r>
          </w:p>
        </w:tc>
        <w:tc>
          <w:tcPr>
            <w:tcW w:w="1134" w:type="dxa"/>
            <w:tcBorders>
              <w:top w:val="nil"/>
              <w:left w:val="nil"/>
              <w:bottom w:val="single" w:sz="4" w:space="0" w:color="auto"/>
              <w:right w:val="single" w:sz="4" w:space="0" w:color="auto"/>
            </w:tcBorders>
            <w:shd w:val="clear" w:color="auto" w:fill="auto"/>
            <w:hideMark/>
          </w:tcPr>
          <w:p w:rsidR="0070717B" w:rsidRDefault="0070717B" w:rsidP="00C14EEF">
            <w:pPr>
              <w:jc w:val="right"/>
            </w:pPr>
            <w:r>
              <w:rPr>
                <w:rFonts w:ascii="Arial" w:hAnsi="Arial"/>
                <w:sz w:val="20"/>
              </w:rPr>
              <w:t>10,27</w:t>
            </w:r>
          </w:p>
        </w:tc>
      </w:tr>
      <w:tr w:rsidR="0070717B" w:rsidRPr="00DD0D4E" w:rsidTr="0004226A">
        <w:trPr>
          <w:trHeight w:val="54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70717B" w:rsidRPr="00DD0D4E" w:rsidRDefault="0070717B" w:rsidP="00C14EEF">
            <w:pPr>
              <w:jc w:val="left"/>
              <w:rPr>
                <w:rFonts w:ascii="Arial" w:hAnsi="Arial" w:cs="Arial"/>
                <w:color w:val="000000"/>
                <w:sz w:val="20"/>
              </w:rPr>
            </w:pPr>
            <w:r>
              <w:rPr>
                <w:rFonts w:ascii="Arial" w:hAnsi="Arial"/>
                <w:color w:val="000000"/>
                <w:sz w:val="20"/>
              </w:rPr>
              <w:t>Тариф на Централізоване водопостачання (грн/м</w:t>
            </w:r>
            <w:r w:rsidRPr="006C1529">
              <w:rPr>
                <w:rFonts w:ascii="Arial" w:hAnsi="Arial"/>
                <w:color w:val="000000"/>
                <w:sz w:val="20"/>
                <w:vertAlign w:val="superscript"/>
              </w:rPr>
              <w:t>3</w:t>
            </w:r>
            <w:r>
              <w:rPr>
                <w:rFonts w:ascii="Arial" w:hAnsi="Arial"/>
                <w:color w:val="000000"/>
                <w:sz w:val="20"/>
              </w:rPr>
              <w:t>)</w:t>
            </w:r>
          </w:p>
        </w:tc>
        <w:tc>
          <w:tcPr>
            <w:tcW w:w="1417" w:type="dxa"/>
            <w:tcBorders>
              <w:top w:val="nil"/>
              <w:left w:val="nil"/>
              <w:bottom w:val="single" w:sz="4" w:space="0" w:color="auto"/>
              <w:right w:val="single" w:sz="4" w:space="0" w:color="auto"/>
            </w:tcBorders>
            <w:shd w:val="clear" w:color="auto" w:fill="auto"/>
            <w:vAlign w:val="center"/>
            <w:hideMark/>
          </w:tcPr>
          <w:p w:rsidR="0070717B" w:rsidRPr="00DD0D4E" w:rsidRDefault="0070717B" w:rsidP="00C14EEF">
            <w:pPr>
              <w:jc w:val="right"/>
              <w:rPr>
                <w:rFonts w:ascii="Arial" w:hAnsi="Arial" w:cs="Arial"/>
                <w:sz w:val="20"/>
              </w:rPr>
            </w:pPr>
            <w:r>
              <w:rPr>
                <w:rFonts w:ascii="Arial" w:hAnsi="Arial"/>
                <w:sz w:val="20"/>
              </w:rPr>
              <w:t>7 104</w:t>
            </w:r>
          </w:p>
        </w:tc>
        <w:tc>
          <w:tcPr>
            <w:tcW w:w="1418" w:type="dxa"/>
            <w:tcBorders>
              <w:top w:val="nil"/>
              <w:left w:val="nil"/>
              <w:bottom w:val="single" w:sz="4" w:space="0" w:color="auto"/>
              <w:right w:val="single" w:sz="4" w:space="0" w:color="auto"/>
            </w:tcBorders>
            <w:shd w:val="clear" w:color="auto" w:fill="auto"/>
            <w:vAlign w:val="center"/>
            <w:hideMark/>
          </w:tcPr>
          <w:p w:rsidR="0070717B" w:rsidRPr="00DD0D4E" w:rsidRDefault="0070717B" w:rsidP="00C14EEF">
            <w:pPr>
              <w:jc w:val="right"/>
              <w:rPr>
                <w:rFonts w:ascii="Arial" w:hAnsi="Arial" w:cs="Arial"/>
                <w:sz w:val="20"/>
              </w:rPr>
            </w:pPr>
            <w:r>
              <w:rPr>
                <w:rFonts w:ascii="Arial" w:hAnsi="Arial"/>
                <w:sz w:val="20"/>
              </w:rPr>
              <w:t>7 104</w:t>
            </w:r>
          </w:p>
        </w:tc>
        <w:tc>
          <w:tcPr>
            <w:tcW w:w="1276" w:type="dxa"/>
            <w:tcBorders>
              <w:top w:val="nil"/>
              <w:left w:val="nil"/>
              <w:bottom w:val="single" w:sz="4" w:space="0" w:color="auto"/>
              <w:right w:val="single" w:sz="4" w:space="0" w:color="auto"/>
            </w:tcBorders>
            <w:shd w:val="clear" w:color="000000" w:fill="FFFF00"/>
            <w:vAlign w:val="center"/>
            <w:hideMark/>
          </w:tcPr>
          <w:p w:rsidR="0070717B" w:rsidRPr="00DD0D4E" w:rsidRDefault="0070717B" w:rsidP="00C14EEF">
            <w:pPr>
              <w:jc w:val="right"/>
              <w:rPr>
                <w:rFonts w:ascii="Arial" w:hAnsi="Arial" w:cs="Arial"/>
                <w:sz w:val="20"/>
              </w:rPr>
            </w:pPr>
            <w:r>
              <w:rPr>
                <w:rFonts w:ascii="Arial" w:hAnsi="Arial"/>
                <w:sz w:val="20"/>
              </w:rPr>
              <w:t>7 104</w:t>
            </w:r>
          </w:p>
        </w:tc>
        <w:tc>
          <w:tcPr>
            <w:tcW w:w="1417" w:type="dxa"/>
            <w:tcBorders>
              <w:top w:val="nil"/>
              <w:left w:val="nil"/>
              <w:bottom w:val="single" w:sz="4" w:space="0" w:color="auto"/>
              <w:right w:val="single" w:sz="4" w:space="0" w:color="auto"/>
            </w:tcBorders>
            <w:shd w:val="clear" w:color="auto" w:fill="auto"/>
            <w:vAlign w:val="center"/>
            <w:hideMark/>
          </w:tcPr>
          <w:p w:rsidR="0070717B" w:rsidRPr="00DD0D4E" w:rsidRDefault="0070717B" w:rsidP="00C14EEF">
            <w:pPr>
              <w:jc w:val="right"/>
              <w:rPr>
                <w:rFonts w:ascii="Arial" w:hAnsi="Arial" w:cs="Arial"/>
                <w:sz w:val="20"/>
              </w:rPr>
            </w:pPr>
            <w:r>
              <w:rPr>
                <w:rFonts w:ascii="Arial" w:hAnsi="Arial"/>
                <w:sz w:val="20"/>
              </w:rPr>
              <w:t>7 104</w:t>
            </w:r>
          </w:p>
        </w:tc>
        <w:tc>
          <w:tcPr>
            <w:tcW w:w="1134" w:type="dxa"/>
            <w:tcBorders>
              <w:top w:val="nil"/>
              <w:left w:val="nil"/>
              <w:bottom w:val="single" w:sz="4" w:space="0" w:color="auto"/>
              <w:right w:val="single" w:sz="4" w:space="0" w:color="auto"/>
            </w:tcBorders>
            <w:shd w:val="clear" w:color="auto" w:fill="auto"/>
            <w:vAlign w:val="center"/>
            <w:hideMark/>
          </w:tcPr>
          <w:p w:rsidR="0070717B" w:rsidRPr="00DD0D4E" w:rsidRDefault="0070717B" w:rsidP="00C14EEF">
            <w:pPr>
              <w:jc w:val="right"/>
              <w:rPr>
                <w:rFonts w:ascii="Arial" w:hAnsi="Arial" w:cs="Arial"/>
                <w:sz w:val="20"/>
              </w:rPr>
            </w:pPr>
            <w:r>
              <w:rPr>
                <w:rFonts w:ascii="Arial" w:hAnsi="Arial"/>
                <w:sz w:val="20"/>
              </w:rPr>
              <w:t>7 104</w:t>
            </w:r>
          </w:p>
        </w:tc>
      </w:tr>
      <w:tr w:rsidR="0070717B" w:rsidRPr="00DD0D4E" w:rsidTr="0004226A">
        <w:trPr>
          <w:trHeight w:val="585"/>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70717B" w:rsidRPr="00DD0D4E" w:rsidRDefault="0070717B" w:rsidP="00C14EEF">
            <w:pPr>
              <w:jc w:val="left"/>
              <w:rPr>
                <w:rFonts w:ascii="Arial" w:hAnsi="Arial" w:cs="Arial"/>
                <w:color w:val="000000"/>
                <w:sz w:val="20"/>
              </w:rPr>
            </w:pPr>
            <w:r>
              <w:rPr>
                <w:rFonts w:ascii="Arial" w:hAnsi="Arial"/>
                <w:color w:val="000000"/>
                <w:sz w:val="20"/>
              </w:rPr>
              <w:t>Тариф на Централізоване водовідведення</w:t>
            </w:r>
            <w:r w:rsidR="00CB1B48">
              <w:rPr>
                <w:rFonts w:ascii="Arial" w:hAnsi="Arial"/>
                <w:color w:val="000000"/>
                <w:sz w:val="20"/>
              </w:rPr>
              <w:t xml:space="preserve"> </w:t>
            </w:r>
            <w:r>
              <w:rPr>
                <w:rFonts w:ascii="Arial" w:hAnsi="Arial"/>
                <w:color w:val="000000"/>
                <w:sz w:val="20"/>
              </w:rPr>
              <w:t>(грн/м</w:t>
            </w:r>
            <w:r w:rsidRPr="006C1529">
              <w:rPr>
                <w:rFonts w:ascii="Arial" w:hAnsi="Arial"/>
                <w:color w:val="000000"/>
                <w:sz w:val="20"/>
                <w:vertAlign w:val="superscript"/>
              </w:rPr>
              <w:t>3</w:t>
            </w:r>
            <w:r>
              <w:rPr>
                <w:rFonts w:ascii="Arial" w:hAnsi="Arial"/>
                <w:color w:val="000000"/>
                <w:sz w:val="20"/>
              </w:rPr>
              <w:t>)</w:t>
            </w:r>
          </w:p>
        </w:tc>
        <w:tc>
          <w:tcPr>
            <w:tcW w:w="1417" w:type="dxa"/>
            <w:tcBorders>
              <w:top w:val="nil"/>
              <w:left w:val="nil"/>
              <w:bottom w:val="single" w:sz="4" w:space="0" w:color="auto"/>
              <w:right w:val="single" w:sz="4" w:space="0" w:color="auto"/>
            </w:tcBorders>
            <w:shd w:val="clear" w:color="auto" w:fill="auto"/>
            <w:vAlign w:val="center"/>
            <w:hideMark/>
          </w:tcPr>
          <w:p w:rsidR="0070717B" w:rsidRPr="00DD0D4E" w:rsidRDefault="0070717B" w:rsidP="00C14EEF">
            <w:pPr>
              <w:jc w:val="right"/>
              <w:rPr>
                <w:rFonts w:ascii="Arial" w:hAnsi="Arial" w:cs="Arial"/>
                <w:sz w:val="20"/>
              </w:rPr>
            </w:pPr>
            <w:r>
              <w:rPr>
                <w:rFonts w:ascii="Arial" w:hAnsi="Arial"/>
                <w:sz w:val="20"/>
              </w:rPr>
              <w:t>7 944</w:t>
            </w:r>
          </w:p>
        </w:tc>
        <w:tc>
          <w:tcPr>
            <w:tcW w:w="1418" w:type="dxa"/>
            <w:tcBorders>
              <w:top w:val="nil"/>
              <w:left w:val="nil"/>
              <w:bottom w:val="single" w:sz="4" w:space="0" w:color="auto"/>
              <w:right w:val="single" w:sz="4" w:space="0" w:color="auto"/>
            </w:tcBorders>
            <w:shd w:val="clear" w:color="auto" w:fill="auto"/>
            <w:vAlign w:val="center"/>
            <w:hideMark/>
          </w:tcPr>
          <w:p w:rsidR="0070717B" w:rsidRPr="00DD0D4E" w:rsidRDefault="0070717B" w:rsidP="00C14EEF">
            <w:pPr>
              <w:jc w:val="right"/>
              <w:rPr>
                <w:rFonts w:ascii="Arial" w:hAnsi="Arial" w:cs="Arial"/>
                <w:sz w:val="20"/>
              </w:rPr>
            </w:pPr>
            <w:r>
              <w:rPr>
                <w:rFonts w:ascii="Arial" w:hAnsi="Arial"/>
                <w:sz w:val="20"/>
              </w:rPr>
              <w:t>7 944</w:t>
            </w:r>
          </w:p>
        </w:tc>
        <w:tc>
          <w:tcPr>
            <w:tcW w:w="1276" w:type="dxa"/>
            <w:tcBorders>
              <w:top w:val="nil"/>
              <w:left w:val="nil"/>
              <w:bottom w:val="single" w:sz="4" w:space="0" w:color="auto"/>
              <w:right w:val="single" w:sz="4" w:space="0" w:color="auto"/>
            </w:tcBorders>
            <w:shd w:val="clear" w:color="000000" w:fill="FFFF00"/>
            <w:vAlign w:val="center"/>
            <w:hideMark/>
          </w:tcPr>
          <w:p w:rsidR="0070717B" w:rsidRPr="00DD0D4E" w:rsidRDefault="0070717B" w:rsidP="00C14EEF">
            <w:pPr>
              <w:jc w:val="right"/>
              <w:rPr>
                <w:rFonts w:ascii="Arial" w:hAnsi="Arial" w:cs="Arial"/>
                <w:sz w:val="20"/>
              </w:rPr>
            </w:pPr>
            <w:r>
              <w:rPr>
                <w:rFonts w:ascii="Arial" w:hAnsi="Arial"/>
                <w:sz w:val="20"/>
              </w:rPr>
              <w:t>7 944</w:t>
            </w:r>
          </w:p>
        </w:tc>
        <w:tc>
          <w:tcPr>
            <w:tcW w:w="1417" w:type="dxa"/>
            <w:tcBorders>
              <w:top w:val="nil"/>
              <w:left w:val="nil"/>
              <w:bottom w:val="single" w:sz="4" w:space="0" w:color="auto"/>
              <w:right w:val="single" w:sz="4" w:space="0" w:color="auto"/>
            </w:tcBorders>
            <w:shd w:val="clear" w:color="auto" w:fill="auto"/>
            <w:vAlign w:val="center"/>
            <w:hideMark/>
          </w:tcPr>
          <w:p w:rsidR="0070717B" w:rsidRPr="00DD0D4E" w:rsidRDefault="0070717B" w:rsidP="00C14EEF">
            <w:pPr>
              <w:jc w:val="right"/>
              <w:rPr>
                <w:rFonts w:ascii="Arial" w:hAnsi="Arial" w:cs="Arial"/>
                <w:sz w:val="20"/>
              </w:rPr>
            </w:pPr>
            <w:r>
              <w:rPr>
                <w:rFonts w:ascii="Arial" w:hAnsi="Arial"/>
                <w:sz w:val="20"/>
              </w:rPr>
              <w:t>7 944</w:t>
            </w:r>
          </w:p>
        </w:tc>
        <w:tc>
          <w:tcPr>
            <w:tcW w:w="1134" w:type="dxa"/>
            <w:tcBorders>
              <w:top w:val="nil"/>
              <w:left w:val="nil"/>
              <w:bottom w:val="single" w:sz="4" w:space="0" w:color="auto"/>
              <w:right w:val="single" w:sz="4" w:space="0" w:color="auto"/>
            </w:tcBorders>
            <w:shd w:val="clear" w:color="auto" w:fill="auto"/>
            <w:vAlign w:val="center"/>
            <w:hideMark/>
          </w:tcPr>
          <w:p w:rsidR="0070717B" w:rsidRPr="00DD0D4E" w:rsidRDefault="0070717B" w:rsidP="00C14EEF">
            <w:pPr>
              <w:jc w:val="right"/>
              <w:rPr>
                <w:rFonts w:ascii="Arial" w:hAnsi="Arial" w:cs="Arial"/>
                <w:sz w:val="20"/>
              </w:rPr>
            </w:pPr>
            <w:r>
              <w:rPr>
                <w:rFonts w:ascii="Arial" w:hAnsi="Arial"/>
                <w:sz w:val="20"/>
              </w:rPr>
              <w:t>7 944</w:t>
            </w:r>
          </w:p>
        </w:tc>
      </w:tr>
      <w:tr w:rsidR="0070717B" w:rsidRPr="00DD0D4E" w:rsidTr="0004226A">
        <w:trPr>
          <w:trHeight w:val="78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70717B" w:rsidRPr="00DD0D4E" w:rsidRDefault="0070717B" w:rsidP="00C14EEF">
            <w:pPr>
              <w:jc w:val="left"/>
              <w:rPr>
                <w:rFonts w:ascii="Arial" w:hAnsi="Arial" w:cs="Arial"/>
                <w:color w:val="000000"/>
                <w:sz w:val="20"/>
              </w:rPr>
            </w:pPr>
            <w:r>
              <w:rPr>
                <w:rFonts w:ascii="Arial" w:hAnsi="Arial"/>
                <w:color w:val="000000"/>
                <w:sz w:val="20"/>
              </w:rPr>
              <w:t>Щомісячні витрати домогосподарств на послуги з водопостачання (грн/місяць)</w:t>
            </w:r>
          </w:p>
        </w:tc>
        <w:tc>
          <w:tcPr>
            <w:tcW w:w="1417" w:type="dxa"/>
            <w:tcBorders>
              <w:top w:val="nil"/>
              <w:left w:val="nil"/>
              <w:bottom w:val="single" w:sz="4" w:space="0" w:color="auto"/>
              <w:right w:val="single" w:sz="4" w:space="0" w:color="auto"/>
            </w:tcBorders>
            <w:shd w:val="clear" w:color="auto" w:fill="auto"/>
            <w:vAlign w:val="center"/>
            <w:hideMark/>
          </w:tcPr>
          <w:p w:rsidR="0070717B" w:rsidRPr="00DD0D4E" w:rsidRDefault="00F2587F" w:rsidP="00C14EEF">
            <w:pPr>
              <w:jc w:val="right"/>
              <w:rPr>
                <w:rFonts w:ascii="Arial" w:hAnsi="Arial" w:cs="Arial"/>
                <w:sz w:val="20"/>
              </w:rPr>
            </w:pPr>
            <w:r>
              <w:rPr>
                <w:rFonts w:ascii="Arial" w:hAnsi="Arial"/>
                <w:sz w:val="20"/>
              </w:rPr>
              <w:t>69,76</w:t>
            </w:r>
          </w:p>
        </w:tc>
        <w:tc>
          <w:tcPr>
            <w:tcW w:w="1418" w:type="dxa"/>
            <w:tcBorders>
              <w:top w:val="nil"/>
              <w:left w:val="nil"/>
              <w:bottom w:val="single" w:sz="4" w:space="0" w:color="auto"/>
              <w:right w:val="single" w:sz="4" w:space="0" w:color="auto"/>
            </w:tcBorders>
            <w:shd w:val="clear" w:color="auto" w:fill="auto"/>
            <w:vAlign w:val="center"/>
            <w:hideMark/>
          </w:tcPr>
          <w:p w:rsidR="0070717B" w:rsidRPr="00DD0D4E" w:rsidRDefault="00F2587F" w:rsidP="00C14EEF">
            <w:pPr>
              <w:jc w:val="right"/>
              <w:rPr>
                <w:rFonts w:ascii="Arial" w:hAnsi="Arial" w:cs="Arial"/>
                <w:sz w:val="20"/>
              </w:rPr>
            </w:pPr>
            <w:r>
              <w:rPr>
                <w:rFonts w:ascii="Arial" w:hAnsi="Arial"/>
                <w:sz w:val="20"/>
              </w:rPr>
              <w:t>69,76</w:t>
            </w:r>
          </w:p>
        </w:tc>
        <w:tc>
          <w:tcPr>
            <w:tcW w:w="1276" w:type="dxa"/>
            <w:tcBorders>
              <w:top w:val="nil"/>
              <w:left w:val="nil"/>
              <w:bottom w:val="single" w:sz="4" w:space="0" w:color="auto"/>
              <w:right w:val="single" w:sz="4" w:space="0" w:color="auto"/>
            </w:tcBorders>
            <w:shd w:val="clear" w:color="000000" w:fill="FFFF00"/>
            <w:vAlign w:val="center"/>
            <w:hideMark/>
          </w:tcPr>
          <w:p w:rsidR="0070717B" w:rsidRPr="00DD0D4E" w:rsidRDefault="00F2587F" w:rsidP="00C14EEF">
            <w:pPr>
              <w:jc w:val="right"/>
              <w:rPr>
                <w:rFonts w:ascii="Arial" w:hAnsi="Arial" w:cs="Arial"/>
                <w:sz w:val="20"/>
              </w:rPr>
            </w:pPr>
            <w:r>
              <w:rPr>
                <w:rFonts w:ascii="Arial" w:hAnsi="Arial"/>
                <w:sz w:val="20"/>
              </w:rPr>
              <w:t>69,76</w:t>
            </w:r>
          </w:p>
        </w:tc>
        <w:tc>
          <w:tcPr>
            <w:tcW w:w="1417" w:type="dxa"/>
            <w:tcBorders>
              <w:top w:val="nil"/>
              <w:left w:val="nil"/>
              <w:bottom w:val="single" w:sz="4" w:space="0" w:color="auto"/>
              <w:right w:val="single" w:sz="4" w:space="0" w:color="auto"/>
            </w:tcBorders>
            <w:shd w:val="clear" w:color="auto" w:fill="auto"/>
            <w:vAlign w:val="center"/>
            <w:hideMark/>
          </w:tcPr>
          <w:p w:rsidR="0070717B" w:rsidRPr="00DD0D4E" w:rsidRDefault="00F2587F" w:rsidP="00C14EEF">
            <w:pPr>
              <w:jc w:val="right"/>
              <w:rPr>
                <w:rFonts w:ascii="Arial" w:hAnsi="Arial" w:cs="Arial"/>
                <w:sz w:val="20"/>
              </w:rPr>
            </w:pPr>
            <w:r>
              <w:rPr>
                <w:rFonts w:ascii="Arial" w:hAnsi="Arial"/>
                <w:sz w:val="20"/>
              </w:rPr>
              <w:t>69,76</w:t>
            </w:r>
          </w:p>
        </w:tc>
        <w:tc>
          <w:tcPr>
            <w:tcW w:w="1134" w:type="dxa"/>
            <w:tcBorders>
              <w:top w:val="nil"/>
              <w:left w:val="nil"/>
              <w:bottom w:val="single" w:sz="4" w:space="0" w:color="auto"/>
              <w:right w:val="single" w:sz="4" w:space="0" w:color="auto"/>
            </w:tcBorders>
            <w:shd w:val="clear" w:color="auto" w:fill="auto"/>
            <w:vAlign w:val="center"/>
            <w:hideMark/>
          </w:tcPr>
          <w:p w:rsidR="0070717B" w:rsidRPr="00DD0D4E" w:rsidRDefault="00F2587F" w:rsidP="00C14EEF">
            <w:pPr>
              <w:jc w:val="right"/>
              <w:rPr>
                <w:rFonts w:ascii="Arial" w:hAnsi="Arial" w:cs="Arial"/>
                <w:sz w:val="20"/>
              </w:rPr>
            </w:pPr>
            <w:r>
              <w:rPr>
                <w:rFonts w:ascii="Arial" w:hAnsi="Arial"/>
                <w:sz w:val="20"/>
              </w:rPr>
              <w:t>69,76</w:t>
            </w:r>
          </w:p>
        </w:tc>
      </w:tr>
      <w:tr w:rsidR="0070717B" w:rsidRPr="00DD0D4E" w:rsidTr="0004226A">
        <w:trPr>
          <w:trHeight w:val="765"/>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70717B" w:rsidRPr="00DD0D4E" w:rsidRDefault="0070717B" w:rsidP="00C14EEF">
            <w:pPr>
              <w:jc w:val="left"/>
              <w:rPr>
                <w:rFonts w:ascii="Arial" w:hAnsi="Arial" w:cs="Arial"/>
                <w:color w:val="000000"/>
                <w:sz w:val="20"/>
              </w:rPr>
            </w:pPr>
            <w:r>
              <w:rPr>
                <w:rFonts w:ascii="Arial" w:hAnsi="Arial"/>
                <w:color w:val="000000"/>
                <w:sz w:val="20"/>
              </w:rPr>
              <w:t>Щомісячні витрати домогосподарств на послуги з водовідведення</w:t>
            </w:r>
            <w:r w:rsidR="00CB1B48">
              <w:rPr>
                <w:rFonts w:ascii="Arial" w:hAnsi="Arial"/>
                <w:color w:val="000000"/>
                <w:sz w:val="20"/>
              </w:rPr>
              <w:t xml:space="preserve"> </w:t>
            </w:r>
            <w:r>
              <w:rPr>
                <w:rFonts w:ascii="Arial" w:hAnsi="Arial"/>
                <w:color w:val="000000"/>
                <w:sz w:val="20"/>
              </w:rPr>
              <w:t>(грн/місяць)</w:t>
            </w:r>
          </w:p>
        </w:tc>
        <w:tc>
          <w:tcPr>
            <w:tcW w:w="1417" w:type="dxa"/>
            <w:tcBorders>
              <w:top w:val="nil"/>
              <w:left w:val="nil"/>
              <w:bottom w:val="single" w:sz="4" w:space="0" w:color="auto"/>
              <w:right w:val="single" w:sz="4" w:space="0" w:color="auto"/>
            </w:tcBorders>
            <w:shd w:val="clear" w:color="auto" w:fill="auto"/>
            <w:vAlign w:val="center"/>
            <w:hideMark/>
          </w:tcPr>
          <w:p w:rsidR="0070717B" w:rsidRPr="00DD0D4E" w:rsidRDefault="00F2587F" w:rsidP="00C14EEF">
            <w:pPr>
              <w:jc w:val="right"/>
              <w:rPr>
                <w:rFonts w:ascii="Arial" w:hAnsi="Arial" w:cs="Arial"/>
                <w:sz w:val="20"/>
              </w:rPr>
            </w:pPr>
            <w:r>
              <w:rPr>
                <w:rFonts w:ascii="Arial" w:hAnsi="Arial"/>
                <w:sz w:val="20"/>
              </w:rPr>
              <w:t>81,58</w:t>
            </w:r>
          </w:p>
        </w:tc>
        <w:tc>
          <w:tcPr>
            <w:tcW w:w="1418" w:type="dxa"/>
            <w:tcBorders>
              <w:top w:val="nil"/>
              <w:left w:val="nil"/>
              <w:bottom w:val="single" w:sz="4" w:space="0" w:color="auto"/>
              <w:right w:val="single" w:sz="4" w:space="0" w:color="auto"/>
            </w:tcBorders>
            <w:shd w:val="clear" w:color="auto" w:fill="auto"/>
            <w:vAlign w:val="center"/>
            <w:hideMark/>
          </w:tcPr>
          <w:p w:rsidR="0070717B" w:rsidRPr="00DD0D4E" w:rsidRDefault="00F2587F" w:rsidP="00C14EEF">
            <w:pPr>
              <w:jc w:val="right"/>
              <w:rPr>
                <w:rFonts w:ascii="Arial" w:hAnsi="Arial" w:cs="Arial"/>
                <w:sz w:val="20"/>
              </w:rPr>
            </w:pPr>
            <w:r>
              <w:rPr>
                <w:rFonts w:ascii="Arial" w:hAnsi="Arial"/>
                <w:sz w:val="20"/>
              </w:rPr>
              <w:t>81,58</w:t>
            </w:r>
          </w:p>
        </w:tc>
        <w:tc>
          <w:tcPr>
            <w:tcW w:w="1276" w:type="dxa"/>
            <w:tcBorders>
              <w:top w:val="nil"/>
              <w:left w:val="nil"/>
              <w:bottom w:val="single" w:sz="4" w:space="0" w:color="auto"/>
              <w:right w:val="single" w:sz="4" w:space="0" w:color="auto"/>
            </w:tcBorders>
            <w:shd w:val="clear" w:color="000000" w:fill="FFFF00"/>
            <w:vAlign w:val="center"/>
            <w:hideMark/>
          </w:tcPr>
          <w:p w:rsidR="0070717B" w:rsidRPr="00DD0D4E" w:rsidRDefault="00F2587F" w:rsidP="00C14EEF">
            <w:pPr>
              <w:jc w:val="right"/>
              <w:rPr>
                <w:rFonts w:ascii="Arial" w:hAnsi="Arial" w:cs="Arial"/>
                <w:sz w:val="20"/>
              </w:rPr>
            </w:pPr>
            <w:r>
              <w:rPr>
                <w:rFonts w:ascii="Arial" w:hAnsi="Arial"/>
                <w:sz w:val="20"/>
              </w:rPr>
              <w:t>81,58</w:t>
            </w:r>
          </w:p>
        </w:tc>
        <w:tc>
          <w:tcPr>
            <w:tcW w:w="1417" w:type="dxa"/>
            <w:tcBorders>
              <w:top w:val="nil"/>
              <w:left w:val="nil"/>
              <w:bottom w:val="single" w:sz="4" w:space="0" w:color="auto"/>
              <w:right w:val="single" w:sz="4" w:space="0" w:color="auto"/>
            </w:tcBorders>
            <w:shd w:val="clear" w:color="auto" w:fill="auto"/>
            <w:vAlign w:val="center"/>
            <w:hideMark/>
          </w:tcPr>
          <w:p w:rsidR="0070717B" w:rsidRPr="00DD0D4E" w:rsidRDefault="00F2587F" w:rsidP="00C14EEF">
            <w:pPr>
              <w:jc w:val="right"/>
              <w:rPr>
                <w:rFonts w:ascii="Arial" w:hAnsi="Arial" w:cs="Arial"/>
                <w:sz w:val="20"/>
              </w:rPr>
            </w:pPr>
            <w:r>
              <w:rPr>
                <w:rFonts w:ascii="Arial" w:hAnsi="Arial"/>
                <w:sz w:val="20"/>
              </w:rPr>
              <w:t>81,58</w:t>
            </w:r>
          </w:p>
        </w:tc>
        <w:tc>
          <w:tcPr>
            <w:tcW w:w="1134" w:type="dxa"/>
            <w:tcBorders>
              <w:top w:val="nil"/>
              <w:left w:val="nil"/>
              <w:bottom w:val="single" w:sz="4" w:space="0" w:color="auto"/>
              <w:right w:val="single" w:sz="4" w:space="0" w:color="auto"/>
            </w:tcBorders>
            <w:shd w:val="clear" w:color="auto" w:fill="auto"/>
            <w:vAlign w:val="center"/>
            <w:hideMark/>
          </w:tcPr>
          <w:p w:rsidR="0070717B" w:rsidRPr="00DD0D4E" w:rsidRDefault="00F2587F" w:rsidP="00C14EEF">
            <w:pPr>
              <w:jc w:val="right"/>
              <w:rPr>
                <w:rFonts w:ascii="Arial" w:hAnsi="Arial" w:cs="Arial"/>
                <w:sz w:val="20"/>
              </w:rPr>
            </w:pPr>
            <w:r>
              <w:rPr>
                <w:rFonts w:ascii="Arial" w:hAnsi="Arial"/>
                <w:sz w:val="20"/>
              </w:rPr>
              <w:t>81,58</w:t>
            </w:r>
          </w:p>
        </w:tc>
      </w:tr>
      <w:tr w:rsidR="00D13A56" w:rsidRPr="00DD0D4E" w:rsidTr="0004226A">
        <w:trPr>
          <w:trHeight w:val="960"/>
        </w:trPr>
        <w:tc>
          <w:tcPr>
            <w:tcW w:w="2567" w:type="dxa"/>
            <w:tcBorders>
              <w:top w:val="nil"/>
              <w:left w:val="single" w:sz="4" w:space="0" w:color="auto"/>
              <w:bottom w:val="single" w:sz="4" w:space="0" w:color="auto"/>
              <w:right w:val="single" w:sz="4" w:space="0" w:color="auto"/>
            </w:tcBorders>
            <w:shd w:val="clear" w:color="auto" w:fill="auto"/>
            <w:vAlign w:val="center"/>
            <w:hideMark/>
          </w:tcPr>
          <w:p w:rsidR="00D13A56" w:rsidRPr="00DD0D4E" w:rsidRDefault="00D13A56" w:rsidP="00C14EEF">
            <w:pPr>
              <w:jc w:val="left"/>
              <w:rPr>
                <w:rFonts w:ascii="Arial" w:hAnsi="Arial" w:cs="Arial"/>
                <w:b/>
                <w:bCs/>
                <w:color w:val="000000"/>
                <w:sz w:val="20"/>
              </w:rPr>
            </w:pPr>
            <w:r>
              <w:rPr>
                <w:rFonts w:ascii="Arial" w:hAnsi="Arial"/>
                <w:b/>
                <w:bCs/>
                <w:color w:val="000000"/>
                <w:sz w:val="20"/>
              </w:rPr>
              <w:t>Частка витрат на послуги з водопостачання/водовідведення у доходах домогосподарств (%)</w:t>
            </w:r>
          </w:p>
        </w:tc>
        <w:tc>
          <w:tcPr>
            <w:tcW w:w="1417" w:type="dxa"/>
            <w:tcBorders>
              <w:top w:val="nil"/>
              <w:left w:val="nil"/>
              <w:bottom w:val="single" w:sz="4" w:space="0" w:color="auto"/>
              <w:right w:val="single" w:sz="4" w:space="0" w:color="auto"/>
            </w:tcBorders>
            <w:shd w:val="clear" w:color="auto" w:fill="auto"/>
            <w:vAlign w:val="center"/>
            <w:hideMark/>
          </w:tcPr>
          <w:p w:rsidR="00D13A56" w:rsidRPr="00DD0D4E" w:rsidRDefault="0070717B" w:rsidP="00C14EEF">
            <w:pPr>
              <w:ind w:firstLineChars="100" w:firstLine="201"/>
              <w:jc w:val="right"/>
              <w:rPr>
                <w:rFonts w:ascii="Arial" w:hAnsi="Arial" w:cs="Arial"/>
                <w:b/>
                <w:bCs/>
                <w:color w:val="000000"/>
                <w:sz w:val="20"/>
              </w:rPr>
            </w:pPr>
            <w:r>
              <w:rPr>
                <w:rFonts w:ascii="Arial" w:hAnsi="Arial"/>
                <w:b/>
                <w:bCs/>
                <w:color w:val="000000"/>
                <w:sz w:val="20"/>
              </w:rPr>
              <w:t>4,46</w:t>
            </w:r>
          </w:p>
        </w:tc>
        <w:tc>
          <w:tcPr>
            <w:tcW w:w="1418" w:type="dxa"/>
            <w:tcBorders>
              <w:top w:val="nil"/>
              <w:left w:val="nil"/>
              <w:bottom w:val="single" w:sz="4" w:space="0" w:color="auto"/>
              <w:right w:val="single" w:sz="4" w:space="0" w:color="auto"/>
            </w:tcBorders>
            <w:shd w:val="clear" w:color="auto" w:fill="auto"/>
            <w:vAlign w:val="center"/>
            <w:hideMark/>
          </w:tcPr>
          <w:p w:rsidR="00D13A56" w:rsidRPr="00DD0D4E" w:rsidRDefault="0070717B" w:rsidP="00C14EEF">
            <w:pPr>
              <w:ind w:firstLineChars="100" w:firstLine="201"/>
              <w:jc w:val="right"/>
              <w:rPr>
                <w:rFonts w:ascii="Arial" w:hAnsi="Arial" w:cs="Arial"/>
                <w:b/>
                <w:bCs/>
                <w:color w:val="000000"/>
                <w:sz w:val="20"/>
              </w:rPr>
            </w:pPr>
            <w:r>
              <w:rPr>
                <w:rFonts w:ascii="Arial" w:hAnsi="Arial"/>
                <w:b/>
                <w:bCs/>
                <w:color w:val="000000"/>
                <w:sz w:val="20"/>
              </w:rPr>
              <w:t>2,35</w:t>
            </w:r>
          </w:p>
        </w:tc>
        <w:tc>
          <w:tcPr>
            <w:tcW w:w="1276" w:type="dxa"/>
            <w:tcBorders>
              <w:top w:val="nil"/>
              <w:left w:val="nil"/>
              <w:bottom w:val="single" w:sz="4" w:space="0" w:color="auto"/>
              <w:right w:val="single" w:sz="4" w:space="0" w:color="auto"/>
            </w:tcBorders>
            <w:shd w:val="clear" w:color="000000" w:fill="FFFF00"/>
            <w:vAlign w:val="center"/>
            <w:hideMark/>
          </w:tcPr>
          <w:p w:rsidR="00D13A56" w:rsidRPr="00DD0D4E" w:rsidRDefault="00F228D6" w:rsidP="00C14EEF">
            <w:pPr>
              <w:ind w:firstLineChars="100" w:firstLine="201"/>
              <w:jc w:val="right"/>
              <w:rPr>
                <w:rFonts w:ascii="Arial" w:hAnsi="Arial" w:cs="Arial"/>
                <w:b/>
                <w:bCs/>
                <w:color w:val="000000"/>
                <w:sz w:val="20"/>
              </w:rPr>
            </w:pPr>
            <w:r>
              <w:rPr>
                <w:rFonts w:ascii="Arial" w:hAnsi="Arial"/>
                <w:b/>
                <w:bCs/>
                <w:color w:val="000000"/>
                <w:sz w:val="20"/>
              </w:rPr>
              <w:t>1,24</w:t>
            </w:r>
          </w:p>
        </w:tc>
        <w:tc>
          <w:tcPr>
            <w:tcW w:w="1417" w:type="dxa"/>
            <w:tcBorders>
              <w:top w:val="nil"/>
              <w:left w:val="nil"/>
              <w:bottom w:val="single" w:sz="4" w:space="0" w:color="auto"/>
              <w:right w:val="single" w:sz="4" w:space="0" w:color="auto"/>
            </w:tcBorders>
            <w:shd w:val="clear" w:color="auto" w:fill="auto"/>
            <w:vAlign w:val="center"/>
            <w:hideMark/>
          </w:tcPr>
          <w:p w:rsidR="00D13A56" w:rsidRPr="00DD0D4E" w:rsidRDefault="00F228D6" w:rsidP="00C14EEF">
            <w:pPr>
              <w:ind w:firstLineChars="100" w:firstLine="201"/>
              <w:jc w:val="right"/>
              <w:rPr>
                <w:rFonts w:ascii="Arial" w:hAnsi="Arial" w:cs="Arial"/>
                <w:b/>
                <w:bCs/>
                <w:color w:val="000000"/>
                <w:sz w:val="20"/>
              </w:rPr>
            </w:pPr>
            <w:r>
              <w:rPr>
                <w:rFonts w:ascii="Arial" w:hAnsi="Arial"/>
                <w:b/>
                <w:bCs/>
                <w:color w:val="000000"/>
                <w:sz w:val="20"/>
              </w:rPr>
              <w:t>0,65</w:t>
            </w:r>
          </w:p>
        </w:tc>
        <w:tc>
          <w:tcPr>
            <w:tcW w:w="1134" w:type="dxa"/>
            <w:tcBorders>
              <w:top w:val="nil"/>
              <w:left w:val="nil"/>
              <w:bottom w:val="single" w:sz="4" w:space="0" w:color="auto"/>
              <w:right w:val="single" w:sz="4" w:space="0" w:color="auto"/>
            </w:tcBorders>
            <w:shd w:val="clear" w:color="auto" w:fill="auto"/>
            <w:vAlign w:val="center"/>
            <w:hideMark/>
          </w:tcPr>
          <w:p w:rsidR="00D13A56" w:rsidRPr="00DD0D4E" w:rsidRDefault="00F228D6" w:rsidP="00C14EEF">
            <w:pPr>
              <w:ind w:firstLineChars="100" w:firstLine="201"/>
              <w:jc w:val="right"/>
              <w:rPr>
                <w:rFonts w:ascii="Arial" w:hAnsi="Arial" w:cs="Arial"/>
                <w:b/>
                <w:bCs/>
                <w:color w:val="000000"/>
                <w:sz w:val="20"/>
              </w:rPr>
            </w:pPr>
            <w:r>
              <w:rPr>
                <w:rFonts w:ascii="Arial" w:hAnsi="Arial"/>
                <w:b/>
                <w:bCs/>
                <w:color w:val="000000"/>
                <w:sz w:val="20"/>
              </w:rPr>
              <w:t>0,34</w:t>
            </w:r>
          </w:p>
        </w:tc>
      </w:tr>
    </w:tbl>
    <w:p w:rsidR="00A21E0F" w:rsidRPr="00AF614D" w:rsidRDefault="00A21E0F" w:rsidP="00C14EEF">
      <w:pPr>
        <w:rPr>
          <w:rFonts w:ascii="Arial" w:hAnsi="Arial" w:cs="Arial"/>
          <w:szCs w:val="22"/>
          <w:lang w:val="en-US"/>
        </w:rPr>
      </w:pPr>
    </w:p>
    <w:p w:rsidR="00D13A56" w:rsidRPr="00AF614D" w:rsidRDefault="00D13A56" w:rsidP="00C14EEF">
      <w:pPr>
        <w:rPr>
          <w:rFonts w:ascii="Arial" w:hAnsi="Arial" w:cs="Arial"/>
          <w:szCs w:val="22"/>
        </w:rPr>
      </w:pPr>
      <w:r>
        <w:rPr>
          <w:rFonts w:ascii="Arial" w:hAnsi="Arial"/>
          <w:szCs w:val="22"/>
        </w:rPr>
        <w:t xml:space="preserve">Таким чином, на даний момент можна зробити наступний висновок щодо доступності тарифів для всіх груп клієнтів, поділених на </w:t>
      </w:r>
      <w:proofErr w:type="spellStart"/>
      <w:r>
        <w:rPr>
          <w:rFonts w:ascii="Arial" w:hAnsi="Arial"/>
          <w:szCs w:val="22"/>
        </w:rPr>
        <w:t>квінтилі</w:t>
      </w:r>
      <w:proofErr w:type="spellEnd"/>
      <w:r>
        <w:rPr>
          <w:rFonts w:ascii="Arial" w:hAnsi="Arial"/>
          <w:szCs w:val="22"/>
        </w:rPr>
        <w:t>:</w:t>
      </w:r>
    </w:p>
    <w:p w:rsidR="00D13A56" w:rsidRPr="00AF614D" w:rsidRDefault="00D13A56" w:rsidP="00C14EEF">
      <w:pPr>
        <w:pStyle w:val="af3"/>
        <w:numPr>
          <w:ilvl w:val="0"/>
          <w:numId w:val="39"/>
        </w:numPr>
        <w:contextualSpacing w:val="0"/>
        <w:rPr>
          <w:rFonts w:ascii="Arial" w:hAnsi="Arial" w:cs="Arial"/>
        </w:rPr>
      </w:pPr>
      <w:r>
        <w:rPr>
          <w:rFonts w:ascii="Arial" w:hAnsi="Arial"/>
        </w:rPr>
        <w:t xml:space="preserve">Найнижчий,1-й </w:t>
      </w:r>
      <w:proofErr w:type="spellStart"/>
      <w:r>
        <w:rPr>
          <w:rFonts w:ascii="Arial" w:hAnsi="Arial"/>
        </w:rPr>
        <w:t>квінтіль</w:t>
      </w:r>
      <w:proofErr w:type="spellEnd"/>
      <w:r>
        <w:rPr>
          <w:rFonts w:ascii="Arial" w:hAnsi="Arial"/>
        </w:rPr>
        <w:t xml:space="preserve"> - далекий від стандарту у 4% для тарифів на послуги з водопостачання та водовідведення, але виходить за його межі.</w:t>
      </w:r>
      <w:r w:rsidR="00CB1B48">
        <w:rPr>
          <w:rFonts w:ascii="Arial" w:hAnsi="Arial"/>
        </w:rPr>
        <w:t xml:space="preserve"> </w:t>
      </w:r>
    </w:p>
    <w:p w:rsidR="00D13A56" w:rsidRPr="00AF614D" w:rsidRDefault="00D13A56" w:rsidP="00C14EEF">
      <w:pPr>
        <w:pStyle w:val="af3"/>
        <w:numPr>
          <w:ilvl w:val="0"/>
          <w:numId w:val="39"/>
        </w:numPr>
        <w:contextualSpacing w:val="0"/>
        <w:rPr>
          <w:rFonts w:ascii="Arial" w:hAnsi="Arial" w:cs="Arial"/>
        </w:rPr>
      </w:pPr>
      <w:r>
        <w:rPr>
          <w:rFonts w:ascii="Arial" w:hAnsi="Arial"/>
        </w:rPr>
        <w:t xml:space="preserve">Решта </w:t>
      </w:r>
      <w:proofErr w:type="spellStart"/>
      <w:r>
        <w:rPr>
          <w:rFonts w:ascii="Arial" w:hAnsi="Arial"/>
        </w:rPr>
        <w:t>квінтилів</w:t>
      </w:r>
      <w:proofErr w:type="spellEnd"/>
      <w:r>
        <w:rPr>
          <w:rFonts w:ascii="Arial" w:hAnsi="Arial"/>
        </w:rPr>
        <w:t xml:space="preserve"> - значно нижче </w:t>
      </w:r>
      <w:r w:rsidR="006C1529">
        <w:rPr>
          <w:rFonts w:ascii="Arial" w:hAnsi="Arial"/>
        </w:rPr>
        <w:t xml:space="preserve">за </w:t>
      </w:r>
      <w:r>
        <w:rPr>
          <w:rFonts w:ascii="Arial" w:hAnsi="Arial"/>
        </w:rPr>
        <w:t>стандартн</w:t>
      </w:r>
      <w:r w:rsidR="006C1529">
        <w:rPr>
          <w:rFonts w:ascii="Arial" w:hAnsi="Arial"/>
        </w:rPr>
        <w:t>і</w:t>
      </w:r>
      <w:r>
        <w:rPr>
          <w:rFonts w:ascii="Arial" w:hAnsi="Arial"/>
        </w:rPr>
        <w:t xml:space="preserve"> 4%.</w:t>
      </w:r>
    </w:p>
    <w:p w:rsidR="00D13A56" w:rsidRPr="00AF614D" w:rsidRDefault="00D13A56" w:rsidP="00C14EEF">
      <w:pPr>
        <w:pStyle w:val="af3"/>
        <w:numPr>
          <w:ilvl w:val="0"/>
          <w:numId w:val="39"/>
        </w:numPr>
        <w:contextualSpacing w:val="0"/>
        <w:rPr>
          <w:rFonts w:ascii="Arial" w:hAnsi="Arial" w:cs="Arial"/>
        </w:rPr>
      </w:pPr>
      <w:r>
        <w:rPr>
          <w:rFonts w:ascii="Arial" w:hAnsi="Arial"/>
        </w:rPr>
        <w:t xml:space="preserve">Окрім 1-го </w:t>
      </w:r>
      <w:proofErr w:type="spellStart"/>
      <w:r>
        <w:rPr>
          <w:rFonts w:ascii="Arial" w:hAnsi="Arial"/>
        </w:rPr>
        <w:t>квінтилю</w:t>
      </w:r>
      <w:proofErr w:type="spellEnd"/>
      <w:r>
        <w:rPr>
          <w:rFonts w:ascii="Arial" w:hAnsi="Arial"/>
        </w:rPr>
        <w:t xml:space="preserve"> майже завжди необхідна додаткова підтримка, для решти абонентів тарифи можуть бути скориговані до 4% доходів домогосподарств, щоб забезпечити можливість подальших інвестицій в інфраструктуру водоканалу.</w:t>
      </w:r>
    </w:p>
    <w:p w:rsidR="00A21E0F" w:rsidRDefault="00A21E0F" w:rsidP="00C14EEF">
      <w:pPr>
        <w:pStyle w:val="iCStandard"/>
        <w:rPr>
          <w:rFonts w:ascii="Arial" w:hAnsi="Arial" w:cs="Arial"/>
          <w:szCs w:val="22"/>
          <w:lang w:val="en-GB"/>
        </w:rPr>
      </w:pPr>
    </w:p>
    <w:p w:rsidR="00D13A56" w:rsidRPr="00C45C9E" w:rsidRDefault="00084592" w:rsidP="006C1529">
      <w:pPr>
        <w:pStyle w:val="iCStandard"/>
        <w:jc w:val="both"/>
        <w:rPr>
          <w:rFonts w:ascii="Arial" w:hAnsi="Arial" w:cs="Arial"/>
          <w:szCs w:val="22"/>
        </w:rPr>
      </w:pPr>
      <w:r>
        <w:rPr>
          <w:rFonts w:ascii="Arial" w:hAnsi="Arial"/>
          <w:szCs w:val="22"/>
        </w:rPr>
        <w:t>Майбутнє питання доступності тарифів протягом періоду впровадження проекту буде розглянуто в наступному розділі про АВВ. та відповідному Додатку 4.</w:t>
      </w:r>
      <w:r>
        <w:rPr>
          <w:rFonts w:ascii="Arial" w:hAnsi="Arial"/>
          <w:szCs w:val="22"/>
        </w:rPr>
        <w:br w:type="page"/>
      </w:r>
    </w:p>
    <w:p w:rsidR="00A21E0F" w:rsidRPr="005B6688" w:rsidRDefault="00A21E0F" w:rsidP="00C14EEF">
      <w:pPr>
        <w:pStyle w:val="1"/>
        <w:spacing w:before="0" w:after="0"/>
        <w:contextualSpacing w:val="0"/>
      </w:pPr>
      <w:bookmarkStart w:id="64" w:name="_Toc501108083"/>
      <w:bookmarkStart w:id="65" w:name="_Toc48392546"/>
      <w:r>
        <w:t>ОПЛАТА ПДВ</w:t>
      </w:r>
      <w:bookmarkEnd w:id="64"/>
      <w:bookmarkEnd w:id="65"/>
    </w:p>
    <w:p w:rsidR="00D13A56" w:rsidRPr="00AF614D" w:rsidRDefault="00D13A56" w:rsidP="00C14EEF">
      <w:pPr>
        <w:rPr>
          <w:rFonts w:ascii="Arial" w:eastAsia="Verdana" w:hAnsi="Arial" w:cs="Arial"/>
          <w:bCs/>
          <w:szCs w:val="22"/>
        </w:rPr>
      </w:pPr>
      <w:r w:rsidRPr="006C1529">
        <w:rPr>
          <w:rFonts w:ascii="Arial" w:hAnsi="Arial"/>
          <w:bCs/>
          <w:szCs w:val="22"/>
          <w:highlight w:val="yellow"/>
        </w:rPr>
        <w:t>Питання сплати ПДВ буде розглядатися в контексті подальших платежів у рамках позики ЄІБ.</w:t>
      </w:r>
      <w:r w:rsidR="00CB1B48" w:rsidRPr="006C1529">
        <w:rPr>
          <w:rFonts w:ascii="Arial" w:hAnsi="Arial"/>
          <w:bCs/>
          <w:szCs w:val="22"/>
          <w:highlight w:val="yellow"/>
        </w:rPr>
        <w:t xml:space="preserve"> </w:t>
      </w:r>
      <w:r w:rsidRPr="006C1529">
        <w:rPr>
          <w:rFonts w:ascii="Arial" w:hAnsi="Arial"/>
          <w:bCs/>
          <w:szCs w:val="22"/>
          <w:highlight w:val="yellow"/>
        </w:rPr>
        <w:t xml:space="preserve">Це дійсно серйозне питання, оскільки вимагає залучення додаткових ресурсів для фінансування контрактів під час реалізації майбутнього інвестиційного проекту. </w:t>
      </w:r>
      <w:r w:rsidRPr="006C1529">
        <w:rPr>
          <w:rFonts w:ascii="Arial" w:hAnsi="Arial"/>
          <w:szCs w:val="22"/>
          <w:highlight w:val="yellow"/>
        </w:rPr>
        <w:t>Інші податки не мають такого впливу на фінанси водоканалу, тому їх взагалі можна не розглядати.</w:t>
      </w:r>
    </w:p>
    <w:p w:rsidR="00D13A56" w:rsidRPr="00AF614D" w:rsidRDefault="00D13A56" w:rsidP="00C14EEF">
      <w:pPr>
        <w:rPr>
          <w:rFonts w:ascii="Arial" w:eastAsia="Verdana" w:hAnsi="Arial" w:cs="Arial"/>
          <w:szCs w:val="22"/>
        </w:rPr>
      </w:pPr>
    </w:p>
    <w:p w:rsidR="00D13A56" w:rsidRPr="00AF614D" w:rsidRDefault="00D13A56" w:rsidP="00C14EEF">
      <w:pPr>
        <w:rPr>
          <w:rFonts w:ascii="Arial" w:eastAsia="Verdana" w:hAnsi="Arial" w:cs="Arial"/>
          <w:szCs w:val="22"/>
        </w:rPr>
      </w:pPr>
      <w:r>
        <w:rPr>
          <w:rFonts w:ascii="Arial" w:hAnsi="Arial"/>
          <w:szCs w:val="22"/>
        </w:rPr>
        <w:t>Відповідно до статті 9 Контракту про Фінансування між ЄІБ та Україною ("Програма розвитку міської інфраструктури в Україні", сума позики не покриває податки чи мита; це означає, що КП Луцькводоканал (ЛВК) має бути готове понести витрати на оплату ПДВ за кожною накладною в рамках інвестиційного проекту.</w:t>
      </w:r>
    </w:p>
    <w:p w:rsidR="00D13A56" w:rsidRPr="00AF614D" w:rsidRDefault="00D13A56" w:rsidP="00C14EEF">
      <w:pPr>
        <w:rPr>
          <w:rFonts w:ascii="Arial" w:eastAsia="Verdana" w:hAnsi="Arial" w:cs="Arial"/>
          <w:szCs w:val="22"/>
        </w:rPr>
      </w:pPr>
    </w:p>
    <w:p w:rsidR="00D13A56" w:rsidRDefault="00D13A56" w:rsidP="00C14EEF">
      <w:pPr>
        <w:rPr>
          <w:rFonts w:ascii="Arial" w:eastAsia="Verdana" w:hAnsi="Arial" w:cs="Arial"/>
          <w:szCs w:val="22"/>
        </w:rPr>
      </w:pPr>
      <w:r>
        <w:rPr>
          <w:rFonts w:ascii="Arial" w:hAnsi="Arial"/>
          <w:szCs w:val="22"/>
        </w:rPr>
        <w:t>Відповідно до чинного податкового законодавства України, стандартна ставка податку на додану вартість в Україні становить 20%.</w:t>
      </w:r>
      <w:r w:rsidR="00CB1B48">
        <w:rPr>
          <w:rFonts w:ascii="Arial" w:hAnsi="Arial"/>
          <w:szCs w:val="22"/>
        </w:rPr>
        <w:t xml:space="preserve"> </w:t>
      </w:r>
      <w:r>
        <w:rPr>
          <w:rFonts w:ascii="Arial" w:hAnsi="Arial"/>
          <w:b/>
          <w:szCs w:val="22"/>
        </w:rPr>
        <w:t>У таблиці 12</w:t>
      </w:r>
      <w:r>
        <w:rPr>
          <w:rFonts w:ascii="Arial" w:hAnsi="Arial"/>
          <w:szCs w:val="22"/>
        </w:rPr>
        <w:t xml:space="preserve"> представлені дані про щомісячні платежі з ПДВ за 2014-2019 роки.</w:t>
      </w:r>
    </w:p>
    <w:p w:rsidR="00D13A56" w:rsidRDefault="00D13A56" w:rsidP="00C14EEF">
      <w:pPr>
        <w:rPr>
          <w:rFonts w:ascii="Arial" w:eastAsia="Verdana" w:hAnsi="Arial" w:cs="Arial"/>
          <w:szCs w:val="22"/>
        </w:rPr>
      </w:pPr>
    </w:p>
    <w:p w:rsidR="00D13A56" w:rsidRDefault="00D13A56" w:rsidP="00C14EEF">
      <w:pPr>
        <w:rPr>
          <w:rFonts w:ascii="Arial" w:eastAsia="Verdana" w:hAnsi="Arial" w:cs="Arial"/>
          <w:szCs w:val="22"/>
        </w:rPr>
      </w:pPr>
      <w:r>
        <w:rPr>
          <w:rFonts w:ascii="Arial" w:hAnsi="Arial"/>
          <w:szCs w:val="22"/>
        </w:rPr>
        <w:t xml:space="preserve">Зробимо припущення, що впродовж 5 років реалізації проекту (2021-2025 рр.) в середньому на рік оплата ПДВ за рахунками підрядника складе близько </w:t>
      </w:r>
      <w:r>
        <w:rPr>
          <w:rFonts w:ascii="Arial" w:hAnsi="Arial"/>
          <w:b/>
          <w:szCs w:val="22"/>
        </w:rPr>
        <w:t>361,90 тис. Євро</w:t>
      </w:r>
      <w:r>
        <w:rPr>
          <w:rFonts w:ascii="Arial" w:hAnsi="Arial"/>
          <w:szCs w:val="22"/>
        </w:rPr>
        <w:t xml:space="preserve"> (в середньому на місяць - </w:t>
      </w:r>
      <w:r>
        <w:rPr>
          <w:rFonts w:ascii="Arial" w:hAnsi="Arial"/>
          <w:b/>
          <w:szCs w:val="22"/>
        </w:rPr>
        <w:t>30,16 тис. Євро або 0 817 тис. Грн.</w:t>
      </w:r>
      <w:r w:rsidR="00BF4AE7">
        <w:rPr>
          <w:rFonts w:ascii="Arial" w:hAnsi="Arial"/>
          <w:b/>
          <w:szCs w:val="22"/>
        </w:rPr>
        <w:t>/</w:t>
      </w:r>
      <w:r>
        <w:rPr>
          <w:rFonts w:ascii="Arial" w:hAnsi="Arial"/>
          <w:b/>
          <w:szCs w:val="22"/>
        </w:rPr>
        <w:t>місяць).</w:t>
      </w:r>
      <w:r w:rsidR="00CB1B48">
        <w:rPr>
          <w:rFonts w:ascii="Arial" w:hAnsi="Arial"/>
          <w:szCs w:val="22"/>
        </w:rPr>
        <w:t xml:space="preserve"> </w:t>
      </w:r>
      <w:r>
        <w:rPr>
          <w:rFonts w:ascii="Arial" w:hAnsi="Arial"/>
          <w:szCs w:val="22"/>
        </w:rPr>
        <w:t xml:space="preserve">Максимальна сума ПДВ - </w:t>
      </w:r>
      <w:r>
        <w:rPr>
          <w:rFonts w:ascii="Arial" w:hAnsi="Arial"/>
          <w:b/>
          <w:szCs w:val="22"/>
        </w:rPr>
        <w:t>446,21 тис. Євро/рік</w:t>
      </w:r>
      <w:r w:rsidR="00CB1B48">
        <w:rPr>
          <w:rFonts w:ascii="Arial" w:hAnsi="Arial"/>
          <w:szCs w:val="22"/>
        </w:rPr>
        <w:t xml:space="preserve"> </w:t>
      </w:r>
      <w:r>
        <w:rPr>
          <w:rFonts w:ascii="Arial" w:hAnsi="Arial"/>
          <w:b/>
          <w:szCs w:val="22"/>
        </w:rPr>
        <w:t>((</w:t>
      </w:r>
      <w:r>
        <w:rPr>
          <w:rFonts w:ascii="Arial" w:hAnsi="Arial"/>
          <w:b/>
          <w:color w:val="000000"/>
          <w:szCs w:val="22"/>
        </w:rPr>
        <w:t>1039192,0x12)</w:t>
      </w:r>
      <w:r>
        <w:rPr>
          <w:rFonts w:ascii="Arial" w:hAnsi="Arial"/>
          <w:b/>
          <w:szCs w:val="22"/>
        </w:rPr>
        <w:t>/27,947)=446212,61).</w:t>
      </w:r>
      <w:r w:rsidR="00CB1B48">
        <w:rPr>
          <w:rFonts w:ascii="Arial" w:hAnsi="Arial"/>
          <w:szCs w:val="22"/>
        </w:rPr>
        <w:t xml:space="preserve"> </w:t>
      </w:r>
      <w:r>
        <w:rPr>
          <w:rFonts w:ascii="Arial" w:hAnsi="Arial"/>
          <w:szCs w:val="22"/>
        </w:rPr>
        <w:t>Це означає, що у компанії достатньо коштів для сплати ПДВ.</w:t>
      </w:r>
      <w:r w:rsidR="00CB1B48">
        <w:rPr>
          <w:rFonts w:ascii="Arial" w:hAnsi="Arial"/>
          <w:szCs w:val="22"/>
        </w:rPr>
        <w:t xml:space="preserve"> </w:t>
      </w:r>
      <w:r>
        <w:rPr>
          <w:rFonts w:ascii="Arial" w:hAnsi="Arial"/>
          <w:szCs w:val="22"/>
        </w:rPr>
        <w:t>Але, наявність достатніх коштів у водоканалу (позитивний грошовий потік) для здійснення таких платежів на регулярній основі (за поданням рахунків-фактур під</w:t>
      </w:r>
      <w:r w:rsidR="0018640C">
        <w:rPr>
          <w:rFonts w:ascii="Arial" w:hAnsi="Arial"/>
          <w:szCs w:val="22"/>
        </w:rPr>
        <w:t>рядниками) - ідеальна ситуація</w:t>
      </w:r>
      <w:r>
        <w:rPr>
          <w:rFonts w:ascii="Arial" w:hAnsi="Arial"/>
          <w:szCs w:val="22"/>
        </w:rPr>
        <w:t>.</w:t>
      </w:r>
      <w:r w:rsidR="00CB1B48">
        <w:rPr>
          <w:rFonts w:ascii="Arial" w:hAnsi="Arial"/>
          <w:szCs w:val="22"/>
        </w:rPr>
        <w:t xml:space="preserve"> </w:t>
      </w:r>
      <w:r>
        <w:rPr>
          <w:rFonts w:ascii="Arial" w:hAnsi="Arial"/>
          <w:szCs w:val="22"/>
        </w:rPr>
        <w:t>Тільки за готівкової оплати компанія зможе застосувати процедуру «податкового кредиту», коли зобов’язання з ПДВ перевищать наявний ПДВ, отриманий у межах тарифних платежів від абонентів компанії.</w:t>
      </w:r>
      <w:r w:rsidR="00CB1B48">
        <w:rPr>
          <w:rFonts w:ascii="Arial" w:hAnsi="Arial"/>
          <w:szCs w:val="22"/>
        </w:rPr>
        <w:t xml:space="preserve"> </w:t>
      </w:r>
    </w:p>
    <w:p w:rsidR="00E47796" w:rsidRDefault="00E47796" w:rsidP="00C14EEF">
      <w:pPr>
        <w:rPr>
          <w:rFonts w:ascii="Arial" w:eastAsia="Verdana" w:hAnsi="Arial" w:cs="Arial"/>
          <w:szCs w:val="22"/>
        </w:rPr>
      </w:pPr>
    </w:p>
    <w:p w:rsidR="00E47796" w:rsidRPr="00AF614D" w:rsidRDefault="00E47796" w:rsidP="00C14EEF">
      <w:pPr>
        <w:rPr>
          <w:rFonts w:ascii="Arial" w:eastAsia="Verdana" w:hAnsi="Arial" w:cs="Arial"/>
          <w:szCs w:val="22"/>
        </w:rPr>
      </w:pPr>
      <w:r>
        <w:rPr>
          <w:rFonts w:ascii="Arial" w:hAnsi="Arial"/>
          <w:szCs w:val="22"/>
        </w:rPr>
        <w:t>Окрім того, слід зазначити, що процедура відшкодування ПДВ для водоканалів є досить складною та тривалою.</w:t>
      </w:r>
      <w:r w:rsidR="00CB1B48">
        <w:rPr>
          <w:rFonts w:ascii="Arial" w:hAnsi="Arial"/>
          <w:szCs w:val="22"/>
        </w:rPr>
        <w:t xml:space="preserve"> </w:t>
      </w:r>
      <w:r>
        <w:rPr>
          <w:rFonts w:ascii="Arial" w:hAnsi="Arial"/>
          <w:szCs w:val="22"/>
        </w:rPr>
        <w:t>Отже, потрібно забезпечити певну суму для компенсації цієї різниці (якщо у компанії недостатньо грошових коштів для покриття ПДВ).</w:t>
      </w:r>
      <w:r w:rsidR="00CB1B48">
        <w:rPr>
          <w:rFonts w:ascii="Arial" w:hAnsi="Arial"/>
          <w:szCs w:val="22"/>
        </w:rPr>
        <w:t xml:space="preserve"> </w:t>
      </w:r>
      <w:r>
        <w:rPr>
          <w:rFonts w:ascii="Arial" w:hAnsi="Arial"/>
          <w:szCs w:val="22"/>
        </w:rPr>
        <w:t xml:space="preserve">Консультант рекомендує відкрити спеціальний субрахунок для компенсації ПДВ, де </w:t>
      </w:r>
      <w:r w:rsidR="0018640C">
        <w:rPr>
          <w:rFonts w:ascii="Arial" w:hAnsi="Arial"/>
          <w:szCs w:val="22"/>
        </w:rPr>
        <w:t>Л</w:t>
      </w:r>
      <w:r>
        <w:rPr>
          <w:rFonts w:ascii="Arial" w:hAnsi="Arial"/>
          <w:szCs w:val="22"/>
        </w:rPr>
        <w:t>ВК буде накопичувати кошти для оплати ПДВ, які будуть використані для виплат за проектом.</w:t>
      </w:r>
      <w:r w:rsidR="00CB1B48">
        <w:rPr>
          <w:rFonts w:ascii="Arial" w:hAnsi="Arial"/>
          <w:szCs w:val="22"/>
        </w:rPr>
        <w:t xml:space="preserve"> </w:t>
      </w:r>
      <w:r>
        <w:rPr>
          <w:rFonts w:ascii="Arial" w:hAnsi="Arial"/>
          <w:szCs w:val="22"/>
        </w:rPr>
        <w:t xml:space="preserve">Це питання фінансової дисципліни, яка </w:t>
      </w:r>
      <w:proofErr w:type="spellStart"/>
      <w:r>
        <w:rPr>
          <w:rFonts w:ascii="Arial" w:hAnsi="Arial"/>
          <w:szCs w:val="22"/>
        </w:rPr>
        <w:t>надасть</w:t>
      </w:r>
      <w:proofErr w:type="spellEnd"/>
      <w:r>
        <w:rPr>
          <w:rFonts w:ascii="Arial" w:hAnsi="Arial"/>
          <w:szCs w:val="22"/>
        </w:rPr>
        <w:t xml:space="preserve"> можливість ЛВК уникнути неспроможності покрити ПДВ підрядникам через нестачу коштів або через спрямування цих грошей на інші цілі.</w:t>
      </w:r>
      <w:r w:rsidR="00CB1B48">
        <w:rPr>
          <w:rFonts w:ascii="Arial" w:hAnsi="Arial"/>
          <w:szCs w:val="22"/>
        </w:rPr>
        <w:t xml:space="preserve"> </w:t>
      </w:r>
      <w:r>
        <w:rPr>
          <w:rFonts w:ascii="Arial" w:hAnsi="Arial"/>
          <w:szCs w:val="22"/>
        </w:rPr>
        <w:t>Дуже важливим питанням є наявність достатнього позитивного грошового потоку для покриття таких витрат із часом.</w:t>
      </w:r>
      <w:r w:rsidR="00CB1B48">
        <w:rPr>
          <w:rFonts w:ascii="Arial" w:hAnsi="Arial"/>
          <w:szCs w:val="22"/>
        </w:rPr>
        <w:t xml:space="preserve"> </w:t>
      </w:r>
      <w:r>
        <w:rPr>
          <w:rFonts w:ascii="Arial" w:hAnsi="Arial"/>
          <w:szCs w:val="22"/>
        </w:rPr>
        <w:t>Отже додаткові кошти, згадані вище, будуть резервним фондом для операцій з ПДВ за Проектом.</w:t>
      </w:r>
    </w:p>
    <w:p w:rsidR="00D13A56" w:rsidRPr="00AF614D" w:rsidRDefault="00D13A56" w:rsidP="00C14EEF">
      <w:pPr>
        <w:rPr>
          <w:rFonts w:ascii="Arial" w:eastAsia="Verdana" w:hAnsi="Arial" w:cs="Arial"/>
          <w:szCs w:val="22"/>
        </w:rPr>
      </w:pPr>
    </w:p>
    <w:p w:rsidR="00E47796" w:rsidRDefault="00D13A56" w:rsidP="00C14EEF">
      <w:pPr>
        <w:rPr>
          <w:rFonts w:ascii="Arial" w:eastAsia="Verdana" w:hAnsi="Arial" w:cs="Arial"/>
          <w:szCs w:val="22"/>
        </w:rPr>
      </w:pPr>
      <w:r>
        <w:rPr>
          <w:rFonts w:ascii="Arial" w:hAnsi="Arial"/>
          <w:szCs w:val="22"/>
        </w:rPr>
        <w:t>Для співфінансування також може бути використаний амортизаційний фонд, який зазвичай вважається основним джерелом для інвестиційних програм водоканалів.</w:t>
      </w:r>
      <w:r w:rsidR="00CB1B48">
        <w:rPr>
          <w:rFonts w:ascii="Arial" w:hAnsi="Arial"/>
          <w:szCs w:val="22"/>
        </w:rPr>
        <w:t xml:space="preserve"> </w:t>
      </w:r>
      <w:r>
        <w:rPr>
          <w:rFonts w:ascii="Arial" w:hAnsi="Arial"/>
          <w:szCs w:val="22"/>
        </w:rPr>
        <w:t xml:space="preserve">У лютому 2019 фіскального року амортизація досягла </w:t>
      </w:r>
      <w:r>
        <w:rPr>
          <w:rFonts w:ascii="Arial" w:hAnsi="Arial"/>
          <w:b/>
          <w:szCs w:val="22"/>
        </w:rPr>
        <w:t>13339,0 тис. Грн</w:t>
      </w:r>
      <w:r>
        <w:rPr>
          <w:rFonts w:ascii="Arial" w:hAnsi="Arial"/>
          <w:szCs w:val="22"/>
        </w:rPr>
        <w:t xml:space="preserve"> (за Звітом про рух грошових коштів за 2011 рік), що є достатньою сумою для </w:t>
      </w:r>
      <w:r w:rsidR="00BF4AE7">
        <w:rPr>
          <w:rFonts w:ascii="Arial" w:hAnsi="Arial"/>
          <w:szCs w:val="22"/>
        </w:rPr>
        <w:t xml:space="preserve">співфінансування </w:t>
      </w:r>
      <w:r>
        <w:rPr>
          <w:rFonts w:ascii="Arial" w:hAnsi="Arial"/>
          <w:szCs w:val="22"/>
        </w:rPr>
        <w:t>ПДВ під час реалізації проекту.</w:t>
      </w:r>
      <w:r w:rsidR="00CB1B48">
        <w:rPr>
          <w:rFonts w:ascii="Arial" w:hAnsi="Arial"/>
          <w:szCs w:val="22"/>
        </w:rPr>
        <w:t xml:space="preserve"> </w:t>
      </w:r>
    </w:p>
    <w:p w:rsidR="00E47796" w:rsidRDefault="00E47796" w:rsidP="00C14EEF">
      <w:pPr>
        <w:rPr>
          <w:rFonts w:ascii="Arial" w:eastAsia="Verdana" w:hAnsi="Arial" w:cs="Arial"/>
          <w:szCs w:val="22"/>
        </w:rPr>
      </w:pPr>
    </w:p>
    <w:p w:rsidR="00E47796" w:rsidRDefault="00E47796" w:rsidP="00C14EEF">
      <w:pPr>
        <w:rPr>
          <w:rFonts w:ascii="Arial" w:eastAsia="Verdana" w:hAnsi="Arial" w:cs="Arial"/>
          <w:szCs w:val="22"/>
        </w:rPr>
      </w:pPr>
      <w:r>
        <w:rPr>
          <w:rFonts w:ascii="Arial" w:hAnsi="Arial"/>
          <w:szCs w:val="22"/>
        </w:rPr>
        <w:t>Крім того, фонд амортизації суттєво зросте протягом періоду реалізації проекту (див. Розділі 8,</w:t>
      </w:r>
      <w:r w:rsidR="00CB1B48">
        <w:rPr>
          <w:rFonts w:ascii="Arial" w:hAnsi="Arial"/>
          <w:szCs w:val="22"/>
        </w:rPr>
        <w:t xml:space="preserve"> </w:t>
      </w:r>
      <w:r>
        <w:rPr>
          <w:rFonts w:ascii="Arial" w:hAnsi="Arial"/>
          <w:szCs w:val="22"/>
        </w:rPr>
        <w:t>про АВВ).</w:t>
      </w:r>
      <w:r w:rsidR="00CB1B48">
        <w:rPr>
          <w:rFonts w:ascii="Arial" w:hAnsi="Arial"/>
          <w:szCs w:val="22"/>
        </w:rPr>
        <w:t xml:space="preserve"> </w:t>
      </w:r>
      <w:r>
        <w:rPr>
          <w:rFonts w:ascii="Arial" w:hAnsi="Arial"/>
          <w:szCs w:val="22"/>
        </w:rPr>
        <w:t>Також, фонд амортизації може бути використаний для співфінансування Проекту та компенсації можливого збільшення витрат у вигляді щорічної інвестиційної програми водоканалу, затвердженої НКРЕКП.</w:t>
      </w:r>
      <w:r w:rsidR="00CB1B48">
        <w:rPr>
          <w:rFonts w:ascii="Arial" w:hAnsi="Arial"/>
          <w:szCs w:val="22"/>
        </w:rPr>
        <w:t xml:space="preserve"> </w:t>
      </w:r>
      <w:r>
        <w:rPr>
          <w:rFonts w:ascii="Arial" w:hAnsi="Arial"/>
          <w:szCs w:val="22"/>
        </w:rPr>
        <w:t xml:space="preserve">Така практика вже застосовується для інвестиційного проекту ЄІБ для МКП </w:t>
      </w:r>
      <w:proofErr w:type="spellStart"/>
      <w:r>
        <w:rPr>
          <w:rFonts w:ascii="Arial" w:hAnsi="Arial"/>
          <w:szCs w:val="22"/>
        </w:rPr>
        <w:t>Миколаївводоканал</w:t>
      </w:r>
      <w:proofErr w:type="spellEnd"/>
      <w:r>
        <w:rPr>
          <w:rFonts w:ascii="Arial" w:hAnsi="Arial"/>
          <w:szCs w:val="22"/>
        </w:rPr>
        <w:t>.</w:t>
      </w:r>
    </w:p>
    <w:p w:rsidR="00971F30" w:rsidRDefault="00971F30" w:rsidP="00C14EEF">
      <w:pPr>
        <w:rPr>
          <w:rFonts w:ascii="Arial" w:eastAsia="Verdana" w:hAnsi="Arial" w:cs="Arial"/>
          <w:szCs w:val="22"/>
        </w:rPr>
      </w:pPr>
    </w:p>
    <w:p w:rsidR="00E47796" w:rsidRDefault="00E47796" w:rsidP="00C14EEF">
      <w:pPr>
        <w:rPr>
          <w:rFonts w:ascii="Arial" w:eastAsia="Verdana" w:hAnsi="Arial" w:cs="Arial"/>
          <w:szCs w:val="22"/>
        </w:rPr>
      </w:pPr>
    </w:p>
    <w:p w:rsidR="00E47796" w:rsidRDefault="00E47796" w:rsidP="00C14EEF">
      <w:pPr>
        <w:rPr>
          <w:rFonts w:ascii="Arial" w:eastAsia="Verdana" w:hAnsi="Arial" w:cs="Arial"/>
          <w:szCs w:val="22"/>
        </w:rPr>
      </w:pPr>
    </w:p>
    <w:p w:rsidR="00E47796" w:rsidRDefault="00E47796" w:rsidP="00C14EEF">
      <w:pPr>
        <w:rPr>
          <w:rFonts w:ascii="Arial" w:eastAsia="Verdana" w:hAnsi="Arial" w:cs="Arial"/>
          <w:szCs w:val="22"/>
        </w:rPr>
      </w:pPr>
    </w:p>
    <w:p w:rsidR="00E47796" w:rsidRDefault="00E47796" w:rsidP="00C14EEF">
      <w:pPr>
        <w:rPr>
          <w:rFonts w:ascii="Arial" w:eastAsia="Verdana" w:hAnsi="Arial" w:cs="Arial"/>
          <w:szCs w:val="22"/>
        </w:rPr>
      </w:pPr>
    </w:p>
    <w:p w:rsidR="00E47796" w:rsidRDefault="00E47796" w:rsidP="00C14EEF">
      <w:pPr>
        <w:rPr>
          <w:rFonts w:ascii="Arial" w:eastAsia="Verdana" w:hAnsi="Arial" w:cs="Arial"/>
          <w:szCs w:val="22"/>
        </w:rPr>
      </w:pPr>
    </w:p>
    <w:p w:rsidR="00E47796" w:rsidRDefault="00E47796" w:rsidP="00C14EEF">
      <w:pPr>
        <w:rPr>
          <w:rFonts w:ascii="Arial" w:eastAsia="Verdana" w:hAnsi="Arial" w:cs="Arial"/>
          <w:szCs w:val="22"/>
        </w:rPr>
      </w:pPr>
    </w:p>
    <w:p w:rsidR="00E47796" w:rsidRDefault="00E47796" w:rsidP="00C14EEF">
      <w:pPr>
        <w:rPr>
          <w:rFonts w:ascii="Arial" w:eastAsia="Verdana" w:hAnsi="Arial" w:cs="Arial"/>
          <w:szCs w:val="22"/>
        </w:rPr>
      </w:pPr>
    </w:p>
    <w:p w:rsidR="00E47796" w:rsidRDefault="00E47796" w:rsidP="00C14EEF">
      <w:pPr>
        <w:rPr>
          <w:rFonts w:ascii="Arial" w:eastAsia="Verdana" w:hAnsi="Arial" w:cs="Arial"/>
          <w:szCs w:val="22"/>
        </w:rPr>
      </w:pPr>
    </w:p>
    <w:p w:rsidR="00E47796" w:rsidRDefault="00E47796" w:rsidP="00C14EEF">
      <w:pPr>
        <w:rPr>
          <w:rFonts w:ascii="Arial" w:eastAsia="Verdana" w:hAnsi="Arial" w:cs="Arial"/>
          <w:szCs w:val="22"/>
        </w:rPr>
      </w:pPr>
    </w:p>
    <w:p w:rsidR="00BF4AE7" w:rsidRDefault="00BF4AE7">
      <w:pPr>
        <w:jc w:val="left"/>
        <w:rPr>
          <w:rFonts w:asciiTheme="minorHAnsi" w:hAnsiTheme="minorHAnsi"/>
          <w:b/>
          <w:bCs/>
          <w:noProof/>
          <w:szCs w:val="18"/>
        </w:rPr>
      </w:pPr>
      <w:r>
        <w:br w:type="page"/>
      </w:r>
    </w:p>
    <w:p w:rsidR="00971F30" w:rsidRPr="000D3ACE" w:rsidRDefault="00971F30" w:rsidP="00C14EEF">
      <w:pPr>
        <w:pStyle w:val="aa"/>
        <w:rPr>
          <w:rFonts w:ascii="Arial" w:hAnsi="Arial" w:cs="Arial"/>
          <w:szCs w:val="22"/>
        </w:rPr>
      </w:pPr>
      <w:bookmarkStart w:id="66" w:name="_Toc48643452"/>
      <w:r>
        <w:t xml:space="preserve">Таблиця </w:t>
      </w:r>
      <w:r w:rsidRPr="000D3ACE">
        <w:rPr>
          <w:rFonts w:ascii="Arial" w:hAnsi="Arial" w:cs="Arial"/>
          <w:szCs w:val="22"/>
        </w:rPr>
        <w:fldChar w:fldCharType="begin"/>
      </w:r>
      <w:r w:rsidRPr="000D3ACE">
        <w:rPr>
          <w:rFonts w:ascii="Arial" w:hAnsi="Arial" w:cs="Arial"/>
          <w:szCs w:val="22"/>
        </w:rPr>
        <w:instrText xml:space="preserve"> SEQ Table \* ARABIC </w:instrText>
      </w:r>
      <w:r w:rsidRPr="000D3ACE">
        <w:rPr>
          <w:rFonts w:ascii="Arial" w:hAnsi="Arial" w:cs="Arial"/>
          <w:szCs w:val="22"/>
        </w:rPr>
        <w:fldChar w:fldCharType="separate"/>
      </w:r>
      <w:r w:rsidR="00CB1B48">
        <w:rPr>
          <w:rFonts w:ascii="Arial" w:hAnsi="Arial" w:cs="Arial"/>
          <w:szCs w:val="22"/>
        </w:rPr>
        <w:t>12</w:t>
      </w:r>
      <w:r w:rsidRPr="000D3ACE">
        <w:rPr>
          <w:rFonts w:ascii="Arial" w:hAnsi="Arial" w:cs="Arial"/>
          <w:szCs w:val="22"/>
        </w:rPr>
        <w:fldChar w:fldCharType="end"/>
      </w:r>
      <w:r>
        <w:t>:</w:t>
      </w:r>
      <w:r>
        <w:rPr>
          <w:rFonts w:ascii="Arial" w:hAnsi="Arial"/>
          <w:b w:val="0"/>
          <w:szCs w:val="22"/>
        </w:rPr>
        <w:t xml:space="preserve"> </w:t>
      </w:r>
      <w:r>
        <w:rPr>
          <w:rFonts w:ascii="Arial" w:hAnsi="Arial"/>
          <w:color w:val="000000"/>
          <w:szCs w:val="22"/>
        </w:rPr>
        <w:t>Щомісячні виплати ПДВ до бюджету (2014-2019 фіскальні роки), грн</w:t>
      </w:r>
      <w:bookmarkEnd w:id="66"/>
    </w:p>
    <w:tbl>
      <w:tblPr>
        <w:tblW w:w="7953" w:type="dxa"/>
        <w:tblInd w:w="93" w:type="dxa"/>
        <w:tblLook w:val="04A0" w:firstRow="1" w:lastRow="0" w:firstColumn="1" w:lastColumn="0" w:noHBand="0" w:noVBand="1"/>
      </w:tblPr>
      <w:tblGrid>
        <w:gridCol w:w="1265"/>
        <w:gridCol w:w="992"/>
        <w:gridCol w:w="997"/>
        <w:gridCol w:w="992"/>
        <w:gridCol w:w="917"/>
        <w:gridCol w:w="997"/>
        <w:gridCol w:w="1134"/>
        <w:gridCol w:w="1200"/>
      </w:tblGrid>
      <w:tr w:rsidR="00971F30" w:rsidRPr="00AF614D" w:rsidTr="00D13A56">
        <w:trPr>
          <w:trHeight w:val="525"/>
        </w:trPr>
        <w:tc>
          <w:tcPr>
            <w:tcW w:w="724" w:type="dxa"/>
            <w:tcBorders>
              <w:top w:val="single" w:sz="4" w:space="0" w:color="auto"/>
              <w:left w:val="single" w:sz="4" w:space="0" w:color="auto"/>
              <w:bottom w:val="single" w:sz="4" w:space="0" w:color="auto"/>
              <w:right w:val="single" w:sz="4" w:space="0" w:color="auto"/>
            </w:tcBorders>
            <w:shd w:val="clear" w:color="auto" w:fill="AADC14" w:themeFill="text1"/>
            <w:noWrap/>
            <w:vAlign w:val="bottom"/>
            <w:hideMark/>
          </w:tcPr>
          <w:p w:rsidR="00971F30" w:rsidRPr="00AF614D" w:rsidRDefault="00971F30" w:rsidP="00C14EEF">
            <w:pPr>
              <w:jc w:val="center"/>
              <w:rPr>
                <w:rFonts w:ascii="Arial" w:hAnsi="Arial" w:cs="Arial"/>
                <w:b/>
                <w:bCs/>
                <w:color w:val="000000"/>
                <w:sz w:val="18"/>
                <w:szCs w:val="18"/>
              </w:rPr>
            </w:pPr>
            <w:r>
              <w:rPr>
                <w:rFonts w:ascii="Arial" w:hAnsi="Arial"/>
                <w:b/>
                <w:bCs/>
                <w:color w:val="000000"/>
                <w:sz w:val="18"/>
                <w:szCs w:val="18"/>
              </w:rPr>
              <w:t>Фіскальний рік</w:t>
            </w:r>
          </w:p>
        </w:tc>
        <w:tc>
          <w:tcPr>
            <w:tcW w:w="992" w:type="dxa"/>
            <w:tcBorders>
              <w:top w:val="single" w:sz="4" w:space="0" w:color="auto"/>
              <w:left w:val="nil"/>
              <w:bottom w:val="single" w:sz="4" w:space="0" w:color="auto"/>
              <w:right w:val="single" w:sz="4" w:space="0" w:color="auto"/>
            </w:tcBorders>
            <w:shd w:val="clear" w:color="auto" w:fill="AADC14" w:themeFill="text1"/>
            <w:noWrap/>
            <w:vAlign w:val="bottom"/>
            <w:hideMark/>
          </w:tcPr>
          <w:p w:rsidR="00971F30" w:rsidRPr="00AF614D" w:rsidRDefault="00971F30" w:rsidP="00C14EEF">
            <w:pPr>
              <w:jc w:val="center"/>
              <w:rPr>
                <w:rFonts w:ascii="Arial" w:hAnsi="Arial" w:cs="Arial"/>
                <w:b/>
                <w:bCs/>
                <w:color w:val="000000"/>
                <w:sz w:val="18"/>
                <w:szCs w:val="18"/>
              </w:rPr>
            </w:pPr>
            <w:r>
              <w:rPr>
                <w:rFonts w:ascii="Arial" w:hAnsi="Arial"/>
                <w:b/>
                <w:bCs/>
                <w:color w:val="000000"/>
                <w:sz w:val="18"/>
                <w:szCs w:val="18"/>
              </w:rPr>
              <w:t>Січ</w:t>
            </w:r>
          </w:p>
        </w:tc>
        <w:tc>
          <w:tcPr>
            <w:tcW w:w="997" w:type="dxa"/>
            <w:tcBorders>
              <w:top w:val="single" w:sz="4" w:space="0" w:color="auto"/>
              <w:left w:val="nil"/>
              <w:bottom w:val="single" w:sz="4" w:space="0" w:color="auto"/>
              <w:right w:val="single" w:sz="4" w:space="0" w:color="auto"/>
            </w:tcBorders>
            <w:shd w:val="clear" w:color="auto" w:fill="AADC14" w:themeFill="text1"/>
            <w:noWrap/>
            <w:vAlign w:val="bottom"/>
            <w:hideMark/>
          </w:tcPr>
          <w:p w:rsidR="00971F30" w:rsidRPr="00AF614D" w:rsidRDefault="00971F30" w:rsidP="00C14EEF">
            <w:pPr>
              <w:jc w:val="center"/>
              <w:rPr>
                <w:rFonts w:ascii="Arial" w:hAnsi="Arial" w:cs="Arial"/>
                <w:b/>
                <w:bCs/>
                <w:color w:val="000000"/>
                <w:sz w:val="18"/>
                <w:szCs w:val="18"/>
              </w:rPr>
            </w:pPr>
            <w:proofErr w:type="spellStart"/>
            <w:r>
              <w:rPr>
                <w:rFonts w:ascii="Arial" w:hAnsi="Arial"/>
                <w:b/>
                <w:bCs/>
                <w:color w:val="000000"/>
                <w:sz w:val="18"/>
                <w:szCs w:val="18"/>
              </w:rPr>
              <w:t>Лют</w:t>
            </w:r>
            <w:proofErr w:type="spellEnd"/>
          </w:p>
        </w:tc>
        <w:tc>
          <w:tcPr>
            <w:tcW w:w="992" w:type="dxa"/>
            <w:tcBorders>
              <w:top w:val="single" w:sz="4" w:space="0" w:color="auto"/>
              <w:left w:val="nil"/>
              <w:bottom w:val="single" w:sz="4" w:space="0" w:color="auto"/>
              <w:right w:val="single" w:sz="4" w:space="0" w:color="auto"/>
            </w:tcBorders>
            <w:shd w:val="clear" w:color="auto" w:fill="AADC14" w:themeFill="text1"/>
            <w:noWrap/>
            <w:vAlign w:val="bottom"/>
            <w:hideMark/>
          </w:tcPr>
          <w:p w:rsidR="00971F30" w:rsidRPr="00AF614D" w:rsidRDefault="00971F30" w:rsidP="00C14EEF">
            <w:pPr>
              <w:jc w:val="center"/>
              <w:rPr>
                <w:rFonts w:ascii="Arial" w:hAnsi="Arial" w:cs="Arial"/>
                <w:b/>
                <w:bCs/>
                <w:color w:val="000000"/>
                <w:sz w:val="18"/>
                <w:szCs w:val="18"/>
              </w:rPr>
            </w:pPr>
            <w:r>
              <w:rPr>
                <w:rFonts w:ascii="Arial" w:hAnsi="Arial"/>
                <w:b/>
                <w:bCs/>
                <w:color w:val="000000"/>
                <w:sz w:val="18"/>
                <w:szCs w:val="18"/>
              </w:rPr>
              <w:t>Бер</w:t>
            </w:r>
          </w:p>
        </w:tc>
        <w:tc>
          <w:tcPr>
            <w:tcW w:w="917" w:type="dxa"/>
            <w:tcBorders>
              <w:top w:val="single" w:sz="4" w:space="0" w:color="auto"/>
              <w:left w:val="nil"/>
              <w:bottom w:val="single" w:sz="4" w:space="0" w:color="auto"/>
              <w:right w:val="single" w:sz="4" w:space="0" w:color="auto"/>
            </w:tcBorders>
            <w:shd w:val="clear" w:color="auto" w:fill="AADC14" w:themeFill="text1"/>
            <w:noWrap/>
            <w:vAlign w:val="bottom"/>
            <w:hideMark/>
          </w:tcPr>
          <w:p w:rsidR="00971F30" w:rsidRPr="00AF614D" w:rsidRDefault="00971F30" w:rsidP="00C14EEF">
            <w:pPr>
              <w:jc w:val="center"/>
              <w:rPr>
                <w:rFonts w:ascii="Arial" w:hAnsi="Arial" w:cs="Arial"/>
                <w:b/>
                <w:bCs/>
                <w:color w:val="000000"/>
                <w:sz w:val="18"/>
                <w:szCs w:val="18"/>
              </w:rPr>
            </w:pPr>
            <w:proofErr w:type="spellStart"/>
            <w:r>
              <w:rPr>
                <w:rFonts w:ascii="Arial" w:hAnsi="Arial"/>
                <w:b/>
                <w:bCs/>
                <w:color w:val="000000"/>
                <w:sz w:val="18"/>
                <w:szCs w:val="18"/>
              </w:rPr>
              <w:t>Кві</w:t>
            </w:r>
            <w:proofErr w:type="spellEnd"/>
          </w:p>
        </w:tc>
        <w:tc>
          <w:tcPr>
            <w:tcW w:w="997" w:type="dxa"/>
            <w:tcBorders>
              <w:top w:val="single" w:sz="4" w:space="0" w:color="auto"/>
              <w:left w:val="nil"/>
              <w:bottom w:val="single" w:sz="4" w:space="0" w:color="auto"/>
              <w:right w:val="single" w:sz="4" w:space="0" w:color="auto"/>
            </w:tcBorders>
            <w:shd w:val="clear" w:color="auto" w:fill="AADC14" w:themeFill="text1"/>
            <w:noWrap/>
            <w:vAlign w:val="bottom"/>
            <w:hideMark/>
          </w:tcPr>
          <w:p w:rsidR="00971F30" w:rsidRPr="00AF614D" w:rsidRDefault="00971F30" w:rsidP="00C14EEF">
            <w:pPr>
              <w:jc w:val="center"/>
              <w:rPr>
                <w:rFonts w:ascii="Arial" w:hAnsi="Arial" w:cs="Arial"/>
                <w:b/>
                <w:bCs/>
                <w:color w:val="000000"/>
                <w:sz w:val="18"/>
                <w:szCs w:val="18"/>
              </w:rPr>
            </w:pPr>
            <w:proofErr w:type="spellStart"/>
            <w:r>
              <w:rPr>
                <w:rFonts w:ascii="Arial" w:hAnsi="Arial"/>
                <w:b/>
                <w:bCs/>
                <w:color w:val="000000"/>
                <w:sz w:val="18"/>
                <w:szCs w:val="18"/>
              </w:rPr>
              <w:t>Тра</w:t>
            </w:r>
            <w:proofErr w:type="spellEnd"/>
          </w:p>
        </w:tc>
        <w:tc>
          <w:tcPr>
            <w:tcW w:w="1134" w:type="dxa"/>
            <w:tcBorders>
              <w:top w:val="single" w:sz="4" w:space="0" w:color="auto"/>
              <w:left w:val="nil"/>
              <w:bottom w:val="single" w:sz="4" w:space="0" w:color="auto"/>
              <w:right w:val="single" w:sz="4" w:space="0" w:color="auto"/>
            </w:tcBorders>
            <w:shd w:val="clear" w:color="auto" w:fill="AADC14" w:themeFill="text1"/>
            <w:noWrap/>
            <w:vAlign w:val="bottom"/>
            <w:hideMark/>
          </w:tcPr>
          <w:p w:rsidR="00971F30" w:rsidRPr="00AF614D" w:rsidRDefault="00971F30" w:rsidP="00C14EEF">
            <w:pPr>
              <w:jc w:val="center"/>
              <w:rPr>
                <w:rFonts w:ascii="Arial" w:hAnsi="Arial" w:cs="Arial"/>
                <w:b/>
                <w:bCs/>
                <w:color w:val="000000"/>
                <w:sz w:val="18"/>
                <w:szCs w:val="18"/>
              </w:rPr>
            </w:pPr>
            <w:proofErr w:type="spellStart"/>
            <w:r>
              <w:rPr>
                <w:rFonts w:ascii="Arial" w:hAnsi="Arial"/>
                <w:b/>
                <w:bCs/>
                <w:color w:val="000000"/>
                <w:sz w:val="18"/>
                <w:szCs w:val="18"/>
              </w:rPr>
              <w:t>Чер</w:t>
            </w:r>
            <w:proofErr w:type="spellEnd"/>
          </w:p>
        </w:tc>
        <w:tc>
          <w:tcPr>
            <w:tcW w:w="1200" w:type="dxa"/>
            <w:tcBorders>
              <w:top w:val="single" w:sz="4" w:space="0" w:color="auto"/>
              <w:left w:val="nil"/>
              <w:bottom w:val="single" w:sz="4" w:space="0" w:color="auto"/>
              <w:right w:val="single" w:sz="4" w:space="0" w:color="auto"/>
            </w:tcBorders>
            <w:shd w:val="clear" w:color="auto" w:fill="AADC14" w:themeFill="text1"/>
            <w:noWrap/>
            <w:vAlign w:val="bottom"/>
            <w:hideMark/>
          </w:tcPr>
          <w:p w:rsidR="00971F30" w:rsidRPr="00AF614D" w:rsidRDefault="00971F30" w:rsidP="00C14EEF">
            <w:pPr>
              <w:jc w:val="center"/>
              <w:rPr>
                <w:rFonts w:ascii="Arial" w:hAnsi="Arial" w:cs="Arial"/>
                <w:b/>
                <w:bCs/>
                <w:color w:val="000000"/>
                <w:sz w:val="18"/>
                <w:szCs w:val="18"/>
              </w:rPr>
            </w:pPr>
            <w:r>
              <w:rPr>
                <w:rFonts w:ascii="Arial" w:hAnsi="Arial"/>
                <w:b/>
                <w:bCs/>
                <w:color w:val="000000"/>
                <w:sz w:val="18"/>
                <w:szCs w:val="18"/>
              </w:rPr>
              <w:t>Липень</w:t>
            </w:r>
          </w:p>
        </w:tc>
      </w:tr>
      <w:tr w:rsidR="00D13A56" w:rsidRPr="00AF614D" w:rsidTr="00D13A56">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D13A56" w:rsidRPr="00AF614D" w:rsidRDefault="00D13A56" w:rsidP="00C14EEF">
            <w:pPr>
              <w:jc w:val="right"/>
              <w:rPr>
                <w:rFonts w:ascii="Arial" w:hAnsi="Arial" w:cs="Arial"/>
                <w:b/>
                <w:bCs/>
                <w:color w:val="000000"/>
                <w:sz w:val="18"/>
                <w:szCs w:val="18"/>
              </w:rPr>
            </w:pPr>
            <w:r>
              <w:rPr>
                <w:rFonts w:ascii="Arial" w:hAnsi="Arial"/>
                <w:b/>
                <w:bCs/>
                <w:color w:val="000000"/>
                <w:sz w:val="18"/>
                <w:szCs w:val="18"/>
              </w:rPr>
              <w:t>2014</w:t>
            </w:r>
          </w:p>
        </w:tc>
        <w:tc>
          <w:tcPr>
            <w:tcW w:w="992" w:type="dxa"/>
            <w:tcBorders>
              <w:top w:val="nil"/>
              <w:left w:val="nil"/>
              <w:bottom w:val="single" w:sz="4" w:space="0" w:color="auto"/>
              <w:right w:val="single" w:sz="4" w:space="0" w:color="auto"/>
            </w:tcBorders>
            <w:shd w:val="clear" w:color="auto" w:fill="auto"/>
            <w:noWrap/>
            <w:vAlign w:val="bottom"/>
            <w:hideMark/>
          </w:tcPr>
          <w:p w:rsidR="00D13A56" w:rsidRDefault="00D13A56" w:rsidP="00C14EEF">
            <w:pPr>
              <w:jc w:val="right"/>
              <w:rPr>
                <w:color w:val="000000"/>
              </w:rPr>
            </w:pPr>
            <w:r>
              <w:rPr>
                <w:color w:val="000000"/>
              </w:rPr>
              <w:t>347378</w:t>
            </w:r>
          </w:p>
        </w:tc>
        <w:tc>
          <w:tcPr>
            <w:tcW w:w="997" w:type="dxa"/>
            <w:tcBorders>
              <w:top w:val="nil"/>
              <w:left w:val="nil"/>
              <w:bottom w:val="single" w:sz="4" w:space="0" w:color="auto"/>
              <w:right w:val="single" w:sz="4" w:space="0" w:color="auto"/>
            </w:tcBorders>
            <w:shd w:val="clear" w:color="auto" w:fill="auto"/>
            <w:noWrap/>
            <w:vAlign w:val="bottom"/>
            <w:hideMark/>
          </w:tcPr>
          <w:p w:rsidR="00D13A56" w:rsidRDefault="00D13A56" w:rsidP="00C14EEF">
            <w:pPr>
              <w:jc w:val="right"/>
              <w:rPr>
                <w:color w:val="000000"/>
              </w:rPr>
            </w:pPr>
            <w:r>
              <w:rPr>
                <w:color w:val="000000"/>
              </w:rPr>
              <w:t>376291</w:t>
            </w:r>
          </w:p>
        </w:tc>
        <w:tc>
          <w:tcPr>
            <w:tcW w:w="992" w:type="dxa"/>
            <w:tcBorders>
              <w:top w:val="nil"/>
              <w:left w:val="nil"/>
              <w:bottom w:val="single" w:sz="4" w:space="0" w:color="auto"/>
              <w:right w:val="single" w:sz="4" w:space="0" w:color="auto"/>
            </w:tcBorders>
            <w:shd w:val="clear" w:color="auto" w:fill="auto"/>
            <w:noWrap/>
            <w:vAlign w:val="bottom"/>
            <w:hideMark/>
          </w:tcPr>
          <w:p w:rsidR="00D13A56" w:rsidRDefault="00D13A56" w:rsidP="00C14EEF">
            <w:pPr>
              <w:jc w:val="right"/>
              <w:rPr>
                <w:color w:val="000000"/>
              </w:rPr>
            </w:pPr>
            <w:r>
              <w:rPr>
                <w:color w:val="000000"/>
              </w:rPr>
              <w:t>370353</w:t>
            </w:r>
          </w:p>
        </w:tc>
        <w:tc>
          <w:tcPr>
            <w:tcW w:w="917" w:type="dxa"/>
            <w:tcBorders>
              <w:top w:val="nil"/>
              <w:left w:val="nil"/>
              <w:bottom w:val="single" w:sz="4" w:space="0" w:color="auto"/>
              <w:right w:val="single" w:sz="4" w:space="0" w:color="auto"/>
            </w:tcBorders>
            <w:shd w:val="clear" w:color="auto" w:fill="auto"/>
            <w:noWrap/>
            <w:vAlign w:val="bottom"/>
            <w:hideMark/>
          </w:tcPr>
          <w:p w:rsidR="00D13A56" w:rsidRDefault="00D13A56" w:rsidP="00C14EEF">
            <w:pPr>
              <w:jc w:val="right"/>
              <w:rPr>
                <w:color w:val="000000"/>
              </w:rPr>
            </w:pPr>
            <w:r>
              <w:rPr>
                <w:color w:val="000000"/>
              </w:rPr>
              <w:t>437155</w:t>
            </w:r>
          </w:p>
        </w:tc>
        <w:tc>
          <w:tcPr>
            <w:tcW w:w="997" w:type="dxa"/>
            <w:tcBorders>
              <w:top w:val="nil"/>
              <w:left w:val="nil"/>
              <w:bottom w:val="single" w:sz="4" w:space="0" w:color="auto"/>
              <w:right w:val="single" w:sz="4" w:space="0" w:color="auto"/>
            </w:tcBorders>
            <w:shd w:val="clear" w:color="auto" w:fill="auto"/>
            <w:noWrap/>
            <w:vAlign w:val="bottom"/>
            <w:hideMark/>
          </w:tcPr>
          <w:p w:rsidR="00D13A56" w:rsidRDefault="00D13A56" w:rsidP="00C14EEF">
            <w:pPr>
              <w:jc w:val="right"/>
              <w:rPr>
                <w:color w:val="000000"/>
              </w:rPr>
            </w:pPr>
            <w:r>
              <w:rPr>
                <w:color w:val="000000"/>
              </w:rPr>
              <w:t>419181</w:t>
            </w:r>
          </w:p>
        </w:tc>
        <w:tc>
          <w:tcPr>
            <w:tcW w:w="1134" w:type="dxa"/>
            <w:tcBorders>
              <w:top w:val="nil"/>
              <w:left w:val="nil"/>
              <w:bottom w:val="single" w:sz="4" w:space="0" w:color="auto"/>
              <w:right w:val="single" w:sz="4" w:space="0" w:color="auto"/>
            </w:tcBorders>
            <w:shd w:val="clear" w:color="auto" w:fill="auto"/>
            <w:noWrap/>
            <w:vAlign w:val="bottom"/>
            <w:hideMark/>
          </w:tcPr>
          <w:p w:rsidR="00D13A56" w:rsidRDefault="00D13A56" w:rsidP="00C14EEF">
            <w:pPr>
              <w:jc w:val="right"/>
              <w:rPr>
                <w:color w:val="000000"/>
              </w:rPr>
            </w:pPr>
            <w:r>
              <w:rPr>
                <w:color w:val="000000"/>
              </w:rPr>
              <w:t>430752</w:t>
            </w:r>
          </w:p>
        </w:tc>
        <w:tc>
          <w:tcPr>
            <w:tcW w:w="1200" w:type="dxa"/>
            <w:tcBorders>
              <w:top w:val="nil"/>
              <w:left w:val="nil"/>
              <w:bottom w:val="single" w:sz="4" w:space="0" w:color="auto"/>
              <w:right w:val="single" w:sz="4" w:space="0" w:color="auto"/>
            </w:tcBorders>
            <w:shd w:val="clear" w:color="auto" w:fill="auto"/>
            <w:noWrap/>
            <w:vAlign w:val="bottom"/>
            <w:hideMark/>
          </w:tcPr>
          <w:p w:rsidR="00D13A56" w:rsidRDefault="00D13A56" w:rsidP="00C14EEF">
            <w:pPr>
              <w:jc w:val="right"/>
              <w:rPr>
                <w:color w:val="000000"/>
              </w:rPr>
            </w:pPr>
            <w:r>
              <w:rPr>
                <w:color w:val="000000"/>
              </w:rPr>
              <w:t>490591</w:t>
            </w:r>
          </w:p>
        </w:tc>
      </w:tr>
      <w:tr w:rsidR="00D13A56" w:rsidRPr="00AF614D" w:rsidTr="00D13A56">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D13A56" w:rsidRPr="00AF614D" w:rsidRDefault="00D13A56" w:rsidP="00C14EEF">
            <w:pPr>
              <w:jc w:val="right"/>
              <w:rPr>
                <w:rFonts w:ascii="Arial" w:hAnsi="Arial" w:cs="Arial"/>
                <w:b/>
                <w:bCs/>
                <w:color w:val="000000"/>
                <w:sz w:val="18"/>
                <w:szCs w:val="18"/>
              </w:rPr>
            </w:pPr>
            <w:r>
              <w:rPr>
                <w:rFonts w:ascii="Arial" w:hAnsi="Arial"/>
                <w:b/>
                <w:bCs/>
                <w:color w:val="000000"/>
                <w:sz w:val="18"/>
                <w:szCs w:val="18"/>
              </w:rPr>
              <w:t>2015</w:t>
            </w:r>
          </w:p>
        </w:tc>
        <w:tc>
          <w:tcPr>
            <w:tcW w:w="992" w:type="dxa"/>
            <w:tcBorders>
              <w:top w:val="nil"/>
              <w:left w:val="nil"/>
              <w:bottom w:val="single" w:sz="4" w:space="0" w:color="auto"/>
              <w:right w:val="single" w:sz="4" w:space="0" w:color="auto"/>
            </w:tcBorders>
            <w:shd w:val="clear" w:color="auto" w:fill="auto"/>
            <w:noWrap/>
            <w:vAlign w:val="bottom"/>
            <w:hideMark/>
          </w:tcPr>
          <w:p w:rsidR="00D13A56" w:rsidRDefault="00D13A56" w:rsidP="00C14EEF">
            <w:pPr>
              <w:jc w:val="right"/>
              <w:rPr>
                <w:color w:val="000000"/>
              </w:rPr>
            </w:pPr>
            <w:r>
              <w:rPr>
                <w:color w:val="000000"/>
              </w:rPr>
              <w:t>732307</w:t>
            </w:r>
          </w:p>
        </w:tc>
        <w:tc>
          <w:tcPr>
            <w:tcW w:w="997" w:type="dxa"/>
            <w:tcBorders>
              <w:top w:val="nil"/>
              <w:left w:val="nil"/>
              <w:bottom w:val="single" w:sz="4" w:space="0" w:color="auto"/>
              <w:right w:val="single" w:sz="4" w:space="0" w:color="auto"/>
            </w:tcBorders>
            <w:shd w:val="clear" w:color="auto" w:fill="auto"/>
            <w:noWrap/>
            <w:vAlign w:val="bottom"/>
            <w:hideMark/>
          </w:tcPr>
          <w:p w:rsidR="00D13A56" w:rsidRDefault="00D13A56" w:rsidP="00C14EEF">
            <w:pPr>
              <w:jc w:val="right"/>
              <w:rPr>
                <w:color w:val="000000"/>
              </w:rPr>
            </w:pPr>
            <w:r>
              <w:rPr>
                <w:color w:val="000000"/>
              </w:rPr>
              <w:t>625627</w:t>
            </w:r>
          </w:p>
        </w:tc>
        <w:tc>
          <w:tcPr>
            <w:tcW w:w="992" w:type="dxa"/>
            <w:tcBorders>
              <w:top w:val="nil"/>
              <w:left w:val="nil"/>
              <w:bottom w:val="single" w:sz="4" w:space="0" w:color="auto"/>
              <w:right w:val="single" w:sz="4" w:space="0" w:color="auto"/>
            </w:tcBorders>
            <w:shd w:val="clear" w:color="auto" w:fill="auto"/>
            <w:noWrap/>
            <w:vAlign w:val="bottom"/>
            <w:hideMark/>
          </w:tcPr>
          <w:p w:rsidR="00D13A56" w:rsidRDefault="00D13A56" w:rsidP="00C14EEF">
            <w:pPr>
              <w:jc w:val="right"/>
              <w:rPr>
                <w:color w:val="000000"/>
              </w:rPr>
            </w:pPr>
            <w:r>
              <w:rPr>
                <w:color w:val="000000"/>
              </w:rPr>
              <w:t>684431</w:t>
            </w:r>
          </w:p>
        </w:tc>
        <w:tc>
          <w:tcPr>
            <w:tcW w:w="917" w:type="dxa"/>
            <w:tcBorders>
              <w:top w:val="nil"/>
              <w:left w:val="nil"/>
              <w:bottom w:val="single" w:sz="4" w:space="0" w:color="auto"/>
              <w:right w:val="single" w:sz="4" w:space="0" w:color="auto"/>
            </w:tcBorders>
            <w:shd w:val="clear" w:color="auto" w:fill="auto"/>
            <w:noWrap/>
            <w:vAlign w:val="bottom"/>
            <w:hideMark/>
          </w:tcPr>
          <w:p w:rsidR="00D13A56" w:rsidRDefault="00D13A56" w:rsidP="00C14EEF">
            <w:pPr>
              <w:jc w:val="right"/>
              <w:rPr>
                <w:color w:val="000000"/>
              </w:rPr>
            </w:pPr>
            <w:r>
              <w:rPr>
                <w:color w:val="000000"/>
              </w:rPr>
              <w:t>456900</w:t>
            </w:r>
          </w:p>
        </w:tc>
        <w:tc>
          <w:tcPr>
            <w:tcW w:w="997" w:type="dxa"/>
            <w:tcBorders>
              <w:top w:val="nil"/>
              <w:left w:val="nil"/>
              <w:bottom w:val="single" w:sz="4" w:space="0" w:color="auto"/>
              <w:right w:val="single" w:sz="4" w:space="0" w:color="auto"/>
            </w:tcBorders>
            <w:shd w:val="clear" w:color="auto" w:fill="auto"/>
            <w:noWrap/>
            <w:vAlign w:val="bottom"/>
            <w:hideMark/>
          </w:tcPr>
          <w:p w:rsidR="00D13A56" w:rsidRDefault="00D13A56" w:rsidP="00C14EEF">
            <w:pPr>
              <w:jc w:val="right"/>
              <w:rPr>
                <w:color w:val="000000"/>
              </w:rPr>
            </w:pPr>
            <w:r>
              <w:rPr>
                <w:color w:val="000000"/>
              </w:rPr>
              <w:t>533760</w:t>
            </w:r>
          </w:p>
        </w:tc>
        <w:tc>
          <w:tcPr>
            <w:tcW w:w="1134" w:type="dxa"/>
            <w:tcBorders>
              <w:top w:val="nil"/>
              <w:left w:val="nil"/>
              <w:bottom w:val="single" w:sz="4" w:space="0" w:color="auto"/>
              <w:right w:val="single" w:sz="4" w:space="0" w:color="auto"/>
            </w:tcBorders>
            <w:shd w:val="clear" w:color="auto" w:fill="auto"/>
            <w:noWrap/>
            <w:vAlign w:val="bottom"/>
            <w:hideMark/>
          </w:tcPr>
          <w:p w:rsidR="00D13A56" w:rsidRDefault="00D13A56" w:rsidP="00C14EEF">
            <w:pPr>
              <w:jc w:val="right"/>
              <w:rPr>
                <w:color w:val="000000"/>
              </w:rPr>
            </w:pPr>
            <w:r>
              <w:rPr>
                <w:color w:val="000000"/>
              </w:rPr>
              <w:t>439753</w:t>
            </w:r>
          </w:p>
        </w:tc>
        <w:tc>
          <w:tcPr>
            <w:tcW w:w="1200" w:type="dxa"/>
            <w:tcBorders>
              <w:top w:val="nil"/>
              <w:left w:val="nil"/>
              <w:bottom w:val="single" w:sz="4" w:space="0" w:color="auto"/>
              <w:right w:val="single" w:sz="4" w:space="0" w:color="auto"/>
            </w:tcBorders>
            <w:shd w:val="clear" w:color="auto" w:fill="auto"/>
            <w:noWrap/>
            <w:vAlign w:val="bottom"/>
            <w:hideMark/>
          </w:tcPr>
          <w:p w:rsidR="00D13A56" w:rsidRDefault="00D13A56" w:rsidP="00C14EEF">
            <w:pPr>
              <w:jc w:val="right"/>
              <w:rPr>
                <w:color w:val="000000"/>
              </w:rPr>
            </w:pPr>
            <w:r>
              <w:rPr>
                <w:color w:val="000000"/>
              </w:rPr>
              <w:t>578887</w:t>
            </w:r>
          </w:p>
        </w:tc>
      </w:tr>
      <w:tr w:rsidR="00D13A56" w:rsidRPr="00AF614D" w:rsidTr="00D13A56">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D13A56" w:rsidRPr="00AF614D" w:rsidRDefault="00D13A56" w:rsidP="00C14EEF">
            <w:pPr>
              <w:jc w:val="right"/>
              <w:rPr>
                <w:rFonts w:ascii="Arial" w:hAnsi="Arial" w:cs="Arial"/>
                <w:b/>
                <w:bCs/>
                <w:color w:val="000000"/>
                <w:sz w:val="18"/>
                <w:szCs w:val="18"/>
              </w:rPr>
            </w:pPr>
            <w:r>
              <w:rPr>
                <w:rFonts w:ascii="Arial" w:hAnsi="Arial"/>
                <w:b/>
                <w:bCs/>
                <w:color w:val="000000"/>
                <w:sz w:val="18"/>
                <w:szCs w:val="18"/>
              </w:rPr>
              <w:t>2016</w:t>
            </w:r>
          </w:p>
        </w:tc>
        <w:tc>
          <w:tcPr>
            <w:tcW w:w="992" w:type="dxa"/>
            <w:tcBorders>
              <w:top w:val="nil"/>
              <w:left w:val="nil"/>
              <w:bottom w:val="single" w:sz="4" w:space="0" w:color="auto"/>
              <w:right w:val="single" w:sz="4" w:space="0" w:color="auto"/>
            </w:tcBorders>
            <w:shd w:val="clear" w:color="auto" w:fill="auto"/>
            <w:noWrap/>
            <w:vAlign w:val="bottom"/>
            <w:hideMark/>
          </w:tcPr>
          <w:p w:rsidR="00D13A56" w:rsidRDefault="00D13A56" w:rsidP="00C14EEF">
            <w:pPr>
              <w:jc w:val="right"/>
              <w:rPr>
                <w:color w:val="000000"/>
              </w:rPr>
            </w:pPr>
            <w:r>
              <w:rPr>
                <w:color w:val="000000"/>
              </w:rPr>
              <w:t>427102</w:t>
            </w:r>
          </w:p>
        </w:tc>
        <w:tc>
          <w:tcPr>
            <w:tcW w:w="997" w:type="dxa"/>
            <w:tcBorders>
              <w:top w:val="nil"/>
              <w:left w:val="nil"/>
              <w:bottom w:val="single" w:sz="4" w:space="0" w:color="auto"/>
              <w:right w:val="single" w:sz="4" w:space="0" w:color="auto"/>
            </w:tcBorders>
            <w:shd w:val="clear" w:color="auto" w:fill="auto"/>
            <w:noWrap/>
            <w:vAlign w:val="bottom"/>
            <w:hideMark/>
          </w:tcPr>
          <w:p w:rsidR="00D13A56" w:rsidRDefault="00D13A56" w:rsidP="00C14EEF">
            <w:pPr>
              <w:jc w:val="right"/>
              <w:rPr>
                <w:color w:val="000000"/>
              </w:rPr>
            </w:pPr>
            <w:r>
              <w:rPr>
                <w:color w:val="000000"/>
              </w:rPr>
              <w:t>780879</w:t>
            </w:r>
          </w:p>
        </w:tc>
        <w:tc>
          <w:tcPr>
            <w:tcW w:w="992" w:type="dxa"/>
            <w:tcBorders>
              <w:top w:val="nil"/>
              <w:left w:val="nil"/>
              <w:bottom w:val="single" w:sz="4" w:space="0" w:color="auto"/>
              <w:right w:val="single" w:sz="4" w:space="0" w:color="auto"/>
            </w:tcBorders>
            <w:shd w:val="clear" w:color="auto" w:fill="auto"/>
            <w:noWrap/>
            <w:vAlign w:val="bottom"/>
            <w:hideMark/>
          </w:tcPr>
          <w:p w:rsidR="00D13A56" w:rsidRDefault="00D13A56" w:rsidP="00C14EEF">
            <w:pPr>
              <w:jc w:val="right"/>
              <w:rPr>
                <w:color w:val="000000"/>
              </w:rPr>
            </w:pPr>
            <w:r>
              <w:rPr>
                <w:color w:val="000000"/>
              </w:rPr>
              <w:t>795938</w:t>
            </w:r>
          </w:p>
        </w:tc>
        <w:tc>
          <w:tcPr>
            <w:tcW w:w="917" w:type="dxa"/>
            <w:tcBorders>
              <w:top w:val="nil"/>
              <w:left w:val="nil"/>
              <w:bottom w:val="single" w:sz="4" w:space="0" w:color="auto"/>
              <w:right w:val="single" w:sz="4" w:space="0" w:color="auto"/>
            </w:tcBorders>
            <w:shd w:val="clear" w:color="auto" w:fill="auto"/>
            <w:noWrap/>
            <w:vAlign w:val="bottom"/>
            <w:hideMark/>
          </w:tcPr>
          <w:p w:rsidR="00D13A56" w:rsidRDefault="00D13A56" w:rsidP="00C14EEF">
            <w:pPr>
              <w:jc w:val="right"/>
              <w:rPr>
                <w:color w:val="000000"/>
              </w:rPr>
            </w:pPr>
            <w:r>
              <w:rPr>
                <w:color w:val="000000"/>
              </w:rPr>
              <w:t>558944</w:t>
            </w:r>
          </w:p>
        </w:tc>
        <w:tc>
          <w:tcPr>
            <w:tcW w:w="997" w:type="dxa"/>
            <w:tcBorders>
              <w:top w:val="nil"/>
              <w:left w:val="nil"/>
              <w:bottom w:val="single" w:sz="4" w:space="0" w:color="auto"/>
              <w:right w:val="single" w:sz="4" w:space="0" w:color="auto"/>
            </w:tcBorders>
            <w:shd w:val="clear" w:color="auto" w:fill="auto"/>
            <w:noWrap/>
            <w:vAlign w:val="bottom"/>
            <w:hideMark/>
          </w:tcPr>
          <w:p w:rsidR="00D13A56" w:rsidRDefault="00D13A56" w:rsidP="00C14EEF">
            <w:pPr>
              <w:jc w:val="right"/>
              <w:rPr>
                <w:color w:val="000000"/>
              </w:rPr>
            </w:pPr>
            <w:r>
              <w:rPr>
                <w:color w:val="000000"/>
              </w:rPr>
              <w:t>538118</w:t>
            </w:r>
          </w:p>
        </w:tc>
        <w:tc>
          <w:tcPr>
            <w:tcW w:w="1134" w:type="dxa"/>
            <w:tcBorders>
              <w:top w:val="nil"/>
              <w:left w:val="nil"/>
              <w:bottom w:val="single" w:sz="4" w:space="0" w:color="auto"/>
              <w:right w:val="single" w:sz="4" w:space="0" w:color="auto"/>
            </w:tcBorders>
            <w:shd w:val="clear" w:color="auto" w:fill="auto"/>
            <w:noWrap/>
            <w:vAlign w:val="bottom"/>
            <w:hideMark/>
          </w:tcPr>
          <w:p w:rsidR="00D13A56" w:rsidRDefault="00D13A56" w:rsidP="00C14EEF">
            <w:pPr>
              <w:jc w:val="right"/>
              <w:rPr>
                <w:color w:val="000000"/>
              </w:rPr>
            </w:pPr>
            <w:r>
              <w:rPr>
                <w:color w:val="000000"/>
              </w:rPr>
              <w:t>701556</w:t>
            </w:r>
          </w:p>
        </w:tc>
        <w:tc>
          <w:tcPr>
            <w:tcW w:w="1200" w:type="dxa"/>
            <w:tcBorders>
              <w:top w:val="nil"/>
              <w:left w:val="nil"/>
              <w:bottom w:val="single" w:sz="4" w:space="0" w:color="auto"/>
              <w:right w:val="single" w:sz="4" w:space="0" w:color="auto"/>
            </w:tcBorders>
            <w:shd w:val="clear" w:color="auto" w:fill="auto"/>
            <w:noWrap/>
            <w:vAlign w:val="bottom"/>
            <w:hideMark/>
          </w:tcPr>
          <w:p w:rsidR="00D13A56" w:rsidRDefault="00D13A56" w:rsidP="00C14EEF">
            <w:pPr>
              <w:jc w:val="right"/>
              <w:rPr>
                <w:color w:val="000000"/>
              </w:rPr>
            </w:pPr>
            <w:r>
              <w:rPr>
                <w:color w:val="000000"/>
              </w:rPr>
              <w:t>643644</w:t>
            </w:r>
          </w:p>
        </w:tc>
      </w:tr>
      <w:tr w:rsidR="00D13A56" w:rsidRPr="00AF614D" w:rsidTr="00D13A56">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D13A56" w:rsidRPr="00AF614D" w:rsidRDefault="00D13A56" w:rsidP="00C14EEF">
            <w:pPr>
              <w:jc w:val="right"/>
              <w:rPr>
                <w:rFonts w:ascii="Arial" w:hAnsi="Arial" w:cs="Arial"/>
                <w:b/>
                <w:bCs/>
                <w:color w:val="000000"/>
                <w:sz w:val="18"/>
                <w:szCs w:val="18"/>
              </w:rPr>
            </w:pPr>
            <w:r>
              <w:rPr>
                <w:rFonts w:ascii="Arial" w:hAnsi="Arial"/>
                <w:b/>
                <w:bCs/>
                <w:color w:val="000000"/>
                <w:sz w:val="18"/>
                <w:szCs w:val="18"/>
              </w:rPr>
              <w:t>2017</w:t>
            </w:r>
          </w:p>
        </w:tc>
        <w:tc>
          <w:tcPr>
            <w:tcW w:w="992" w:type="dxa"/>
            <w:tcBorders>
              <w:top w:val="nil"/>
              <w:left w:val="nil"/>
              <w:bottom w:val="single" w:sz="4" w:space="0" w:color="auto"/>
              <w:right w:val="single" w:sz="4" w:space="0" w:color="auto"/>
            </w:tcBorders>
            <w:shd w:val="clear" w:color="auto" w:fill="auto"/>
            <w:noWrap/>
            <w:vAlign w:val="bottom"/>
            <w:hideMark/>
          </w:tcPr>
          <w:p w:rsidR="00D13A56" w:rsidRDefault="00D13A56" w:rsidP="00C14EEF">
            <w:pPr>
              <w:jc w:val="right"/>
              <w:rPr>
                <w:color w:val="000000"/>
              </w:rPr>
            </w:pPr>
            <w:r>
              <w:rPr>
                <w:color w:val="000000"/>
              </w:rPr>
              <w:t>-305947</w:t>
            </w:r>
          </w:p>
        </w:tc>
        <w:tc>
          <w:tcPr>
            <w:tcW w:w="997" w:type="dxa"/>
            <w:tcBorders>
              <w:top w:val="nil"/>
              <w:left w:val="nil"/>
              <w:bottom w:val="single" w:sz="4" w:space="0" w:color="auto"/>
              <w:right w:val="single" w:sz="4" w:space="0" w:color="auto"/>
            </w:tcBorders>
            <w:shd w:val="clear" w:color="auto" w:fill="auto"/>
            <w:noWrap/>
            <w:vAlign w:val="bottom"/>
            <w:hideMark/>
          </w:tcPr>
          <w:p w:rsidR="00D13A56" w:rsidRDefault="00D13A56" w:rsidP="00C14EEF">
            <w:pPr>
              <w:jc w:val="right"/>
              <w:rPr>
                <w:color w:val="000000"/>
              </w:rPr>
            </w:pPr>
            <w:r>
              <w:rPr>
                <w:color w:val="000000"/>
              </w:rPr>
              <w:t>577515</w:t>
            </w:r>
          </w:p>
        </w:tc>
        <w:tc>
          <w:tcPr>
            <w:tcW w:w="992" w:type="dxa"/>
            <w:tcBorders>
              <w:top w:val="nil"/>
              <w:left w:val="nil"/>
              <w:bottom w:val="single" w:sz="4" w:space="0" w:color="auto"/>
              <w:right w:val="single" w:sz="4" w:space="0" w:color="auto"/>
            </w:tcBorders>
            <w:shd w:val="clear" w:color="auto" w:fill="auto"/>
            <w:noWrap/>
            <w:vAlign w:val="bottom"/>
            <w:hideMark/>
          </w:tcPr>
          <w:p w:rsidR="00D13A56" w:rsidRDefault="00D13A56" w:rsidP="00C14EEF">
            <w:pPr>
              <w:jc w:val="right"/>
              <w:rPr>
                <w:color w:val="000000"/>
              </w:rPr>
            </w:pPr>
            <w:r>
              <w:rPr>
                <w:color w:val="000000"/>
              </w:rPr>
              <w:t>455306</w:t>
            </w:r>
          </w:p>
        </w:tc>
        <w:tc>
          <w:tcPr>
            <w:tcW w:w="917" w:type="dxa"/>
            <w:tcBorders>
              <w:top w:val="nil"/>
              <w:left w:val="nil"/>
              <w:bottom w:val="single" w:sz="4" w:space="0" w:color="auto"/>
              <w:right w:val="single" w:sz="4" w:space="0" w:color="auto"/>
            </w:tcBorders>
            <w:shd w:val="clear" w:color="auto" w:fill="auto"/>
            <w:noWrap/>
            <w:vAlign w:val="bottom"/>
            <w:hideMark/>
          </w:tcPr>
          <w:p w:rsidR="00D13A56" w:rsidRDefault="00D13A56" w:rsidP="00C14EEF">
            <w:pPr>
              <w:jc w:val="right"/>
              <w:rPr>
                <w:color w:val="000000"/>
              </w:rPr>
            </w:pPr>
            <w:r>
              <w:rPr>
                <w:color w:val="000000"/>
              </w:rPr>
              <w:t>562447</w:t>
            </w:r>
          </w:p>
        </w:tc>
        <w:tc>
          <w:tcPr>
            <w:tcW w:w="997" w:type="dxa"/>
            <w:tcBorders>
              <w:top w:val="nil"/>
              <w:left w:val="nil"/>
              <w:bottom w:val="single" w:sz="4" w:space="0" w:color="auto"/>
              <w:right w:val="single" w:sz="4" w:space="0" w:color="auto"/>
            </w:tcBorders>
            <w:shd w:val="clear" w:color="auto" w:fill="auto"/>
            <w:noWrap/>
            <w:vAlign w:val="bottom"/>
            <w:hideMark/>
          </w:tcPr>
          <w:p w:rsidR="00D13A56" w:rsidRDefault="00D13A56" w:rsidP="00C14EEF">
            <w:pPr>
              <w:jc w:val="right"/>
              <w:rPr>
                <w:color w:val="000000"/>
              </w:rPr>
            </w:pPr>
            <w:r>
              <w:rPr>
                <w:color w:val="000000"/>
              </w:rPr>
              <w:t>380871</w:t>
            </w:r>
          </w:p>
        </w:tc>
        <w:tc>
          <w:tcPr>
            <w:tcW w:w="1134" w:type="dxa"/>
            <w:tcBorders>
              <w:top w:val="nil"/>
              <w:left w:val="nil"/>
              <w:bottom w:val="single" w:sz="4" w:space="0" w:color="auto"/>
              <w:right w:val="single" w:sz="4" w:space="0" w:color="auto"/>
            </w:tcBorders>
            <w:shd w:val="clear" w:color="auto" w:fill="auto"/>
            <w:noWrap/>
            <w:vAlign w:val="bottom"/>
            <w:hideMark/>
          </w:tcPr>
          <w:p w:rsidR="00D13A56" w:rsidRDefault="00D13A56" w:rsidP="00C14EEF">
            <w:pPr>
              <w:jc w:val="right"/>
              <w:rPr>
                <w:color w:val="000000"/>
              </w:rPr>
            </w:pPr>
            <w:r>
              <w:rPr>
                <w:color w:val="000000"/>
              </w:rPr>
              <w:t>839803</w:t>
            </w:r>
          </w:p>
        </w:tc>
        <w:tc>
          <w:tcPr>
            <w:tcW w:w="1200" w:type="dxa"/>
            <w:tcBorders>
              <w:top w:val="nil"/>
              <w:left w:val="nil"/>
              <w:bottom w:val="single" w:sz="4" w:space="0" w:color="auto"/>
              <w:right w:val="single" w:sz="4" w:space="0" w:color="auto"/>
            </w:tcBorders>
            <w:shd w:val="clear" w:color="auto" w:fill="auto"/>
            <w:noWrap/>
            <w:vAlign w:val="bottom"/>
            <w:hideMark/>
          </w:tcPr>
          <w:p w:rsidR="00D13A56" w:rsidRDefault="00D13A56" w:rsidP="00C14EEF">
            <w:pPr>
              <w:jc w:val="right"/>
              <w:rPr>
                <w:color w:val="000000"/>
              </w:rPr>
            </w:pPr>
            <w:r>
              <w:rPr>
                <w:color w:val="000000"/>
              </w:rPr>
              <w:t>566687</w:t>
            </w:r>
          </w:p>
        </w:tc>
      </w:tr>
      <w:tr w:rsidR="00D13A56" w:rsidRPr="00AF614D" w:rsidTr="00D13A56">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D13A56" w:rsidRPr="00AF614D" w:rsidRDefault="00D13A56" w:rsidP="00C14EEF">
            <w:pPr>
              <w:jc w:val="right"/>
              <w:rPr>
                <w:rFonts w:ascii="Arial" w:hAnsi="Arial" w:cs="Arial"/>
                <w:b/>
                <w:bCs/>
                <w:color w:val="000000"/>
                <w:sz w:val="18"/>
                <w:szCs w:val="18"/>
              </w:rPr>
            </w:pPr>
            <w:r>
              <w:rPr>
                <w:rFonts w:ascii="Arial" w:hAnsi="Arial"/>
                <w:b/>
                <w:bCs/>
                <w:color w:val="000000"/>
                <w:sz w:val="18"/>
                <w:szCs w:val="18"/>
              </w:rPr>
              <w:t>2018</w:t>
            </w:r>
          </w:p>
        </w:tc>
        <w:tc>
          <w:tcPr>
            <w:tcW w:w="992" w:type="dxa"/>
            <w:tcBorders>
              <w:top w:val="nil"/>
              <w:left w:val="nil"/>
              <w:bottom w:val="single" w:sz="4" w:space="0" w:color="auto"/>
              <w:right w:val="single" w:sz="4" w:space="0" w:color="auto"/>
            </w:tcBorders>
            <w:shd w:val="clear" w:color="auto" w:fill="auto"/>
            <w:noWrap/>
            <w:vAlign w:val="bottom"/>
            <w:hideMark/>
          </w:tcPr>
          <w:p w:rsidR="00D13A56" w:rsidRDefault="00D13A56" w:rsidP="00C14EEF">
            <w:pPr>
              <w:jc w:val="right"/>
              <w:rPr>
                <w:color w:val="000000"/>
              </w:rPr>
            </w:pPr>
            <w:r>
              <w:rPr>
                <w:color w:val="000000"/>
              </w:rPr>
              <w:t>797757</w:t>
            </w:r>
          </w:p>
        </w:tc>
        <w:tc>
          <w:tcPr>
            <w:tcW w:w="997" w:type="dxa"/>
            <w:tcBorders>
              <w:top w:val="nil"/>
              <w:left w:val="nil"/>
              <w:bottom w:val="single" w:sz="4" w:space="0" w:color="auto"/>
              <w:right w:val="single" w:sz="4" w:space="0" w:color="auto"/>
            </w:tcBorders>
            <w:shd w:val="clear" w:color="auto" w:fill="auto"/>
            <w:noWrap/>
            <w:vAlign w:val="bottom"/>
            <w:hideMark/>
          </w:tcPr>
          <w:p w:rsidR="00D13A56" w:rsidRDefault="00D13A56" w:rsidP="00C14EEF">
            <w:pPr>
              <w:jc w:val="right"/>
              <w:rPr>
                <w:color w:val="000000"/>
              </w:rPr>
            </w:pPr>
            <w:r>
              <w:rPr>
                <w:color w:val="000000"/>
              </w:rPr>
              <w:t>824710</w:t>
            </w:r>
          </w:p>
        </w:tc>
        <w:tc>
          <w:tcPr>
            <w:tcW w:w="992" w:type="dxa"/>
            <w:tcBorders>
              <w:top w:val="nil"/>
              <w:left w:val="nil"/>
              <w:bottom w:val="single" w:sz="4" w:space="0" w:color="auto"/>
              <w:right w:val="single" w:sz="4" w:space="0" w:color="auto"/>
            </w:tcBorders>
            <w:shd w:val="clear" w:color="auto" w:fill="auto"/>
            <w:noWrap/>
            <w:vAlign w:val="bottom"/>
            <w:hideMark/>
          </w:tcPr>
          <w:p w:rsidR="00D13A56" w:rsidRDefault="00D13A56" w:rsidP="00C14EEF">
            <w:pPr>
              <w:jc w:val="right"/>
              <w:rPr>
                <w:color w:val="000000"/>
              </w:rPr>
            </w:pPr>
            <w:r>
              <w:rPr>
                <w:color w:val="000000"/>
              </w:rPr>
              <w:t>951799</w:t>
            </w:r>
          </w:p>
        </w:tc>
        <w:tc>
          <w:tcPr>
            <w:tcW w:w="917" w:type="dxa"/>
            <w:tcBorders>
              <w:top w:val="nil"/>
              <w:left w:val="nil"/>
              <w:bottom w:val="single" w:sz="4" w:space="0" w:color="auto"/>
              <w:right w:val="single" w:sz="4" w:space="0" w:color="auto"/>
            </w:tcBorders>
            <w:shd w:val="clear" w:color="auto" w:fill="auto"/>
            <w:noWrap/>
            <w:vAlign w:val="bottom"/>
            <w:hideMark/>
          </w:tcPr>
          <w:p w:rsidR="00D13A56" w:rsidRDefault="00D13A56" w:rsidP="00C14EEF">
            <w:pPr>
              <w:jc w:val="right"/>
              <w:rPr>
                <w:color w:val="000000"/>
              </w:rPr>
            </w:pPr>
            <w:r>
              <w:rPr>
                <w:color w:val="000000"/>
              </w:rPr>
              <w:t>772872</w:t>
            </w:r>
          </w:p>
        </w:tc>
        <w:tc>
          <w:tcPr>
            <w:tcW w:w="997" w:type="dxa"/>
            <w:tcBorders>
              <w:top w:val="nil"/>
              <w:left w:val="nil"/>
              <w:bottom w:val="single" w:sz="4" w:space="0" w:color="auto"/>
              <w:right w:val="single" w:sz="4" w:space="0" w:color="auto"/>
            </w:tcBorders>
            <w:shd w:val="clear" w:color="auto" w:fill="auto"/>
            <w:noWrap/>
            <w:vAlign w:val="bottom"/>
            <w:hideMark/>
          </w:tcPr>
          <w:p w:rsidR="00D13A56" w:rsidRDefault="00D13A56" w:rsidP="00C14EEF">
            <w:pPr>
              <w:jc w:val="right"/>
              <w:rPr>
                <w:color w:val="000000"/>
              </w:rPr>
            </w:pPr>
            <w:r>
              <w:rPr>
                <w:color w:val="000000"/>
              </w:rPr>
              <w:t>997210</w:t>
            </w:r>
          </w:p>
        </w:tc>
        <w:tc>
          <w:tcPr>
            <w:tcW w:w="1134" w:type="dxa"/>
            <w:tcBorders>
              <w:top w:val="nil"/>
              <w:left w:val="nil"/>
              <w:bottom w:val="single" w:sz="4" w:space="0" w:color="auto"/>
              <w:right w:val="single" w:sz="4" w:space="0" w:color="auto"/>
            </w:tcBorders>
            <w:shd w:val="clear" w:color="auto" w:fill="auto"/>
            <w:noWrap/>
            <w:vAlign w:val="bottom"/>
            <w:hideMark/>
          </w:tcPr>
          <w:p w:rsidR="00D13A56" w:rsidRDefault="00D13A56" w:rsidP="00C14EEF">
            <w:pPr>
              <w:jc w:val="right"/>
              <w:rPr>
                <w:color w:val="000000"/>
              </w:rPr>
            </w:pPr>
            <w:r>
              <w:rPr>
                <w:color w:val="000000"/>
              </w:rPr>
              <w:t>803923</w:t>
            </w:r>
          </w:p>
        </w:tc>
        <w:tc>
          <w:tcPr>
            <w:tcW w:w="1200" w:type="dxa"/>
            <w:tcBorders>
              <w:top w:val="nil"/>
              <w:left w:val="nil"/>
              <w:bottom w:val="single" w:sz="4" w:space="0" w:color="auto"/>
              <w:right w:val="single" w:sz="4" w:space="0" w:color="auto"/>
            </w:tcBorders>
            <w:shd w:val="clear" w:color="auto" w:fill="auto"/>
            <w:noWrap/>
            <w:vAlign w:val="bottom"/>
            <w:hideMark/>
          </w:tcPr>
          <w:p w:rsidR="00D13A56" w:rsidRDefault="00D13A56" w:rsidP="00C14EEF">
            <w:pPr>
              <w:jc w:val="right"/>
              <w:rPr>
                <w:color w:val="000000"/>
              </w:rPr>
            </w:pPr>
            <w:r>
              <w:rPr>
                <w:color w:val="000000"/>
              </w:rPr>
              <w:t>937225</w:t>
            </w:r>
          </w:p>
        </w:tc>
      </w:tr>
      <w:tr w:rsidR="00D13A56" w:rsidRPr="00AF614D" w:rsidTr="00D13A56">
        <w:trPr>
          <w:trHeight w:val="300"/>
        </w:trPr>
        <w:tc>
          <w:tcPr>
            <w:tcW w:w="724" w:type="dxa"/>
            <w:tcBorders>
              <w:top w:val="nil"/>
              <w:left w:val="single" w:sz="4" w:space="0" w:color="auto"/>
              <w:bottom w:val="single" w:sz="4" w:space="0" w:color="auto"/>
              <w:right w:val="single" w:sz="4" w:space="0" w:color="auto"/>
            </w:tcBorders>
            <w:shd w:val="clear" w:color="auto" w:fill="auto"/>
            <w:noWrap/>
            <w:vAlign w:val="bottom"/>
            <w:hideMark/>
          </w:tcPr>
          <w:p w:rsidR="00D13A56" w:rsidRPr="00AF614D" w:rsidRDefault="00D13A56" w:rsidP="00C14EEF">
            <w:pPr>
              <w:jc w:val="right"/>
              <w:rPr>
                <w:rFonts w:ascii="Arial" w:hAnsi="Arial" w:cs="Arial"/>
                <w:b/>
                <w:bCs/>
                <w:color w:val="000000"/>
                <w:sz w:val="18"/>
                <w:szCs w:val="18"/>
              </w:rPr>
            </w:pPr>
            <w:r>
              <w:rPr>
                <w:rFonts w:ascii="Arial" w:hAnsi="Arial"/>
                <w:b/>
                <w:bCs/>
                <w:color w:val="000000"/>
                <w:sz w:val="18"/>
                <w:szCs w:val="18"/>
              </w:rPr>
              <w:t>2019</w:t>
            </w:r>
          </w:p>
        </w:tc>
        <w:tc>
          <w:tcPr>
            <w:tcW w:w="992" w:type="dxa"/>
            <w:tcBorders>
              <w:top w:val="nil"/>
              <w:left w:val="nil"/>
              <w:bottom w:val="single" w:sz="4" w:space="0" w:color="auto"/>
              <w:right w:val="single" w:sz="4" w:space="0" w:color="auto"/>
            </w:tcBorders>
            <w:shd w:val="clear" w:color="auto" w:fill="auto"/>
            <w:noWrap/>
            <w:vAlign w:val="bottom"/>
            <w:hideMark/>
          </w:tcPr>
          <w:p w:rsidR="00D13A56" w:rsidRDefault="00D13A56" w:rsidP="00C14EEF">
            <w:pPr>
              <w:jc w:val="right"/>
              <w:rPr>
                <w:color w:val="000000"/>
              </w:rPr>
            </w:pPr>
            <w:r>
              <w:rPr>
                <w:color w:val="000000"/>
              </w:rPr>
              <w:t>994972</w:t>
            </w:r>
          </w:p>
        </w:tc>
        <w:tc>
          <w:tcPr>
            <w:tcW w:w="997" w:type="dxa"/>
            <w:tcBorders>
              <w:top w:val="nil"/>
              <w:left w:val="nil"/>
              <w:bottom w:val="single" w:sz="4" w:space="0" w:color="auto"/>
              <w:right w:val="single" w:sz="4" w:space="0" w:color="auto"/>
            </w:tcBorders>
            <w:shd w:val="clear" w:color="auto" w:fill="auto"/>
            <w:noWrap/>
            <w:vAlign w:val="bottom"/>
            <w:hideMark/>
          </w:tcPr>
          <w:p w:rsidR="00D13A56" w:rsidRDefault="00D13A56" w:rsidP="00C14EEF">
            <w:pPr>
              <w:jc w:val="right"/>
              <w:rPr>
                <w:color w:val="000000"/>
              </w:rPr>
            </w:pPr>
            <w:r>
              <w:rPr>
                <w:color w:val="000000"/>
              </w:rPr>
              <w:t>1192231</w:t>
            </w:r>
          </w:p>
        </w:tc>
        <w:tc>
          <w:tcPr>
            <w:tcW w:w="992" w:type="dxa"/>
            <w:tcBorders>
              <w:top w:val="nil"/>
              <w:left w:val="nil"/>
              <w:bottom w:val="single" w:sz="4" w:space="0" w:color="auto"/>
              <w:right w:val="single" w:sz="4" w:space="0" w:color="auto"/>
            </w:tcBorders>
            <w:shd w:val="clear" w:color="auto" w:fill="auto"/>
            <w:noWrap/>
            <w:vAlign w:val="bottom"/>
            <w:hideMark/>
          </w:tcPr>
          <w:p w:rsidR="00D13A56" w:rsidRDefault="00D13A56" w:rsidP="00C14EEF">
            <w:pPr>
              <w:jc w:val="right"/>
              <w:rPr>
                <w:color w:val="000000"/>
              </w:rPr>
            </w:pPr>
            <w:r>
              <w:rPr>
                <w:color w:val="000000"/>
              </w:rPr>
              <w:t>854421</w:t>
            </w:r>
          </w:p>
        </w:tc>
        <w:tc>
          <w:tcPr>
            <w:tcW w:w="917" w:type="dxa"/>
            <w:tcBorders>
              <w:top w:val="nil"/>
              <w:left w:val="nil"/>
              <w:bottom w:val="single" w:sz="4" w:space="0" w:color="auto"/>
              <w:right w:val="single" w:sz="4" w:space="0" w:color="auto"/>
            </w:tcBorders>
            <w:shd w:val="clear" w:color="auto" w:fill="auto"/>
            <w:noWrap/>
            <w:vAlign w:val="bottom"/>
            <w:hideMark/>
          </w:tcPr>
          <w:p w:rsidR="00D13A56" w:rsidRDefault="00D13A56" w:rsidP="00C14EEF">
            <w:pPr>
              <w:jc w:val="right"/>
              <w:rPr>
                <w:color w:val="000000"/>
              </w:rPr>
            </w:pPr>
            <w:r>
              <w:rPr>
                <w:color w:val="000000"/>
              </w:rPr>
              <w:t>715296</w:t>
            </w:r>
          </w:p>
        </w:tc>
        <w:tc>
          <w:tcPr>
            <w:tcW w:w="997" w:type="dxa"/>
            <w:tcBorders>
              <w:top w:val="nil"/>
              <w:left w:val="nil"/>
              <w:bottom w:val="single" w:sz="4" w:space="0" w:color="auto"/>
              <w:right w:val="single" w:sz="4" w:space="0" w:color="auto"/>
            </w:tcBorders>
            <w:shd w:val="clear" w:color="auto" w:fill="auto"/>
            <w:noWrap/>
            <w:vAlign w:val="bottom"/>
            <w:hideMark/>
          </w:tcPr>
          <w:p w:rsidR="00D13A56" w:rsidRDefault="00D13A56" w:rsidP="00C14EEF">
            <w:pPr>
              <w:jc w:val="right"/>
              <w:rPr>
                <w:color w:val="000000"/>
              </w:rPr>
            </w:pPr>
            <w:r>
              <w:rPr>
                <w:color w:val="000000"/>
              </w:rPr>
              <w:t>1079405</w:t>
            </w:r>
          </w:p>
        </w:tc>
        <w:tc>
          <w:tcPr>
            <w:tcW w:w="1134" w:type="dxa"/>
            <w:tcBorders>
              <w:top w:val="nil"/>
              <w:left w:val="nil"/>
              <w:bottom w:val="single" w:sz="4" w:space="0" w:color="auto"/>
              <w:right w:val="single" w:sz="4" w:space="0" w:color="auto"/>
            </w:tcBorders>
            <w:shd w:val="clear" w:color="auto" w:fill="auto"/>
            <w:noWrap/>
            <w:vAlign w:val="bottom"/>
            <w:hideMark/>
          </w:tcPr>
          <w:p w:rsidR="00D13A56" w:rsidRDefault="00D13A56" w:rsidP="00C14EEF">
            <w:pPr>
              <w:jc w:val="right"/>
              <w:rPr>
                <w:color w:val="000000"/>
              </w:rPr>
            </w:pPr>
            <w:r>
              <w:rPr>
                <w:color w:val="000000"/>
              </w:rPr>
              <w:t>1007610</w:t>
            </w:r>
          </w:p>
        </w:tc>
        <w:tc>
          <w:tcPr>
            <w:tcW w:w="1200" w:type="dxa"/>
            <w:tcBorders>
              <w:top w:val="nil"/>
              <w:left w:val="nil"/>
              <w:bottom w:val="single" w:sz="4" w:space="0" w:color="auto"/>
              <w:right w:val="single" w:sz="4" w:space="0" w:color="auto"/>
            </w:tcBorders>
            <w:shd w:val="clear" w:color="auto" w:fill="auto"/>
            <w:noWrap/>
            <w:vAlign w:val="bottom"/>
            <w:hideMark/>
          </w:tcPr>
          <w:p w:rsidR="00D13A56" w:rsidRDefault="00D13A56" w:rsidP="00C14EEF">
            <w:pPr>
              <w:jc w:val="right"/>
              <w:rPr>
                <w:color w:val="000000"/>
              </w:rPr>
            </w:pPr>
            <w:r>
              <w:rPr>
                <w:color w:val="000000"/>
              </w:rPr>
              <w:t>1120164</w:t>
            </w:r>
          </w:p>
        </w:tc>
      </w:tr>
    </w:tbl>
    <w:p w:rsidR="00797530" w:rsidRDefault="00797530" w:rsidP="00C14EEF">
      <w:pPr>
        <w:rPr>
          <w:rFonts w:ascii="Arial" w:eastAsia="Verdana" w:hAnsi="Arial" w:cs="Arial"/>
          <w:szCs w:val="22"/>
        </w:rPr>
      </w:pPr>
    </w:p>
    <w:tbl>
      <w:tblPr>
        <w:tblW w:w="7919" w:type="dxa"/>
        <w:tblInd w:w="93" w:type="dxa"/>
        <w:tblLook w:val="04A0" w:firstRow="1" w:lastRow="0" w:firstColumn="1" w:lastColumn="0" w:noHBand="0" w:noVBand="1"/>
      </w:tblPr>
      <w:tblGrid>
        <w:gridCol w:w="1265"/>
        <w:gridCol w:w="997"/>
        <w:gridCol w:w="997"/>
        <w:gridCol w:w="1032"/>
        <w:gridCol w:w="997"/>
        <w:gridCol w:w="1058"/>
        <w:gridCol w:w="1109"/>
        <w:gridCol w:w="1923"/>
      </w:tblGrid>
      <w:tr w:rsidR="00797530" w:rsidRPr="00AF614D" w:rsidTr="005A4835">
        <w:trPr>
          <w:trHeight w:val="525"/>
        </w:trPr>
        <w:tc>
          <w:tcPr>
            <w:tcW w:w="719" w:type="dxa"/>
            <w:tcBorders>
              <w:top w:val="single" w:sz="4" w:space="0" w:color="auto"/>
              <w:left w:val="single" w:sz="4" w:space="0" w:color="auto"/>
              <w:bottom w:val="single" w:sz="4" w:space="0" w:color="auto"/>
              <w:right w:val="single" w:sz="4" w:space="0" w:color="auto"/>
            </w:tcBorders>
            <w:shd w:val="clear" w:color="auto" w:fill="AADC14" w:themeFill="text1"/>
            <w:vAlign w:val="bottom"/>
          </w:tcPr>
          <w:p w:rsidR="00797530" w:rsidRPr="00AF614D" w:rsidRDefault="00797530" w:rsidP="00C14EEF">
            <w:pPr>
              <w:jc w:val="center"/>
              <w:rPr>
                <w:rFonts w:ascii="Arial" w:hAnsi="Arial" w:cs="Arial"/>
                <w:b/>
                <w:bCs/>
                <w:color w:val="000000"/>
                <w:sz w:val="18"/>
                <w:szCs w:val="18"/>
              </w:rPr>
            </w:pPr>
            <w:r>
              <w:rPr>
                <w:rFonts w:ascii="Arial" w:hAnsi="Arial"/>
                <w:b/>
                <w:bCs/>
                <w:color w:val="000000"/>
                <w:sz w:val="18"/>
                <w:szCs w:val="18"/>
              </w:rPr>
              <w:t>Фіскальний рік</w:t>
            </w:r>
          </w:p>
        </w:tc>
        <w:tc>
          <w:tcPr>
            <w:tcW w:w="997" w:type="dxa"/>
            <w:tcBorders>
              <w:top w:val="single" w:sz="4" w:space="0" w:color="auto"/>
              <w:left w:val="nil"/>
              <w:bottom w:val="single" w:sz="4" w:space="0" w:color="auto"/>
              <w:right w:val="single" w:sz="4" w:space="0" w:color="auto"/>
            </w:tcBorders>
            <w:shd w:val="clear" w:color="auto" w:fill="AADC14" w:themeFill="text1"/>
            <w:noWrap/>
            <w:vAlign w:val="bottom"/>
            <w:hideMark/>
          </w:tcPr>
          <w:p w:rsidR="00797530" w:rsidRPr="00AF614D" w:rsidRDefault="00797530" w:rsidP="00C14EEF">
            <w:pPr>
              <w:jc w:val="center"/>
              <w:rPr>
                <w:rFonts w:ascii="Arial" w:hAnsi="Arial" w:cs="Arial"/>
                <w:b/>
                <w:bCs/>
                <w:color w:val="000000"/>
                <w:sz w:val="18"/>
                <w:szCs w:val="18"/>
              </w:rPr>
            </w:pPr>
            <w:r>
              <w:rPr>
                <w:rFonts w:ascii="Arial" w:hAnsi="Arial"/>
                <w:b/>
                <w:bCs/>
                <w:color w:val="000000"/>
                <w:sz w:val="18"/>
                <w:szCs w:val="18"/>
              </w:rPr>
              <w:t>Сер</w:t>
            </w:r>
          </w:p>
        </w:tc>
        <w:tc>
          <w:tcPr>
            <w:tcW w:w="993" w:type="dxa"/>
            <w:tcBorders>
              <w:top w:val="single" w:sz="4" w:space="0" w:color="auto"/>
              <w:left w:val="nil"/>
              <w:bottom w:val="single" w:sz="4" w:space="0" w:color="auto"/>
              <w:right w:val="single" w:sz="4" w:space="0" w:color="auto"/>
            </w:tcBorders>
            <w:shd w:val="clear" w:color="auto" w:fill="AADC14" w:themeFill="text1"/>
            <w:noWrap/>
            <w:vAlign w:val="bottom"/>
            <w:hideMark/>
          </w:tcPr>
          <w:p w:rsidR="00797530" w:rsidRPr="00AF614D" w:rsidRDefault="00797530" w:rsidP="00C14EEF">
            <w:pPr>
              <w:jc w:val="center"/>
              <w:rPr>
                <w:rFonts w:ascii="Arial" w:hAnsi="Arial" w:cs="Arial"/>
                <w:b/>
                <w:bCs/>
                <w:color w:val="000000"/>
                <w:sz w:val="18"/>
                <w:szCs w:val="18"/>
              </w:rPr>
            </w:pPr>
            <w:proofErr w:type="spellStart"/>
            <w:r>
              <w:rPr>
                <w:rFonts w:ascii="Arial" w:hAnsi="Arial"/>
                <w:b/>
                <w:bCs/>
                <w:color w:val="000000"/>
                <w:sz w:val="18"/>
                <w:szCs w:val="18"/>
              </w:rPr>
              <w:t>Вер</w:t>
            </w:r>
            <w:proofErr w:type="spellEnd"/>
          </w:p>
        </w:tc>
        <w:tc>
          <w:tcPr>
            <w:tcW w:w="1032" w:type="dxa"/>
            <w:tcBorders>
              <w:top w:val="single" w:sz="4" w:space="0" w:color="auto"/>
              <w:left w:val="nil"/>
              <w:bottom w:val="single" w:sz="4" w:space="0" w:color="auto"/>
              <w:right w:val="single" w:sz="4" w:space="0" w:color="auto"/>
            </w:tcBorders>
            <w:shd w:val="clear" w:color="auto" w:fill="AADC14" w:themeFill="text1"/>
            <w:noWrap/>
            <w:vAlign w:val="bottom"/>
            <w:hideMark/>
          </w:tcPr>
          <w:p w:rsidR="00797530" w:rsidRPr="00AF614D" w:rsidRDefault="00797530" w:rsidP="00C14EEF">
            <w:pPr>
              <w:jc w:val="center"/>
              <w:rPr>
                <w:rFonts w:ascii="Arial" w:hAnsi="Arial" w:cs="Arial"/>
                <w:b/>
                <w:bCs/>
                <w:color w:val="000000"/>
                <w:sz w:val="18"/>
                <w:szCs w:val="18"/>
              </w:rPr>
            </w:pPr>
            <w:proofErr w:type="spellStart"/>
            <w:r>
              <w:rPr>
                <w:rFonts w:ascii="Arial" w:hAnsi="Arial"/>
                <w:b/>
                <w:bCs/>
                <w:color w:val="000000"/>
                <w:sz w:val="18"/>
                <w:szCs w:val="18"/>
              </w:rPr>
              <w:t>Жов</w:t>
            </w:r>
            <w:proofErr w:type="spellEnd"/>
          </w:p>
        </w:tc>
        <w:tc>
          <w:tcPr>
            <w:tcW w:w="886" w:type="dxa"/>
            <w:tcBorders>
              <w:top w:val="single" w:sz="4" w:space="0" w:color="auto"/>
              <w:left w:val="nil"/>
              <w:bottom w:val="single" w:sz="4" w:space="0" w:color="auto"/>
              <w:right w:val="single" w:sz="4" w:space="0" w:color="auto"/>
            </w:tcBorders>
            <w:shd w:val="clear" w:color="auto" w:fill="AADC14" w:themeFill="text1"/>
            <w:noWrap/>
            <w:vAlign w:val="bottom"/>
            <w:hideMark/>
          </w:tcPr>
          <w:p w:rsidR="00797530" w:rsidRPr="00AF614D" w:rsidRDefault="00797530" w:rsidP="00C14EEF">
            <w:pPr>
              <w:jc w:val="center"/>
              <w:rPr>
                <w:rFonts w:ascii="Arial" w:hAnsi="Arial" w:cs="Arial"/>
                <w:b/>
                <w:bCs/>
                <w:color w:val="000000"/>
                <w:sz w:val="18"/>
                <w:szCs w:val="18"/>
              </w:rPr>
            </w:pPr>
            <w:r>
              <w:rPr>
                <w:rFonts w:ascii="Arial" w:hAnsi="Arial"/>
                <w:b/>
                <w:bCs/>
                <w:color w:val="000000"/>
                <w:sz w:val="18"/>
                <w:szCs w:val="18"/>
              </w:rPr>
              <w:t>Лис</w:t>
            </w:r>
          </w:p>
        </w:tc>
        <w:tc>
          <w:tcPr>
            <w:tcW w:w="1058" w:type="dxa"/>
            <w:tcBorders>
              <w:top w:val="single" w:sz="4" w:space="0" w:color="auto"/>
              <w:left w:val="nil"/>
              <w:bottom w:val="single" w:sz="4" w:space="0" w:color="auto"/>
              <w:right w:val="single" w:sz="4" w:space="0" w:color="auto"/>
            </w:tcBorders>
            <w:shd w:val="clear" w:color="auto" w:fill="AADC14" w:themeFill="text1"/>
            <w:noWrap/>
            <w:vAlign w:val="bottom"/>
            <w:hideMark/>
          </w:tcPr>
          <w:p w:rsidR="00797530" w:rsidRPr="00AF614D" w:rsidRDefault="00797530" w:rsidP="00C14EEF">
            <w:pPr>
              <w:jc w:val="center"/>
              <w:rPr>
                <w:rFonts w:ascii="Arial" w:hAnsi="Arial" w:cs="Arial"/>
                <w:b/>
                <w:bCs/>
                <w:color w:val="000000"/>
                <w:sz w:val="18"/>
                <w:szCs w:val="18"/>
              </w:rPr>
            </w:pPr>
            <w:r>
              <w:rPr>
                <w:rFonts w:ascii="Arial" w:hAnsi="Arial"/>
                <w:b/>
                <w:bCs/>
                <w:color w:val="000000"/>
                <w:sz w:val="18"/>
                <w:szCs w:val="18"/>
              </w:rPr>
              <w:t>Гру</w:t>
            </w:r>
          </w:p>
        </w:tc>
        <w:tc>
          <w:tcPr>
            <w:tcW w:w="1109" w:type="dxa"/>
            <w:tcBorders>
              <w:top w:val="single" w:sz="4" w:space="0" w:color="auto"/>
              <w:left w:val="nil"/>
              <w:bottom w:val="single" w:sz="4" w:space="0" w:color="auto"/>
              <w:right w:val="single" w:sz="4" w:space="0" w:color="auto"/>
            </w:tcBorders>
            <w:shd w:val="clear" w:color="auto" w:fill="AADC14" w:themeFill="text1"/>
            <w:noWrap/>
            <w:vAlign w:val="bottom"/>
            <w:hideMark/>
          </w:tcPr>
          <w:p w:rsidR="00797530" w:rsidRPr="00AF614D" w:rsidRDefault="00797530" w:rsidP="00C14EEF">
            <w:pPr>
              <w:jc w:val="center"/>
              <w:rPr>
                <w:rFonts w:ascii="Arial" w:hAnsi="Arial" w:cs="Arial"/>
                <w:b/>
                <w:bCs/>
                <w:color w:val="000000"/>
                <w:sz w:val="18"/>
                <w:szCs w:val="18"/>
              </w:rPr>
            </w:pPr>
            <w:r>
              <w:rPr>
                <w:rFonts w:ascii="Arial" w:hAnsi="Arial"/>
                <w:b/>
                <w:bCs/>
                <w:color w:val="000000"/>
                <w:sz w:val="18"/>
                <w:szCs w:val="18"/>
              </w:rPr>
              <w:t>Загалом за ФР</w:t>
            </w:r>
          </w:p>
        </w:tc>
        <w:tc>
          <w:tcPr>
            <w:tcW w:w="1125" w:type="dxa"/>
            <w:tcBorders>
              <w:top w:val="single" w:sz="4" w:space="0" w:color="auto"/>
              <w:left w:val="nil"/>
              <w:bottom w:val="single" w:sz="4" w:space="0" w:color="auto"/>
              <w:right w:val="single" w:sz="4" w:space="0" w:color="auto"/>
            </w:tcBorders>
            <w:shd w:val="clear" w:color="auto" w:fill="AADC14" w:themeFill="text1"/>
            <w:vAlign w:val="bottom"/>
            <w:hideMark/>
          </w:tcPr>
          <w:p w:rsidR="00797530" w:rsidRPr="00AF614D" w:rsidRDefault="00797530" w:rsidP="00C14EEF">
            <w:pPr>
              <w:jc w:val="center"/>
              <w:rPr>
                <w:rFonts w:ascii="Arial" w:hAnsi="Arial" w:cs="Arial"/>
                <w:b/>
                <w:bCs/>
                <w:color w:val="000000"/>
                <w:sz w:val="18"/>
                <w:szCs w:val="18"/>
              </w:rPr>
            </w:pPr>
            <w:r>
              <w:rPr>
                <w:rFonts w:ascii="Arial" w:hAnsi="Arial"/>
                <w:b/>
                <w:bCs/>
                <w:color w:val="000000"/>
                <w:sz w:val="18"/>
                <w:szCs w:val="18"/>
              </w:rPr>
              <w:t>Середньомісячний показник</w:t>
            </w:r>
          </w:p>
        </w:tc>
      </w:tr>
      <w:tr w:rsidR="00D13A56" w:rsidRPr="00AF614D" w:rsidTr="005A4835">
        <w:trPr>
          <w:trHeight w:val="300"/>
        </w:trPr>
        <w:tc>
          <w:tcPr>
            <w:tcW w:w="719" w:type="dxa"/>
            <w:tcBorders>
              <w:top w:val="nil"/>
              <w:left w:val="single" w:sz="4" w:space="0" w:color="auto"/>
              <w:bottom w:val="single" w:sz="4" w:space="0" w:color="auto"/>
              <w:right w:val="single" w:sz="4" w:space="0" w:color="auto"/>
            </w:tcBorders>
            <w:vAlign w:val="bottom"/>
          </w:tcPr>
          <w:p w:rsidR="00D13A56" w:rsidRPr="00AF614D" w:rsidRDefault="00D13A56" w:rsidP="00C14EEF">
            <w:pPr>
              <w:jc w:val="right"/>
              <w:rPr>
                <w:rFonts w:ascii="Arial" w:hAnsi="Arial" w:cs="Arial"/>
                <w:b/>
                <w:bCs/>
                <w:color w:val="000000"/>
                <w:sz w:val="18"/>
                <w:szCs w:val="18"/>
              </w:rPr>
            </w:pPr>
            <w:r>
              <w:rPr>
                <w:rFonts w:ascii="Arial" w:hAnsi="Arial"/>
                <w:b/>
                <w:bCs/>
                <w:color w:val="000000"/>
                <w:sz w:val="18"/>
                <w:szCs w:val="18"/>
              </w:rPr>
              <w:t>2014</w:t>
            </w:r>
          </w:p>
        </w:tc>
        <w:tc>
          <w:tcPr>
            <w:tcW w:w="997" w:type="dxa"/>
            <w:tcBorders>
              <w:top w:val="nil"/>
              <w:left w:val="nil"/>
              <w:bottom w:val="single" w:sz="4" w:space="0" w:color="auto"/>
              <w:right w:val="single" w:sz="4" w:space="0" w:color="auto"/>
            </w:tcBorders>
            <w:shd w:val="clear" w:color="auto" w:fill="auto"/>
            <w:noWrap/>
            <w:vAlign w:val="bottom"/>
            <w:hideMark/>
          </w:tcPr>
          <w:p w:rsidR="00D13A56" w:rsidRDefault="00D13A56" w:rsidP="00C14EEF">
            <w:pPr>
              <w:jc w:val="right"/>
              <w:rPr>
                <w:color w:val="000000"/>
              </w:rPr>
            </w:pPr>
            <w:r>
              <w:rPr>
                <w:color w:val="000000"/>
              </w:rPr>
              <w:t>581029</w:t>
            </w:r>
          </w:p>
        </w:tc>
        <w:tc>
          <w:tcPr>
            <w:tcW w:w="993" w:type="dxa"/>
            <w:tcBorders>
              <w:top w:val="nil"/>
              <w:left w:val="nil"/>
              <w:bottom w:val="single" w:sz="4" w:space="0" w:color="auto"/>
              <w:right w:val="single" w:sz="4" w:space="0" w:color="auto"/>
            </w:tcBorders>
            <w:shd w:val="clear" w:color="auto" w:fill="auto"/>
            <w:noWrap/>
            <w:vAlign w:val="bottom"/>
            <w:hideMark/>
          </w:tcPr>
          <w:p w:rsidR="00D13A56" w:rsidRDefault="00D13A56" w:rsidP="00C14EEF">
            <w:pPr>
              <w:jc w:val="right"/>
              <w:rPr>
                <w:color w:val="000000"/>
              </w:rPr>
            </w:pPr>
            <w:r>
              <w:rPr>
                <w:color w:val="000000"/>
              </w:rPr>
              <w:t>-907678</w:t>
            </w:r>
          </w:p>
        </w:tc>
        <w:tc>
          <w:tcPr>
            <w:tcW w:w="1032" w:type="dxa"/>
            <w:tcBorders>
              <w:top w:val="nil"/>
              <w:left w:val="nil"/>
              <w:bottom w:val="single" w:sz="4" w:space="0" w:color="auto"/>
              <w:right w:val="single" w:sz="4" w:space="0" w:color="auto"/>
            </w:tcBorders>
            <w:shd w:val="clear" w:color="auto" w:fill="auto"/>
            <w:noWrap/>
            <w:vAlign w:val="bottom"/>
            <w:hideMark/>
          </w:tcPr>
          <w:p w:rsidR="00D13A56" w:rsidRDefault="00D13A56" w:rsidP="00C14EEF">
            <w:pPr>
              <w:jc w:val="right"/>
              <w:rPr>
                <w:color w:val="000000"/>
              </w:rPr>
            </w:pPr>
            <w:r>
              <w:rPr>
                <w:color w:val="000000"/>
              </w:rPr>
              <w:t>-666346</w:t>
            </w:r>
          </w:p>
        </w:tc>
        <w:tc>
          <w:tcPr>
            <w:tcW w:w="886" w:type="dxa"/>
            <w:tcBorders>
              <w:top w:val="nil"/>
              <w:left w:val="nil"/>
              <w:bottom w:val="single" w:sz="4" w:space="0" w:color="auto"/>
              <w:right w:val="single" w:sz="4" w:space="0" w:color="auto"/>
            </w:tcBorders>
            <w:shd w:val="clear" w:color="auto" w:fill="auto"/>
            <w:noWrap/>
            <w:vAlign w:val="bottom"/>
            <w:hideMark/>
          </w:tcPr>
          <w:p w:rsidR="00D13A56" w:rsidRDefault="00D13A56" w:rsidP="00C14EEF">
            <w:pPr>
              <w:jc w:val="right"/>
              <w:rPr>
                <w:color w:val="000000"/>
              </w:rPr>
            </w:pPr>
            <w:r>
              <w:rPr>
                <w:color w:val="000000"/>
              </w:rPr>
              <w:t>733553</w:t>
            </w:r>
          </w:p>
        </w:tc>
        <w:tc>
          <w:tcPr>
            <w:tcW w:w="1058" w:type="dxa"/>
            <w:tcBorders>
              <w:top w:val="nil"/>
              <w:left w:val="nil"/>
              <w:bottom w:val="single" w:sz="4" w:space="0" w:color="auto"/>
              <w:right w:val="single" w:sz="4" w:space="0" w:color="auto"/>
            </w:tcBorders>
            <w:shd w:val="clear" w:color="auto" w:fill="auto"/>
            <w:noWrap/>
            <w:vAlign w:val="bottom"/>
            <w:hideMark/>
          </w:tcPr>
          <w:p w:rsidR="00D13A56" w:rsidRDefault="00D13A56" w:rsidP="00C14EEF">
            <w:pPr>
              <w:jc w:val="right"/>
              <w:rPr>
                <w:color w:val="000000"/>
              </w:rPr>
            </w:pPr>
            <w:r>
              <w:rPr>
                <w:color w:val="000000"/>
              </w:rPr>
              <w:t>185297</w:t>
            </w:r>
          </w:p>
        </w:tc>
        <w:tc>
          <w:tcPr>
            <w:tcW w:w="1109" w:type="dxa"/>
            <w:tcBorders>
              <w:top w:val="nil"/>
              <w:left w:val="nil"/>
              <w:bottom w:val="single" w:sz="4" w:space="0" w:color="auto"/>
              <w:right w:val="single" w:sz="4" w:space="0" w:color="auto"/>
            </w:tcBorders>
            <w:shd w:val="clear" w:color="auto" w:fill="auto"/>
            <w:noWrap/>
            <w:vAlign w:val="bottom"/>
            <w:hideMark/>
          </w:tcPr>
          <w:p w:rsidR="00D13A56" w:rsidRDefault="00D13A56" w:rsidP="00C14EEF">
            <w:pPr>
              <w:jc w:val="right"/>
              <w:rPr>
                <w:color w:val="000000"/>
              </w:rPr>
            </w:pPr>
            <w:r>
              <w:rPr>
                <w:color w:val="000000"/>
              </w:rPr>
              <w:t>2797556</w:t>
            </w:r>
          </w:p>
        </w:tc>
        <w:tc>
          <w:tcPr>
            <w:tcW w:w="1125" w:type="dxa"/>
            <w:tcBorders>
              <w:top w:val="nil"/>
              <w:left w:val="nil"/>
              <w:bottom w:val="single" w:sz="4" w:space="0" w:color="auto"/>
              <w:right w:val="single" w:sz="4" w:space="0" w:color="auto"/>
            </w:tcBorders>
            <w:shd w:val="clear" w:color="auto" w:fill="FFFF00"/>
            <w:noWrap/>
            <w:vAlign w:val="center"/>
            <w:hideMark/>
          </w:tcPr>
          <w:p w:rsidR="00D13A56" w:rsidRDefault="00D13A56" w:rsidP="00C14EEF">
            <w:pPr>
              <w:jc w:val="right"/>
              <w:rPr>
                <w:rFonts w:ascii="Arial" w:hAnsi="Arial" w:cs="Arial"/>
                <w:color w:val="000000"/>
                <w:sz w:val="18"/>
                <w:szCs w:val="18"/>
              </w:rPr>
            </w:pPr>
            <w:r>
              <w:rPr>
                <w:rFonts w:ascii="Arial" w:hAnsi="Arial"/>
                <w:color w:val="000000"/>
                <w:sz w:val="18"/>
                <w:szCs w:val="18"/>
              </w:rPr>
              <w:t>233129,7</w:t>
            </w:r>
          </w:p>
        </w:tc>
      </w:tr>
      <w:tr w:rsidR="00D13A56" w:rsidRPr="00AF614D" w:rsidTr="005A4835">
        <w:trPr>
          <w:trHeight w:val="300"/>
        </w:trPr>
        <w:tc>
          <w:tcPr>
            <w:tcW w:w="719" w:type="dxa"/>
            <w:tcBorders>
              <w:top w:val="nil"/>
              <w:left w:val="single" w:sz="4" w:space="0" w:color="auto"/>
              <w:bottom w:val="single" w:sz="4" w:space="0" w:color="auto"/>
              <w:right w:val="single" w:sz="4" w:space="0" w:color="auto"/>
            </w:tcBorders>
            <w:vAlign w:val="bottom"/>
          </w:tcPr>
          <w:p w:rsidR="00D13A56" w:rsidRPr="00AF614D" w:rsidRDefault="00D13A56" w:rsidP="00C14EEF">
            <w:pPr>
              <w:jc w:val="right"/>
              <w:rPr>
                <w:rFonts w:ascii="Arial" w:hAnsi="Arial" w:cs="Arial"/>
                <w:b/>
                <w:bCs/>
                <w:color w:val="000000"/>
                <w:sz w:val="18"/>
                <w:szCs w:val="18"/>
              </w:rPr>
            </w:pPr>
            <w:r>
              <w:rPr>
                <w:rFonts w:ascii="Arial" w:hAnsi="Arial"/>
                <w:b/>
                <w:bCs/>
                <w:color w:val="000000"/>
                <w:sz w:val="18"/>
                <w:szCs w:val="18"/>
              </w:rPr>
              <w:t>2015</w:t>
            </w:r>
          </w:p>
        </w:tc>
        <w:tc>
          <w:tcPr>
            <w:tcW w:w="997" w:type="dxa"/>
            <w:tcBorders>
              <w:top w:val="nil"/>
              <w:left w:val="nil"/>
              <w:bottom w:val="single" w:sz="4" w:space="0" w:color="auto"/>
              <w:right w:val="single" w:sz="4" w:space="0" w:color="auto"/>
            </w:tcBorders>
            <w:shd w:val="clear" w:color="auto" w:fill="auto"/>
            <w:noWrap/>
            <w:vAlign w:val="bottom"/>
            <w:hideMark/>
          </w:tcPr>
          <w:p w:rsidR="00D13A56" w:rsidRDefault="00D13A56" w:rsidP="00C14EEF">
            <w:pPr>
              <w:jc w:val="right"/>
              <w:rPr>
                <w:color w:val="000000"/>
              </w:rPr>
            </w:pPr>
            <w:r>
              <w:rPr>
                <w:color w:val="000000"/>
              </w:rPr>
              <w:t>631724</w:t>
            </w:r>
          </w:p>
        </w:tc>
        <w:tc>
          <w:tcPr>
            <w:tcW w:w="993" w:type="dxa"/>
            <w:tcBorders>
              <w:top w:val="nil"/>
              <w:left w:val="nil"/>
              <w:bottom w:val="single" w:sz="4" w:space="0" w:color="auto"/>
              <w:right w:val="single" w:sz="4" w:space="0" w:color="auto"/>
            </w:tcBorders>
            <w:shd w:val="clear" w:color="auto" w:fill="auto"/>
            <w:noWrap/>
            <w:vAlign w:val="bottom"/>
            <w:hideMark/>
          </w:tcPr>
          <w:p w:rsidR="00D13A56" w:rsidRDefault="00D13A56" w:rsidP="00C14EEF">
            <w:pPr>
              <w:jc w:val="right"/>
              <w:rPr>
                <w:color w:val="000000"/>
              </w:rPr>
            </w:pPr>
            <w:r>
              <w:rPr>
                <w:color w:val="000000"/>
              </w:rPr>
              <w:t>502127</w:t>
            </w:r>
          </w:p>
        </w:tc>
        <w:tc>
          <w:tcPr>
            <w:tcW w:w="1032" w:type="dxa"/>
            <w:tcBorders>
              <w:top w:val="nil"/>
              <w:left w:val="nil"/>
              <w:bottom w:val="single" w:sz="4" w:space="0" w:color="auto"/>
              <w:right w:val="single" w:sz="4" w:space="0" w:color="auto"/>
            </w:tcBorders>
            <w:shd w:val="clear" w:color="auto" w:fill="auto"/>
            <w:noWrap/>
            <w:vAlign w:val="bottom"/>
            <w:hideMark/>
          </w:tcPr>
          <w:p w:rsidR="00D13A56" w:rsidRDefault="00D13A56" w:rsidP="00C14EEF">
            <w:pPr>
              <w:jc w:val="right"/>
              <w:rPr>
                <w:color w:val="000000"/>
              </w:rPr>
            </w:pPr>
            <w:r>
              <w:rPr>
                <w:color w:val="000000"/>
              </w:rPr>
              <w:t>716300</w:t>
            </w:r>
          </w:p>
        </w:tc>
        <w:tc>
          <w:tcPr>
            <w:tcW w:w="886" w:type="dxa"/>
            <w:tcBorders>
              <w:top w:val="nil"/>
              <w:left w:val="nil"/>
              <w:bottom w:val="single" w:sz="4" w:space="0" w:color="auto"/>
              <w:right w:val="single" w:sz="4" w:space="0" w:color="auto"/>
            </w:tcBorders>
            <w:shd w:val="clear" w:color="auto" w:fill="auto"/>
            <w:noWrap/>
            <w:vAlign w:val="bottom"/>
            <w:hideMark/>
          </w:tcPr>
          <w:p w:rsidR="00D13A56" w:rsidRDefault="00D13A56" w:rsidP="00C14EEF">
            <w:pPr>
              <w:jc w:val="right"/>
              <w:rPr>
                <w:color w:val="000000"/>
              </w:rPr>
            </w:pPr>
            <w:r>
              <w:rPr>
                <w:color w:val="000000"/>
              </w:rPr>
              <w:t>670674</w:t>
            </w:r>
          </w:p>
        </w:tc>
        <w:tc>
          <w:tcPr>
            <w:tcW w:w="1058" w:type="dxa"/>
            <w:tcBorders>
              <w:top w:val="nil"/>
              <w:left w:val="nil"/>
              <w:bottom w:val="single" w:sz="4" w:space="0" w:color="auto"/>
              <w:right w:val="single" w:sz="4" w:space="0" w:color="auto"/>
            </w:tcBorders>
            <w:shd w:val="clear" w:color="auto" w:fill="auto"/>
            <w:noWrap/>
            <w:vAlign w:val="bottom"/>
            <w:hideMark/>
          </w:tcPr>
          <w:p w:rsidR="00D13A56" w:rsidRDefault="00D13A56" w:rsidP="00C14EEF">
            <w:pPr>
              <w:jc w:val="right"/>
              <w:rPr>
                <w:color w:val="000000"/>
              </w:rPr>
            </w:pPr>
            <w:r>
              <w:rPr>
                <w:color w:val="000000"/>
              </w:rPr>
              <w:t>303642</w:t>
            </w:r>
          </w:p>
        </w:tc>
        <w:tc>
          <w:tcPr>
            <w:tcW w:w="1109" w:type="dxa"/>
            <w:tcBorders>
              <w:top w:val="nil"/>
              <w:left w:val="nil"/>
              <w:bottom w:val="single" w:sz="4" w:space="0" w:color="auto"/>
              <w:right w:val="single" w:sz="4" w:space="0" w:color="auto"/>
            </w:tcBorders>
            <w:shd w:val="clear" w:color="auto" w:fill="auto"/>
            <w:noWrap/>
            <w:vAlign w:val="bottom"/>
            <w:hideMark/>
          </w:tcPr>
          <w:p w:rsidR="00D13A56" w:rsidRDefault="00D13A56" w:rsidP="00C14EEF">
            <w:pPr>
              <w:jc w:val="right"/>
              <w:rPr>
                <w:color w:val="000000"/>
              </w:rPr>
            </w:pPr>
            <w:r>
              <w:rPr>
                <w:color w:val="000000"/>
              </w:rPr>
              <w:t>6876132</w:t>
            </w:r>
          </w:p>
        </w:tc>
        <w:tc>
          <w:tcPr>
            <w:tcW w:w="1125" w:type="dxa"/>
            <w:tcBorders>
              <w:top w:val="nil"/>
              <w:left w:val="nil"/>
              <w:bottom w:val="single" w:sz="4" w:space="0" w:color="auto"/>
              <w:right w:val="single" w:sz="4" w:space="0" w:color="auto"/>
            </w:tcBorders>
            <w:shd w:val="clear" w:color="auto" w:fill="FFFF00"/>
            <w:noWrap/>
            <w:vAlign w:val="center"/>
            <w:hideMark/>
          </w:tcPr>
          <w:p w:rsidR="00D13A56" w:rsidRDefault="00D13A56" w:rsidP="00C14EEF">
            <w:pPr>
              <w:jc w:val="right"/>
              <w:rPr>
                <w:rFonts w:ascii="Arial" w:hAnsi="Arial" w:cs="Arial"/>
                <w:color w:val="000000"/>
                <w:sz w:val="18"/>
                <w:szCs w:val="18"/>
              </w:rPr>
            </w:pPr>
            <w:r>
              <w:rPr>
                <w:rFonts w:ascii="Arial" w:hAnsi="Arial"/>
                <w:color w:val="000000"/>
                <w:sz w:val="18"/>
                <w:szCs w:val="18"/>
              </w:rPr>
              <w:t>573011,0</w:t>
            </w:r>
          </w:p>
        </w:tc>
      </w:tr>
      <w:tr w:rsidR="00D13A56" w:rsidRPr="00AF614D" w:rsidTr="005A4835">
        <w:trPr>
          <w:trHeight w:val="300"/>
        </w:trPr>
        <w:tc>
          <w:tcPr>
            <w:tcW w:w="719" w:type="dxa"/>
            <w:tcBorders>
              <w:top w:val="nil"/>
              <w:left w:val="single" w:sz="4" w:space="0" w:color="auto"/>
              <w:bottom w:val="single" w:sz="4" w:space="0" w:color="auto"/>
              <w:right w:val="single" w:sz="4" w:space="0" w:color="auto"/>
            </w:tcBorders>
            <w:vAlign w:val="bottom"/>
          </w:tcPr>
          <w:p w:rsidR="00D13A56" w:rsidRPr="00AF614D" w:rsidRDefault="00D13A56" w:rsidP="00C14EEF">
            <w:pPr>
              <w:jc w:val="right"/>
              <w:rPr>
                <w:rFonts w:ascii="Arial" w:hAnsi="Arial" w:cs="Arial"/>
                <w:b/>
                <w:bCs/>
                <w:color w:val="000000"/>
                <w:sz w:val="18"/>
                <w:szCs w:val="18"/>
              </w:rPr>
            </w:pPr>
            <w:r>
              <w:rPr>
                <w:rFonts w:ascii="Arial" w:hAnsi="Arial"/>
                <w:b/>
                <w:bCs/>
                <w:color w:val="000000"/>
                <w:sz w:val="18"/>
                <w:szCs w:val="18"/>
              </w:rPr>
              <w:t>2016</w:t>
            </w:r>
          </w:p>
        </w:tc>
        <w:tc>
          <w:tcPr>
            <w:tcW w:w="997" w:type="dxa"/>
            <w:tcBorders>
              <w:top w:val="nil"/>
              <w:left w:val="nil"/>
              <w:bottom w:val="single" w:sz="4" w:space="0" w:color="auto"/>
              <w:right w:val="single" w:sz="4" w:space="0" w:color="auto"/>
            </w:tcBorders>
            <w:shd w:val="clear" w:color="auto" w:fill="auto"/>
            <w:noWrap/>
            <w:vAlign w:val="bottom"/>
            <w:hideMark/>
          </w:tcPr>
          <w:p w:rsidR="00D13A56" w:rsidRDefault="00D13A56" w:rsidP="00C14EEF">
            <w:pPr>
              <w:jc w:val="right"/>
              <w:rPr>
                <w:color w:val="000000"/>
              </w:rPr>
            </w:pPr>
            <w:r>
              <w:rPr>
                <w:color w:val="000000"/>
              </w:rPr>
              <w:t>288001</w:t>
            </w:r>
          </w:p>
        </w:tc>
        <w:tc>
          <w:tcPr>
            <w:tcW w:w="993" w:type="dxa"/>
            <w:tcBorders>
              <w:top w:val="nil"/>
              <w:left w:val="nil"/>
              <w:bottom w:val="single" w:sz="4" w:space="0" w:color="auto"/>
              <w:right w:val="single" w:sz="4" w:space="0" w:color="auto"/>
            </w:tcBorders>
            <w:shd w:val="clear" w:color="auto" w:fill="auto"/>
            <w:noWrap/>
            <w:vAlign w:val="bottom"/>
            <w:hideMark/>
          </w:tcPr>
          <w:p w:rsidR="00D13A56" w:rsidRDefault="00D13A56" w:rsidP="00C14EEF">
            <w:pPr>
              <w:jc w:val="right"/>
              <w:rPr>
                <w:color w:val="000000"/>
              </w:rPr>
            </w:pPr>
            <w:r>
              <w:rPr>
                <w:color w:val="000000"/>
              </w:rPr>
              <w:t>462122</w:t>
            </w:r>
          </w:p>
        </w:tc>
        <w:tc>
          <w:tcPr>
            <w:tcW w:w="1032" w:type="dxa"/>
            <w:tcBorders>
              <w:top w:val="nil"/>
              <w:left w:val="nil"/>
              <w:bottom w:val="single" w:sz="4" w:space="0" w:color="auto"/>
              <w:right w:val="single" w:sz="4" w:space="0" w:color="auto"/>
            </w:tcBorders>
            <w:shd w:val="clear" w:color="auto" w:fill="auto"/>
            <w:noWrap/>
            <w:vAlign w:val="bottom"/>
            <w:hideMark/>
          </w:tcPr>
          <w:p w:rsidR="00D13A56" w:rsidRDefault="00D13A56" w:rsidP="00C14EEF">
            <w:pPr>
              <w:jc w:val="right"/>
              <w:rPr>
                <w:color w:val="000000"/>
              </w:rPr>
            </w:pPr>
            <w:r>
              <w:rPr>
                <w:color w:val="000000"/>
              </w:rPr>
              <w:t>669227</w:t>
            </w:r>
          </w:p>
        </w:tc>
        <w:tc>
          <w:tcPr>
            <w:tcW w:w="886" w:type="dxa"/>
            <w:tcBorders>
              <w:top w:val="nil"/>
              <w:left w:val="nil"/>
              <w:bottom w:val="single" w:sz="4" w:space="0" w:color="auto"/>
              <w:right w:val="single" w:sz="4" w:space="0" w:color="auto"/>
            </w:tcBorders>
            <w:shd w:val="clear" w:color="auto" w:fill="auto"/>
            <w:noWrap/>
            <w:vAlign w:val="bottom"/>
            <w:hideMark/>
          </w:tcPr>
          <w:p w:rsidR="00D13A56" w:rsidRDefault="00D13A56" w:rsidP="00C14EEF">
            <w:pPr>
              <w:jc w:val="right"/>
              <w:rPr>
                <w:color w:val="000000"/>
              </w:rPr>
            </w:pPr>
            <w:r>
              <w:rPr>
                <w:color w:val="000000"/>
              </w:rPr>
              <w:t>847114</w:t>
            </w:r>
          </w:p>
        </w:tc>
        <w:tc>
          <w:tcPr>
            <w:tcW w:w="1058" w:type="dxa"/>
            <w:tcBorders>
              <w:top w:val="nil"/>
              <w:left w:val="nil"/>
              <w:bottom w:val="single" w:sz="4" w:space="0" w:color="auto"/>
              <w:right w:val="single" w:sz="4" w:space="0" w:color="auto"/>
            </w:tcBorders>
            <w:shd w:val="clear" w:color="auto" w:fill="auto"/>
            <w:noWrap/>
            <w:vAlign w:val="bottom"/>
            <w:hideMark/>
          </w:tcPr>
          <w:p w:rsidR="00D13A56" w:rsidRDefault="00D13A56" w:rsidP="00C14EEF">
            <w:pPr>
              <w:jc w:val="right"/>
              <w:rPr>
                <w:color w:val="000000"/>
              </w:rPr>
            </w:pPr>
            <w:r>
              <w:rPr>
                <w:color w:val="000000"/>
              </w:rPr>
              <w:t>-491550</w:t>
            </w:r>
          </w:p>
        </w:tc>
        <w:tc>
          <w:tcPr>
            <w:tcW w:w="1109" w:type="dxa"/>
            <w:tcBorders>
              <w:top w:val="nil"/>
              <w:left w:val="nil"/>
              <w:bottom w:val="single" w:sz="4" w:space="0" w:color="auto"/>
              <w:right w:val="single" w:sz="4" w:space="0" w:color="auto"/>
            </w:tcBorders>
            <w:shd w:val="clear" w:color="auto" w:fill="auto"/>
            <w:noWrap/>
            <w:vAlign w:val="bottom"/>
            <w:hideMark/>
          </w:tcPr>
          <w:p w:rsidR="00D13A56" w:rsidRDefault="00D13A56" w:rsidP="00C14EEF">
            <w:pPr>
              <w:jc w:val="right"/>
              <w:rPr>
                <w:color w:val="000000"/>
              </w:rPr>
            </w:pPr>
            <w:r>
              <w:rPr>
                <w:color w:val="000000"/>
              </w:rPr>
              <w:t>6221095</w:t>
            </w:r>
          </w:p>
        </w:tc>
        <w:tc>
          <w:tcPr>
            <w:tcW w:w="1125" w:type="dxa"/>
            <w:tcBorders>
              <w:top w:val="nil"/>
              <w:left w:val="nil"/>
              <w:bottom w:val="single" w:sz="4" w:space="0" w:color="auto"/>
              <w:right w:val="single" w:sz="4" w:space="0" w:color="auto"/>
            </w:tcBorders>
            <w:shd w:val="clear" w:color="auto" w:fill="FFFF00"/>
            <w:noWrap/>
            <w:vAlign w:val="center"/>
            <w:hideMark/>
          </w:tcPr>
          <w:p w:rsidR="00D13A56" w:rsidRDefault="00D13A56" w:rsidP="00C14EEF">
            <w:pPr>
              <w:jc w:val="right"/>
              <w:rPr>
                <w:rFonts w:ascii="Arial" w:hAnsi="Arial" w:cs="Arial"/>
                <w:color w:val="000000"/>
                <w:sz w:val="18"/>
                <w:szCs w:val="18"/>
              </w:rPr>
            </w:pPr>
            <w:r>
              <w:rPr>
                <w:rFonts w:ascii="Arial" w:hAnsi="Arial"/>
                <w:color w:val="000000"/>
                <w:sz w:val="18"/>
                <w:szCs w:val="18"/>
              </w:rPr>
              <w:t>518424,6</w:t>
            </w:r>
          </w:p>
        </w:tc>
      </w:tr>
      <w:tr w:rsidR="00D13A56" w:rsidRPr="00AF614D" w:rsidTr="005A4835">
        <w:trPr>
          <w:trHeight w:val="300"/>
        </w:trPr>
        <w:tc>
          <w:tcPr>
            <w:tcW w:w="719" w:type="dxa"/>
            <w:tcBorders>
              <w:top w:val="nil"/>
              <w:left w:val="single" w:sz="4" w:space="0" w:color="auto"/>
              <w:bottom w:val="single" w:sz="4" w:space="0" w:color="auto"/>
              <w:right w:val="single" w:sz="4" w:space="0" w:color="auto"/>
            </w:tcBorders>
            <w:vAlign w:val="bottom"/>
          </w:tcPr>
          <w:p w:rsidR="00D13A56" w:rsidRPr="00AF614D" w:rsidRDefault="00D13A56" w:rsidP="00C14EEF">
            <w:pPr>
              <w:jc w:val="right"/>
              <w:rPr>
                <w:rFonts w:ascii="Arial" w:hAnsi="Arial" w:cs="Arial"/>
                <w:b/>
                <w:bCs/>
                <w:color w:val="000000"/>
                <w:sz w:val="18"/>
                <w:szCs w:val="18"/>
              </w:rPr>
            </w:pPr>
            <w:r>
              <w:rPr>
                <w:rFonts w:ascii="Arial" w:hAnsi="Arial"/>
                <w:b/>
                <w:bCs/>
                <w:color w:val="000000"/>
                <w:sz w:val="18"/>
                <w:szCs w:val="18"/>
              </w:rPr>
              <w:t>2017</w:t>
            </w:r>
          </w:p>
        </w:tc>
        <w:tc>
          <w:tcPr>
            <w:tcW w:w="997" w:type="dxa"/>
            <w:tcBorders>
              <w:top w:val="nil"/>
              <w:left w:val="nil"/>
              <w:bottom w:val="single" w:sz="4" w:space="0" w:color="auto"/>
              <w:right w:val="single" w:sz="4" w:space="0" w:color="auto"/>
            </w:tcBorders>
            <w:shd w:val="clear" w:color="auto" w:fill="auto"/>
            <w:noWrap/>
            <w:vAlign w:val="bottom"/>
            <w:hideMark/>
          </w:tcPr>
          <w:p w:rsidR="00D13A56" w:rsidRDefault="00D13A56" w:rsidP="00C14EEF">
            <w:pPr>
              <w:jc w:val="right"/>
              <w:rPr>
                <w:color w:val="000000"/>
              </w:rPr>
            </w:pPr>
            <w:r>
              <w:rPr>
                <w:color w:val="000000"/>
              </w:rPr>
              <w:t>805392</w:t>
            </w:r>
          </w:p>
        </w:tc>
        <w:tc>
          <w:tcPr>
            <w:tcW w:w="993" w:type="dxa"/>
            <w:tcBorders>
              <w:top w:val="nil"/>
              <w:left w:val="nil"/>
              <w:bottom w:val="single" w:sz="4" w:space="0" w:color="auto"/>
              <w:right w:val="single" w:sz="4" w:space="0" w:color="auto"/>
            </w:tcBorders>
            <w:shd w:val="clear" w:color="auto" w:fill="auto"/>
            <w:noWrap/>
            <w:vAlign w:val="bottom"/>
            <w:hideMark/>
          </w:tcPr>
          <w:p w:rsidR="00D13A56" w:rsidRDefault="00D13A56" w:rsidP="00C14EEF">
            <w:pPr>
              <w:jc w:val="right"/>
              <w:rPr>
                <w:color w:val="000000"/>
              </w:rPr>
            </w:pPr>
            <w:r>
              <w:rPr>
                <w:color w:val="000000"/>
              </w:rPr>
              <w:t>494305</w:t>
            </w:r>
          </w:p>
        </w:tc>
        <w:tc>
          <w:tcPr>
            <w:tcW w:w="1032" w:type="dxa"/>
            <w:tcBorders>
              <w:top w:val="nil"/>
              <w:left w:val="nil"/>
              <w:bottom w:val="single" w:sz="4" w:space="0" w:color="auto"/>
              <w:right w:val="single" w:sz="4" w:space="0" w:color="auto"/>
            </w:tcBorders>
            <w:shd w:val="clear" w:color="auto" w:fill="auto"/>
            <w:noWrap/>
            <w:vAlign w:val="bottom"/>
            <w:hideMark/>
          </w:tcPr>
          <w:p w:rsidR="00D13A56" w:rsidRDefault="00D13A56" w:rsidP="00C14EEF">
            <w:pPr>
              <w:jc w:val="right"/>
              <w:rPr>
                <w:color w:val="000000"/>
              </w:rPr>
            </w:pPr>
            <w:r>
              <w:rPr>
                <w:color w:val="000000"/>
              </w:rPr>
              <w:t>386837</w:t>
            </w:r>
          </w:p>
        </w:tc>
        <w:tc>
          <w:tcPr>
            <w:tcW w:w="886" w:type="dxa"/>
            <w:tcBorders>
              <w:top w:val="nil"/>
              <w:left w:val="nil"/>
              <w:bottom w:val="single" w:sz="4" w:space="0" w:color="auto"/>
              <w:right w:val="single" w:sz="4" w:space="0" w:color="auto"/>
            </w:tcBorders>
            <w:shd w:val="clear" w:color="auto" w:fill="auto"/>
            <w:noWrap/>
            <w:vAlign w:val="bottom"/>
            <w:hideMark/>
          </w:tcPr>
          <w:p w:rsidR="00D13A56" w:rsidRDefault="00D13A56" w:rsidP="00C14EEF">
            <w:pPr>
              <w:jc w:val="right"/>
              <w:rPr>
                <w:color w:val="000000"/>
              </w:rPr>
            </w:pPr>
            <w:r>
              <w:rPr>
                <w:color w:val="000000"/>
              </w:rPr>
              <w:t>855956</w:t>
            </w:r>
          </w:p>
        </w:tc>
        <w:tc>
          <w:tcPr>
            <w:tcW w:w="1058" w:type="dxa"/>
            <w:tcBorders>
              <w:top w:val="nil"/>
              <w:left w:val="nil"/>
              <w:bottom w:val="single" w:sz="4" w:space="0" w:color="auto"/>
              <w:right w:val="single" w:sz="4" w:space="0" w:color="auto"/>
            </w:tcBorders>
            <w:shd w:val="clear" w:color="auto" w:fill="auto"/>
            <w:noWrap/>
            <w:vAlign w:val="bottom"/>
            <w:hideMark/>
          </w:tcPr>
          <w:p w:rsidR="00D13A56" w:rsidRDefault="00D13A56" w:rsidP="00C14EEF">
            <w:pPr>
              <w:jc w:val="right"/>
              <w:rPr>
                <w:color w:val="000000"/>
              </w:rPr>
            </w:pPr>
            <w:r>
              <w:rPr>
                <w:color w:val="000000"/>
              </w:rPr>
              <w:t>502798</w:t>
            </w:r>
          </w:p>
        </w:tc>
        <w:tc>
          <w:tcPr>
            <w:tcW w:w="1109" w:type="dxa"/>
            <w:tcBorders>
              <w:top w:val="nil"/>
              <w:left w:val="nil"/>
              <w:bottom w:val="single" w:sz="4" w:space="0" w:color="auto"/>
              <w:right w:val="single" w:sz="4" w:space="0" w:color="auto"/>
            </w:tcBorders>
            <w:shd w:val="clear" w:color="auto" w:fill="auto"/>
            <w:noWrap/>
            <w:vAlign w:val="bottom"/>
            <w:hideMark/>
          </w:tcPr>
          <w:p w:rsidR="00D13A56" w:rsidRDefault="00D13A56" w:rsidP="00C14EEF">
            <w:pPr>
              <w:jc w:val="right"/>
              <w:rPr>
                <w:color w:val="000000"/>
              </w:rPr>
            </w:pPr>
            <w:r>
              <w:rPr>
                <w:color w:val="000000"/>
              </w:rPr>
              <w:t>6121970</w:t>
            </w:r>
          </w:p>
        </w:tc>
        <w:tc>
          <w:tcPr>
            <w:tcW w:w="1125" w:type="dxa"/>
            <w:tcBorders>
              <w:top w:val="nil"/>
              <w:left w:val="nil"/>
              <w:bottom w:val="single" w:sz="4" w:space="0" w:color="auto"/>
              <w:right w:val="single" w:sz="4" w:space="0" w:color="auto"/>
            </w:tcBorders>
            <w:shd w:val="clear" w:color="auto" w:fill="FFFF00"/>
            <w:noWrap/>
            <w:vAlign w:val="center"/>
            <w:hideMark/>
          </w:tcPr>
          <w:p w:rsidR="00D13A56" w:rsidRDefault="00D13A56" w:rsidP="00C14EEF">
            <w:pPr>
              <w:jc w:val="right"/>
              <w:rPr>
                <w:rFonts w:ascii="Arial" w:hAnsi="Arial" w:cs="Arial"/>
                <w:color w:val="000000"/>
                <w:sz w:val="18"/>
                <w:szCs w:val="18"/>
              </w:rPr>
            </w:pPr>
            <w:r>
              <w:rPr>
                <w:rFonts w:ascii="Arial" w:hAnsi="Arial"/>
                <w:color w:val="000000"/>
                <w:sz w:val="18"/>
                <w:szCs w:val="18"/>
              </w:rPr>
              <w:t>510164,2</w:t>
            </w:r>
          </w:p>
        </w:tc>
      </w:tr>
      <w:tr w:rsidR="00D13A56" w:rsidRPr="00AF614D" w:rsidTr="005A4835">
        <w:trPr>
          <w:trHeight w:val="300"/>
        </w:trPr>
        <w:tc>
          <w:tcPr>
            <w:tcW w:w="719" w:type="dxa"/>
            <w:tcBorders>
              <w:top w:val="nil"/>
              <w:left w:val="single" w:sz="4" w:space="0" w:color="auto"/>
              <w:bottom w:val="single" w:sz="4" w:space="0" w:color="auto"/>
              <w:right w:val="single" w:sz="4" w:space="0" w:color="auto"/>
            </w:tcBorders>
            <w:vAlign w:val="bottom"/>
          </w:tcPr>
          <w:p w:rsidR="00D13A56" w:rsidRPr="00AF614D" w:rsidRDefault="00D13A56" w:rsidP="00C14EEF">
            <w:pPr>
              <w:jc w:val="right"/>
              <w:rPr>
                <w:rFonts w:ascii="Arial" w:hAnsi="Arial" w:cs="Arial"/>
                <w:b/>
                <w:bCs/>
                <w:color w:val="000000"/>
                <w:sz w:val="18"/>
                <w:szCs w:val="18"/>
              </w:rPr>
            </w:pPr>
            <w:r>
              <w:rPr>
                <w:rFonts w:ascii="Arial" w:hAnsi="Arial"/>
                <w:b/>
                <w:bCs/>
                <w:color w:val="000000"/>
                <w:sz w:val="18"/>
                <w:szCs w:val="18"/>
              </w:rPr>
              <w:t>2018</w:t>
            </w:r>
          </w:p>
        </w:tc>
        <w:tc>
          <w:tcPr>
            <w:tcW w:w="997" w:type="dxa"/>
            <w:tcBorders>
              <w:top w:val="nil"/>
              <w:left w:val="nil"/>
              <w:bottom w:val="single" w:sz="4" w:space="0" w:color="auto"/>
              <w:right w:val="single" w:sz="4" w:space="0" w:color="auto"/>
            </w:tcBorders>
            <w:shd w:val="clear" w:color="auto" w:fill="auto"/>
            <w:noWrap/>
            <w:vAlign w:val="bottom"/>
            <w:hideMark/>
          </w:tcPr>
          <w:p w:rsidR="00D13A56" w:rsidRDefault="00D13A56" w:rsidP="00C14EEF">
            <w:pPr>
              <w:jc w:val="right"/>
              <w:rPr>
                <w:color w:val="000000"/>
              </w:rPr>
            </w:pPr>
            <w:r>
              <w:rPr>
                <w:color w:val="000000"/>
              </w:rPr>
              <w:t>1100460</w:t>
            </w:r>
          </w:p>
        </w:tc>
        <w:tc>
          <w:tcPr>
            <w:tcW w:w="993" w:type="dxa"/>
            <w:tcBorders>
              <w:top w:val="nil"/>
              <w:left w:val="nil"/>
              <w:bottom w:val="single" w:sz="4" w:space="0" w:color="auto"/>
              <w:right w:val="single" w:sz="4" w:space="0" w:color="auto"/>
            </w:tcBorders>
            <w:shd w:val="clear" w:color="auto" w:fill="auto"/>
            <w:noWrap/>
            <w:vAlign w:val="bottom"/>
            <w:hideMark/>
          </w:tcPr>
          <w:p w:rsidR="00D13A56" w:rsidRDefault="00D13A56" w:rsidP="00C14EEF">
            <w:pPr>
              <w:jc w:val="right"/>
              <w:rPr>
                <w:color w:val="000000"/>
              </w:rPr>
            </w:pPr>
            <w:r>
              <w:rPr>
                <w:color w:val="000000"/>
              </w:rPr>
              <w:t>848124</w:t>
            </w:r>
          </w:p>
        </w:tc>
        <w:tc>
          <w:tcPr>
            <w:tcW w:w="1032" w:type="dxa"/>
            <w:tcBorders>
              <w:top w:val="nil"/>
              <w:left w:val="nil"/>
              <w:bottom w:val="single" w:sz="4" w:space="0" w:color="auto"/>
              <w:right w:val="single" w:sz="4" w:space="0" w:color="auto"/>
            </w:tcBorders>
            <w:shd w:val="clear" w:color="auto" w:fill="auto"/>
            <w:noWrap/>
            <w:vAlign w:val="bottom"/>
            <w:hideMark/>
          </w:tcPr>
          <w:p w:rsidR="00D13A56" w:rsidRDefault="00D13A56" w:rsidP="00C14EEF">
            <w:pPr>
              <w:jc w:val="right"/>
              <w:rPr>
                <w:color w:val="000000"/>
              </w:rPr>
            </w:pPr>
            <w:r>
              <w:rPr>
                <w:color w:val="000000"/>
              </w:rPr>
              <w:t>981912</w:t>
            </w:r>
          </w:p>
        </w:tc>
        <w:tc>
          <w:tcPr>
            <w:tcW w:w="886" w:type="dxa"/>
            <w:tcBorders>
              <w:top w:val="nil"/>
              <w:left w:val="nil"/>
              <w:bottom w:val="single" w:sz="4" w:space="0" w:color="auto"/>
              <w:right w:val="single" w:sz="4" w:space="0" w:color="auto"/>
            </w:tcBorders>
            <w:shd w:val="clear" w:color="auto" w:fill="auto"/>
            <w:noWrap/>
            <w:vAlign w:val="bottom"/>
            <w:hideMark/>
          </w:tcPr>
          <w:p w:rsidR="00D13A56" w:rsidRDefault="00D13A56" w:rsidP="00C14EEF">
            <w:pPr>
              <w:jc w:val="right"/>
              <w:rPr>
                <w:color w:val="000000"/>
              </w:rPr>
            </w:pPr>
            <w:r>
              <w:rPr>
                <w:color w:val="000000"/>
              </w:rPr>
              <w:t>769004</w:t>
            </w:r>
          </w:p>
        </w:tc>
        <w:tc>
          <w:tcPr>
            <w:tcW w:w="1058" w:type="dxa"/>
            <w:tcBorders>
              <w:top w:val="nil"/>
              <w:left w:val="nil"/>
              <w:bottom w:val="single" w:sz="4" w:space="0" w:color="auto"/>
              <w:right w:val="single" w:sz="4" w:space="0" w:color="auto"/>
            </w:tcBorders>
            <w:shd w:val="clear" w:color="auto" w:fill="auto"/>
            <w:noWrap/>
            <w:vAlign w:val="bottom"/>
            <w:hideMark/>
          </w:tcPr>
          <w:p w:rsidR="00D13A56" w:rsidRDefault="00D13A56" w:rsidP="00C14EEF">
            <w:pPr>
              <w:jc w:val="right"/>
              <w:rPr>
                <w:color w:val="000000"/>
              </w:rPr>
            </w:pPr>
            <w:r>
              <w:rPr>
                <w:color w:val="000000"/>
              </w:rPr>
              <w:t>479235</w:t>
            </w:r>
          </w:p>
        </w:tc>
        <w:tc>
          <w:tcPr>
            <w:tcW w:w="1109" w:type="dxa"/>
            <w:tcBorders>
              <w:top w:val="nil"/>
              <w:left w:val="nil"/>
              <w:bottom w:val="single" w:sz="4" w:space="0" w:color="auto"/>
              <w:right w:val="single" w:sz="4" w:space="0" w:color="auto"/>
            </w:tcBorders>
            <w:shd w:val="clear" w:color="auto" w:fill="auto"/>
            <w:noWrap/>
            <w:vAlign w:val="bottom"/>
            <w:hideMark/>
          </w:tcPr>
          <w:p w:rsidR="00D13A56" w:rsidRDefault="00D13A56" w:rsidP="00C14EEF">
            <w:pPr>
              <w:jc w:val="right"/>
              <w:rPr>
                <w:color w:val="000000"/>
              </w:rPr>
            </w:pPr>
            <w:r>
              <w:rPr>
                <w:color w:val="000000"/>
              </w:rPr>
              <w:t>10264231</w:t>
            </w:r>
          </w:p>
        </w:tc>
        <w:tc>
          <w:tcPr>
            <w:tcW w:w="1125" w:type="dxa"/>
            <w:tcBorders>
              <w:top w:val="nil"/>
              <w:left w:val="nil"/>
              <w:bottom w:val="single" w:sz="4" w:space="0" w:color="auto"/>
              <w:right w:val="single" w:sz="4" w:space="0" w:color="auto"/>
            </w:tcBorders>
            <w:shd w:val="clear" w:color="auto" w:fill="FFFF00"/>
            <w:noWrap/>
            <w:vAlign w:val="center"/>
            <w:hideMark/>
          </w:tcPr>
          <w:p w:rsidR="00D13A56" w:rsidRDefault="00D13A56" w:rsidP="00C14EEF">
            <w:pPr>
              <w:jc w:val="right"/>
              <w:rPr>
                <w:rFonts w:ascii="Arial" w:hAnsi="Arial" w:cs="Arial"/>
                <w:color w:val="000000"/>
                <w:sz w:val="18"/>
                <w:szCs w:val="18"/>
              </w:rPr>
            </w:pPr>
            <w:r>
              <w:rPr>
                <w:rFonts w:ascii="Arial" w:hAnsi="Arial"/>
                <w:color w:val="000000"/>
                <w:sz w:val="18"/>
                <w:szCs w:val="18"/>
              </w:rPr>
              <w:t>855352,6</w:t>
            </w:r>
          </w:p>
        </w:tc>
      </w:tr>
      <w:tr w:rsidR="00091DAE" w:rsidRPr="00AF614D" w:rsidTr="00091DAE">
        <w:trPr>
          <w:trHeight w:val="300"/>
        </w:trPr>
        <w:tc>
          <w:tcPr>
            <w:tcW w:w="719" w:type="dxa"/>
            <w:tcBorders>
              <w:top w:val="nil"/>
              <w:left w:val="single" w:sz="4" w:space="0" w:color="auto"/>
              <w:bottom w:val="single" w:sz="4" w:space="0" w:color="auto"/>
              <w:right w:val="single" w:sz="4" w:space="0" w:color="auto"/>
            </w:tcBorders>
            <w:shd w:val="clear" w:color="auto" w:fill="auto"/>
            <w:vAlign w:val="bottom"/>
          </w:tcPr>
          <w:p w:rsidR="00091DAE" w:rsidRPr="00AF614D" w:rsidRDefault="00091DAE" w:rsidP="00C14EEF">
            <w:pPr>
              <w:jc w:val="right"/>
              <w:rPr>
                <w:rFonts w:ascii="Arial" w:hAnsi="Arial" w:cs="Arial"/>
                <w:b/>
                <w:bCs/>
                <w:color w:val="000000"/>
                <w:sz w:val="18"/>
                <w:szCs w:val="18"/>
              </w:rPr>
            </w:pPr>
            <w:r>
              <w:rPr>
                <w:rFonts w:ascii="Arial" w:hAnsi="Arial"/>
                <w:b/>
                <w:bCs/>
                <w:color w:val="000000"/>
                <w:sz w:val="18"/>
                <w:szCs w:val="18"/>
              </w:rPr>
              <w:t>2019</w:t>
            </w:r>
          </w:p>
        </w:tc>
        <w:tc>
          <w:tcPr>
            <w:tcW w:w="997" w:type="dxa"/>
            <w:tcBorders>
              <w:top w:val="nil"/>
              <w:left w:val="nil"/>
              <w:bottom w:val="single" w:sz="4" w:space="0" w:color="auto"/>
              <w:right w:val="single" w:sz="4" w:space="0" w:color="auto"/>
            </w:tcBorders>
            <w:shd w:val="clear" w:color="auto" w:fill="auto"/>
            <w:noWrap/>
            <w:vAlign w:val="bottom"/>
            <w:hideMark/>
          </w:tcPr>
          <w:p w:rsidR="00091DAE" w:rsidRDefault="00091DAE" w:rsidP="00C14EEF">
            <w:pPr>
              <w:jc w:val="right"/>
              <w:rPr>
                <w:color w:val="000000"/>
              </w:rPr>
            </w:pPr>
            <w:r>
              <w:rPr>
                <w:color w:val="000000"/>
              </w:rPr>
              <w:t>878486</w:t>
            </w:r>
          </w:p>
        </w:tc>
        <w:tc>
          <w:tcPr>
            <w:tcW w:w="993" w:type="dxa"/>
            <w:tcBorders>
              <w:top w:val="nil"/>
              <w:left w:val="nil"/>
              <w:bottom w:val="single" w:sz="4" w:space="0" w:color="auto"/>
              <w:right w:val="single" w:sz="4" w:space="0" w:color="auto"/>
            </w:tcBorders>
            <w:shd w:val="clear" w:color="auto" w:fill="auto"/>
            <w:noWrap/>
            <w:vAlign w:val="bottom"/>
            <w:hideMark/>
          </w:tcPr>
          <w:p w:rsidR="00091DAE" w:rsidRDefault="00465502" w:rsidP="00C14EEF">
            <w:pPr>
              <w:jc w:val="right"/>
              <w:rPr>
                <w:color w:val="000000"/>
              </w:rPr>
            </w:pPr>
            <w:r>
              <w:rPr>
                <w:color w:val="000000"/>
              </w:rPr>
              <w:t>1558953</w:t>
            </w:r>
          </w:p>
        </w:tc>
        <w:tc>
          <w:tcPr>
            <w:tcW w:w="1032" w:type="dxa"/>
            <w:tcBorders>
              <w:top w:val="nil"/>
              <w:left w:val="nil"/>
              <w:bottom w:val="single" w:sz="4" w:space="0" w:color="auto"/>
              <w:right w:val="single" w:sz="4" w:space="0" w:color="auto"/>
            </w:tcBorders>
            <w:shd w:val="clear" w:color="auto" w:fill="auto"/>
            <w:noWrap/>
            <w:vAlign w:val="center"/>
            <w:hideMark/>
          </w:tcPr>
          <w:p w:rsidR="00091DAE" w:rsidRDefault="00091DAE" w:rsidP="00C14EEF">
            <w:pPr>
              <w:jc w:val="right"/>
              <w:rPr>
                <w:color w:val="000000"/>
                <w:szCs w:val="22"/>
              </w:rPr>
            </w:pPr>
            <w:r>
              <w:rPr>
                <w:color w:val="000000"/>
                <w:szCs w:val="22"/>
              </w:rPr>
              <w:t>981162</w:t>
            </w:r>
          </w:p>
        </w:tc>
        <w:tc>
          <w:tcPr>
            <w:tcW w:w="886" w:type="dxa"/>
            <w:tcBorders>
              <w:top w:val="nil"/>
              <w:left w:val="nil"/>
              <w:bottom w:val="single" w:sz="4" w:space="0" w:color="auto"/>
              <w:right w:val="single" w:sz="4" w:space="0" w:color="auto"/>
            </w:tcBorders>
            <w:shd w:val="clear" w:color="auto" w:fill="auto"/>
            <w:noWrap/>
            <w:vAlign w:val="center"/>
            <w:hideMark/>
          </w:tcPr>
          <w:p w:rsidR="00091DAE" w:rsidRDefault="00091DAE" w:rsidP="00C14EEF">
            <w:pPr>
              <w:jc w:val="right"/>
              <w:rPr>
                <w:color w:val="000000"/>
                <w:szCs w:val="22"/>
              </w:rPr>
            </w:pPr>
            <w:r>
              <w:rPr>
                <w:color w:val="000000"/>
                <w:szCs w:val="22"/>
              </w:rPr>
              <w:t>1286390</w:t>
            </w:r>
          </w:p>
        </w:tc>
        <w:tc>
          <w:tcPr>
            <w:tcW w:w="1058" w:type="dxa"/>
            <w:tcBorders>
              <w:top w:val="nil"/>
              <w:left w:val="nil"/>
              <w:bottom w:val="single" w:sz="4" w:space="0" w:color="auto"/>
              <w:right w:val="single" w:sz="4" w:space="0" w:color="auto"/>
            </w:tcBorders>
            <w:shd w:val="clear" w:color="auto" w:fill="auto"/>
            <w:noWrap/>
            <w:vAlign w:val="center"/>
            <w:hideMark/>
          </w:tcPr>
          <w:p w:rsidR="00091DAE" w:rsidRDefault="00091DAE" w:rsidP="00C14EEF">
            <w:pPr>
              <w:jc w:val="right"/>
              <w:rPr>
                <w:color w:val="000000"/>
                <w:szCs w:val="22"/>
              </w:rPr>
            </w:pPr>
            <w:r>
              <w:rPr>
                <w:color w:val="000000"/>
                <w:szCs w:val="22"/>
              </w:rPr>
              <w:t>801217</w:t>
            </w:r>
          </w:p>
        </w:tc>
        <w:tc>
          <w:tcPr>
            <w:tcW w:w="1109" w:type="dxa"/>
            <w:tcBorders>
              <w:top w:val="nil"/>
              <w:left w:val="nil"/>
              <w:bottom w:val="single" w:sz="4" w:space="0" w:color="auto"/>
              <w:right w:val="single" w:sz="4" w:space="0" w:color="auto"/>
            </w:tcBorders>
            <w:shd w:val="clear" w:color="auto" w:fill="auto"/>
            <w:noWrap/>
            <w:vAlign w:val="bottom"/>
            <w:hideMark/>
          </w:tcPr>
          <w:p w:rsidR="00091DAE" w:rsidRDefault="00465502" w:rsidP="00C14EEF">
            <w:pPr>
              <w:jc w:val="right"/>
              <w:rPr>
                <w:color w:val="000000"/>
              </w:rPr>
            </w:pPr>
            <w:r>
              <w:rPr>
                <w:color w:val="000000"/>
              </w:rPr>
              <w:t>12470307</w:t>
            </w:r>
          </w:p>
        </w:tc>
        <w:tc>
          <w:tcPr>
            <w:tcW w:w="1125" w:type="dxa"/>
            <w:tcBorders>
              <w:top w:val="nil"/>
              <w:left w:val="nil"/>
              <w:bottom w:val="single" w:sz="4" w:space="0" w:color="auto"/>
              <w:right w:val="single" w:sz="4" w:space="0" w:color="auto"/>
            </w:tcBorders>
            <w:shd w:val="clear" w:color="auto" w:fill="FFFF00"/>
            <w:noWrap/>
            <w:vAlign w:val="center"/>
            <w:hideMark/>
          </w:tcPr>
          <w:p w:rsidR="00091DAE" w:rsidRDefault="00465502" w:rsidP="00C14EEF">
            <w:pPr>
              <w:jc w:val="right"/>
              <w:rPr>
                <w:rFonts w:ascii="Arial" w:hAnsi="Arial" w:cs="Arial"/>
                <w:color w:val="000000"/>
                <w:sz w:val="18"/>
                <w:szCs w:val="18"/>
              </w:rPr>
            </w:pPr>
            <w:r>
              <w:rPr>
                <w:rFonts w:ascii="Arial" w:hAnsi="Arial"/>
                <w:color w:val="000000"/>
                <w:sz w:val="18"/>
                <w:szCs w:val="18"/>
              </w:rPr>
              <w:t>1039192</w:t>
            </w:r>
          </w:p>
        </w:tc>
      </w:tr>
    </w:tbl>
    <w:p w:rsidR="0029161E" w:rsidRDefault="0029161E" w:rsidP="00C14EEF">
      <w:pPr>
        <w:jc w:val="left"/>
        <w:rPr>
          <w:rFonts w:ascii="Arial" w:eastAsia="Verdana" w:hAnsi="Arial" w:cs="Arial"/>
          <w:szCs w:val="22"/>
        </w:rPr>
      </w:pPr>
      <w:bookmarkStart w:id="67" w:name="Annexe"/>
      <w:bookmarkEnd w:id="2"/>
      <w:bookmarkEnd w:id="3"/>
      <w:bookmarkEnd w:id="4"/>
      <w:bookmarkEnd w:id="5"/>
      <w:bookmarkEnd w:id="6"/>
      <w:bookmarkEnd w:id="7"/>
      <w:bookmarkEnd w:id="20"/>
    </w:p>
    <w:p w:rsidR="0015021D" w:rsidRDefault="0015021D" w:rsidP="00C14EEF">
      <w:pPr>
        <w:jc w:val="left"/>
        <w:rPr>
          <w:rFonts w:ascii="Arial" w:eastAsia="Verdana" w:hAnsi="Arial" w:cs="Arial"/>
          <w:szCs w:val="22"/>
        </w:rPr>
      </w:pPr>
      <w:r>
        <w:br w:type="page"/>
      </w:r>
    </w:p>
    <w:p w:rsidR="00BD0002" w:rsidRPr="00AD4E08" w:rsidRDefault="00BD0002" w:rsidP="00C14EEF">
      <w:pPr>
        <w:pStyle w:val="1"/>
        <w:spacing w:before="0" w:after="0"/>
        <w:contextualSpacing w:val="0"/>
      </w:pPr>
      <w:bookmarkStart w:id="68" w:name="_Toc24971877"/>
      <w:bookmarkStart w:id="69" w:name="_Toc30518425"/>
      <w:bookmarkStart w:id="70" w:name="_Toc31959640"/>
      <w:bookmarkStart w:id="71" w:name="_Toc43816061"/>
      <w:bookmarkStart w:id="72" w:name="_Toc48392547"/>
      <w:bookmarkStart w:id="73" w:name="_Toc501108084"/>
      <w:r>
        <w:t>Аналіз вигід та витрат</w:t>
      </w:r>
      <w:bookmarkEnd w:id="68"/>
      <w:bookmarkEnd w:id="69"/>
      <w:bookmarkEnd w:id="70"/>
      <w:bookmarkEnd w:id="71"/>
      <w:bookmarkEnd w:id="72"/>
    </w:p>
    <w:p w:rsidR="00100ECC" w:rsidRDefault="00100ECC" w:rsidP="00C14EEF">
      <w:pPr>
        <w:pStyle w:val="HydrophilStandard"/>
        <w:spacing w:after="0"/>
        <w:contextualSpacing w:val="0"/>
      </w:pPr>
    </w:p>
    <w:p w:rsidR="00100ECC" w:rsidRPr="00917CC7" w:rsidRDefault="00100ECC" w:rsidP="00C14EEF">
      <w:pPr>
        <w:pStyle w:val="2"/>
        <w:spacing w:before="0" w:after="0"/>
        <w:contextualSpacing w:val="0"/>
      </w:pPr>
      <w:bookmarkStart w:id="74" w:name="_Toc24616721"/>
      <w:bookmarkStart w:id="75" w:name="_Toc24971878"/>
      <w:bookmarkStart w:id="76" w:name="_Toc30518426"/>
      <w:bookmarkStart w:id="77" w:name="_Toc31959641"/>
      <w:bookmarkStart w:id="78" w:name="_Toc43816062"/>
      <w:bookmarkStart w:id="79" w:name="_Toc48392548"/>
      <w:r>
        <w:t>Підхід</w:t>
      </w:r>
      <w:bookmarkEnd w:id="74"/>
      <w:bookmarkEnd w:id="75"/>
      <w:bookmarkEnd w:id="76"/>
      <w:bookmarkEnd w:id="77"/>
      <w:bookmarkEnd w:id="78"/>
      <w:bookmarkEnd w:id="79"/>
    </w:p>
    <w:p w:rsidR="00100ECC" w:rsidRPr="00917CC7" w:rsidRDefault="00100ECC" w:rsidP="00C14EEF">
      <w:pPr>
        <w:pStyle w:val="27"/>
        <w:shd w:val="clear" w:color="auto" w:fill="auto"/>
        <w:spacing w:before="0" w:after="0" w:line="240" w:lineRule="auto"/>
        <w:ind w:firstLine="0"/>
        <w:jc w:val="both"/>
        <w:rPr>
          <w:rFonts w:ascii="Arial" w:hAnsi="Arial" w:cs="Arial"/>
          <w:sz w:val="22"/>
          <w:szCs w:val="22"/>
        </w:rPr>
      </w:pPr>
      <w:r>
        <w:rPr>
          <w:rFonts w:ascii="Arial" w:hAnsi="Arial"/>
          <w:sz w:val="22"/>
          <w:szCs w:val="22"/>
        </w:rPr>
        <w:t>Економічний аналіз (або аналіз витрат-виг</w:t>
      </w:r>
      <w:r w:rsidR="00BF4AE7">
        <w:rPr>
          <w:rFonts w:ascii="Arial" w:hAnsi="Arial"/>
          <w:sz w:val="22"/>
          <w:szCs w:val="22"/>
        </w:rPr>
        <w:t>і</w:t>
      </w:r>
      <w:r>
        <w:rPr>
          <w:rFonts w:ascii="Arial" w:hAnsi="Arial"/>
          <w:sz w:val="22"/>
          <w:szCs w:val="22"/>
        </w:rPr>
        <w:t xml:space="preserve">д) проекту з водопостачання складається з наступного: </w:t>
      </w:r>
    </w:p>
    <w:p w:rsidR="00100ECC" w:rsidRPr="00917CC7" w:rsidRDefault="00100ECC" w:rsidP="00C14EEF">
      <w:pPr>
        <w:pStyle w:val="27"/>
        <w:shd w:val="clear" w:color="auto" w:fill="auto"/>
        <w:spacing w:before="0" w:after="0" w:line="240" w:lineRule="auto"/>
        <w:ind w:left="360" w:firstLine="0"/>
        <w:jc w:val="both"/>
        <w:rPr>
          <w:rFonts w:ascii="Arial" w:hAnsi="Arial" w:cs="Arial"/>
          <w:sz w:val="22"/>
          <w:szCs w:val="22"/>
        </w:rPr>
      </w:pPr>
      <w:r>
        <w:rPr>
          <w:rFonts w:ascii="Arial" w:hAnsi="Arial"/>
          <w:sz w:val="22"/>
          <w:szCs w:val="22"/>
        </w:rPr>
        <w:t xml:space="preserve">(1) Оцінка витрат за проектом; </w:t>
      </w:r>
    </w:p>
    <w:p w:rsidR="00100ECC" w:rsidRPr="00917CC7" w:rsidRDefault="00100ECC" w:rsidP="00C14EEF">
      <w:pPr>
        <w:pStyle w:val="27"/>
        <w:shd w:val="clear" w:color="auto" w:fill="auto"/>
        <w:spacing w:before="0" w:after="0" w:line="240" w:lineRule="auto"/>
        <w:ind w:left="360" w:firstLine="0"/>
        <w:jc w:val="both"/>
        <w:rPr>
          <w:rFonts w:ascii="Arial" w:hAnsi="Arial" w:cs="Arial"/>
          <w:sz w:val="22"/>
          <w:szCs w:val="22"/>
        </w:rPr>
      </w:pPr>
      <w:r>
        <w:rPr>
          <w:rFonts w:ascii="Arial" w:hAnsi="Arial"/>
          <w:sz w:val="22"/>
          <w:szCs w:val="22"/>
        </w:rPr>
        <w:t xml:space="preserve">(2) Оцінка </w:t>
      </w:r>
      <w:r w:rsidR="00CB1B48">
        <w:rPr>
          <w:rFonts w:ascii="Arial" w:hAnsi="Arial"/>
          <w:sz w:val="22"/>
          <w:szCs w:val="22"/>
        </w:rPr>
        <w:t xml:space="preserve">вигід </w:t>
      </w:r>
      <w:r>
        <w:rPr>
          <w:rFonts w:ascii="Arial" w:hAnsi="Arial"/>
          <w:sz w:val="22"/>
          <w:szCs w:val="22"/>
        </w:rPr>
        <w:t>за проектом; та</w:t>
      </w:r>
    </w:p>
    <w:p w:rsidR="00100ECC" w:rsidRPr="00917CC7" w:rsidRDefault="00100ECC" w:rsidP="00C14EEF">
      <w:pPr>
        <w:pStyle w:val="27"/>
        <w:shd w:val="clear" w:color="auto" w:fill="auto"/>
        <w:spacing w:before="0" w:after="0" w:line="240" w:lineRule="auto"/>
        <w:ind w:left="360" w:firstLine="0"/>
        <w:jc w:val="both"/>
        <w:rPr>
          <w:rFonts w:ascii="Arial" w:hAnsi="Arial" w:cs="Arial"/>
          <w:sz w:val="22"/>
          <w:szCs w:val="22"/>
        </w:rPr>
      </w:pPr>
      <w:r>
        <w:rPr>
          <w:rFonts w:ascii="Arial" w:hAnsi="Arial"/>
          <w:sz w:val="22"/>
          <w:szCs w:val="22"/>
        </w:rPr>
        <w:t>(3) Порівняння витрат та виг</w:t>
      </w:r>
      <w:r w:rsidR="00586342">
        <w:rPr>
          <w:rFonts w:ascii="Arial" w:hAnsi="Arial"/>
          <w:sz w:val="22"/>
          <w:szCs w:val="22"/>
        </w:rPr>
        <w:t>і</w:t>
      </w:r>
      <w:r>
        <w:rPr>
          <w:rFonts w:ascii="Arial" w:hAnsi="Arial"/>
          <w:sz w:val="22"/>
          <w:szCs w:val="22"/>
        </w:rPr>
        <w:t>д.</w:t>
      </w:r>
    </w:p>
    <w:p w:rsidR="00100ECC" w:rsidRPr="00917CC7" w:rsidRDefault="00100ECC" w:rsidP="00C14EEF">
      <w:pPr>
        <w:pStyle w:val="27"/>
        <w:shd w:val="clear" w:color="auto" w:fill="auto"/>
        <w:spacing w:before="0" w:after="0" w:line="240" w:lineRule="auto"/>
        <w:ind w:left="360" w:firstLine="0"/>
        <w:jc w:val="both"/>
        <w:rPr>
          <w:rFonts w:ascii="Arial" w:hAnsi="Arial" w:cs="Arial"/>
          <w:sz w:val="22"/>
          <w:szCs w:val="22"/>
          <w:lang w:val="en-US" w:bidi="en-US"/>
        </w:rPr>
      </w:pPr>
    </w:p>
    <w:p w:rsidR="00100ECC" w:rsidRPr="00917CC7" w:rsidRDefault="00100ECC" w:rsidP="00C14EEF">
      <w:pPr>
        <w:pStyle w:val="27"/>
        <w:shd w:val="clear" w:color="auto" w:fill="auto"/>
        <w:spacing w:before="0" w:after="0" w:line="240" w:lineRule="auto"/>
        <w:ind w:firstLine="0"/>
        <w:jc w:val="both"/>
        <w:rPr>
          <w:rFonts w:ascii="Arial" w:hAnsi="Arial" w:cs="Arial"/>
          <w:sz w:val="22"/>
          <w:szCs w:val="22"/>
        </w:rPr>
      </w:pPr>
      <w:r>
        <w:rPr>
          <w:rFonts w:ascii="Arial" w:hAnsi="Arial"/>
          <w:sz w:val="22"/>
          <w:szCs w:val="22"/>
        </w:rPr>
        <w:t>Хоча витрати на проект оцінюються однаково, як для водопостачання, як і для інших секторів, оцінка виг</w:t>
      </w:r>
      <w:r w:rsidR="00586342">
        <w:rPr>
          <w:rFonts w:ascii="Arial" w:hAnsi="Arial"/>
          <w:sz w:val="22"/>
          <w:szCs w:val="22"/>
        </w:rPr>
        <w:t>і</w:t>
      </w:r>
      <w:r>
        <w:rPr>
          <w:rFonts w:ascii="Arial" w:hAnsi="Arial"/>
          <w:sz w:val="22"/>
          <w:szCs w:val="22"/>
        </w:rPr>
        <w:t>д, особливо для складової водопостачання житлового сектору, не настільки проста.</w:t>
      </w:r>
      <w:r w:rsidR="00CB1B48">
        <w:rPr>
          <w:rFonts w:ascii="Arial" w:hAnsi="Arial"/>
          <w:sz w:val="22"/>
          <w:szCs w:val="22"/>
        </w:rPr>
        <w:t xml:space="preserve"> </w:t>
      </w:r>
      <w:r>
        <w:rPr>
          <w:rFonts w:ascii="Arial" w:hAnsi="Arial"/>
          <w:sz w:val="22"/>
          <w:szCs w:val="22"/>
        </w:rPr>
        <w:t>Суспільні блага, як правило, є нематеріальними та такими, що важко визначити за кількістю. Наприклад, готовність платити забезпечує гарний розрахунок вигоди за проектом лише тоді, коли споживачі повністю розуміють взаємозв'язок води та власного здоров'я.</w:t>
      </w:r>
    </w:p>
    <w:p w:rsidR="00100ECC" w:rsidRPr="00917CC7" w:rsidRDefault="00100ECC" w:rsidP="00C14EEF">
      <w:pPr>
        <w:pStyle w:val="27"/>
        <w:shd w:val="clear" w:color="auto" w:fill="auto"/>
        <w:spacing w:before="0" w:after="0" w:line="240" w:lineRule="auto"/>
        <w:ind w:left="360" w:firstLine="0"/>
        <w:jc w:val="both"/>
        <w:rPr>
          <w:rFonts w:ascii="Arial" w:hAnsi="Arial" w:cs="Arial"/>
          <w:sz w:val="22"/>
          <w:szCs w:val="22"/>
          <w:lang w:val="en-US" w:bidi="en-US"/>
        </w:rPr>
      </w:pPr>
    </w:p>
    <w:p w:rsidR="00100ECC" w:rsidRPr="00917CC7" w:rsidRDefault="00100ECC" w:rsidP="00C14EEF">
      <w:pPr>
        <w:pStyle w:val="27"/>
        <w:shd w:val="clear" w:color="auto" w:fill="auto"/>
        <w:spacing w:before="0" w:after="0" w:line="240" w:lineRule="auto"/>
        <w:ind w:firstLine="0"/>
        <w:jc w:val="both"/>
        <w:rPr>
          <w:rFonts w:ascii="Arial" w:hAnsi="Arial" w:cs="Arial"/>
          <w:sz w:val="22"/>
          <w:szCs w:val="22"/>
        </w:rPr>
      </w:pPr>
      <w:r>
        <w:rPr>
          <w:rFonts w:ascii="Arial" w:hAnsi="Arial"/>
          <w:sz w:val="22"/>
          <w:szCs w:val="22"/>
        </w:rPr>
        <w:t>В економічному аналізі як витрати, так і вигоди визначаються як різниця між результатами з реалізацією проекту та без такої реалізації. Консультант детально прорахує ці два сценарії, для оцінки різниці впродовж реалізації та застосування проекту.</w:t>
      </w:r>
    </w:p>
    <w:p w:rsidR="00100ECC" w:rsidRPr="00917CC7" w:rsidRDefault="00100ECC" w:rsidP="00C14EEF">
      <w:pPr>
        <w:pStyle w:val="27"/>
        <w:shd w:val="clear" w:color="auto" w:fill="auto"/>
        <w:spacing w:before="0" w:after="0" w:line="240" w:lineRule="auto"/>
        <w:ind w:firstLine="0"/>
        <w:jc w:val="both"/>
        <w:rPr>
          <w:rFonts w:ascii="Arial" w:hAnsi="Arial" w:cs="Arial"/>
          <w:sz w:val="22"/>
          <w:szCs w:val="22"/>
          <w:lang w:val="en-US" w:bidi="en-US"/>
        </w:rPr>
      </w:pPr>
    </w:p>
    <w:p w:rsidR="00100ECC" w:rsidRPr="00917CC7" w:rsidRDefault="00100ECC" w:rsidP="00C14EEF">
      <w:pPr>
        <w:pStyle w:val="27"/>
        <w:shd w:val="clear" w:color="auto" w:fill="auto"/>
        <w:spacing w:before="0" w:after="0" w:line="240" w:lineRule="auto"/>
        <w:ind w:firstLine="0"/>
        <w:jc w:val="both"/>
        <w:rPr>
          <w:rFonts w:ascii="Arial" w:hAnsi="Arial" w:cs="Arial"/>
          <w:sz w:val="22"/>
          <w:szCs w:val="22"/>
          <w:lang w:val="en-US" w:bidi="en-US"/>
        </w:rPr>
      </w:pPr>
    </w:p>
    <w:p w:rsidR="00100ECC" w:rsidRPr="00917CC7" w:rsidRDefault="00100ECC" w:rsidP="00C14EEF">
      <w:pPr>
        <w:pStyle w:val="2"/>
        <w:spacing w:before="0" w:after="0"/>
        <w:contextualSpacing w:val="0"/>
      </w:pPr>
      <w:bookmarkStart w:id="80" w:name="_Toc24616722"/>
      <w:bookmarkStart w:id="81" w:name="_Toc24971879"/>
      <w:bookmarkStart w:id="82" w:name="_Toc30518427"/>
      <w:bookmarkStart w:id="83" w:name="_Toc31959642"/>
      <w:bookmarkStart w:id="84" w:name="_Toc43816063"/>
      <w:bookmarkStart w:id="85" w:name="_Toc48392549"/>
      <w:r>
        <w:t>Методика</w:t>
      </w:r>
      <w:bookmarkEnd w:id="80"/>
      <w:bookmarkEnd w:id="81"/>
      <w:bookmarkEnd w:id="82"/>
      <w:bookmarkEnd w:id="83"/>
      <w:bookmarkEnd w:id="84"/>
      <w:bookmarkEnd w:id="85"/>
    </w:p>
    <w:p w:rsidR="00100ECC" w:rsidRPr="00917CC7" w:rsidRDefault="00100ECC" w:rsidP="00C14EEF">
      <w:pPr>
        <w:pStyle w:val="Format20"/>
        <w:spacing w:after="0" w:line="240" w:lineRule="auto"/>
        <w:jc w:val="both"/>
        <w:rPr>
          <w:rFonts w:ascii="Arial" w:hAnsi="Arial" w:cs="Arial"/>
          <w:b w:val="0"/>
          <w:sz w:val="22"/>
          <w:szCs w:val="22"/>
        </w:rPr>
      </w:pPr>
      <w:r>
        <w:rPr>
          <w:rFonts w:ascii="Arial" w:hAnsi="Arial"/>
          <w:b w:val="0"/>
          <w:sz w:val="22"/>
          <w:szCs w:val="22"/>
        </w:rPr>
        <w:t>Представлене дослідження буде супроводжуватися методом, описаним у "Аналізі витрат-</w:t>
      </w:r>
      <w:r w:rsidR="00CB1B48">
        <w:rPr>
          <w:rFonts w:ascii="Arial" w:hAnsi="Arial"/>
          <w:b w:val="0"/>
          <w:sz w:val="22"/>
          <w:szCs w:val="22"/>
        </w:rPr>
        <w:t xml:space="preserve">вигід </w:t>
      </w:r>
      <w:r>
        <w:rPr>
          <w:rFonts w:ascii="Arial" w:hAnsi="Arial"/>
          <w:b w:val="0"/>
          <w:sz w:val="22"/>
          <w:szCs w:val="22"/>
        </w:rPr>
        <w:t>інвестиційних проектів", ЄС 2014 рік та "Економічна оцінка інвестиційних проектів ЄІБ", Директорат по проектам ЄІБ, 2013 рік.</w:t>
      </w:r>
    </w:p>
    <w:p w:rsidR="00100ECC" w:rsidRPr="00917CC7" w:rsidRDefault="00100ECC" w:rsidP="00C14EEF">
      <w:pPr>
        <w:pStyle w:val="Format20"/>
        <w:spacing w:after="0" w:line="240" w:lineRule="auto"/>
        <w:jc w:val="both"/>
        <w:rPr>
          <w:rFonts w:ascii="Arial" w:hAnsi="Arial" w:cs="Arial"/>
          <w:b w:val="0"/>
          <w:sz w:val="22"/>
          <w:szCs w:val="22"/>
        </w:rPr>
      </w:pPr>
    </w:p>
    <w:p w:rsidR="00100ECC" w:rsidRPr="00917CC7" w:rsidRDefault="00100ECC" w:rsidP="00C14EEF">
      <w:pPr>
        <w:pStyle w:val="27"/>
        <w:shd w:val="clear" w:color="auto" w:fill="auto"/>
        <w:tabs>
          <w:tab w:val="left" w:pos="1478"/>
        </w:tabs>
        <w:spacing w:before="0" w:after="0" w:line="240" w:lineRule="auto"/>
        <w:ind w:firstLine="0"/>
        <w:jc w:val="both"/>
        <w:rPr>
          <w:rFonts w:ascii="Arial" w:hAnsi="Arial" w:cs="Arial"/>
          <w:sz w:val="22"/>
          <w:szCs w:val="22"/>
        </w:rPr>
      </w:pPr>
      <w:r>
        <w:rPr>
          <w:rFonts w:ascii="Arial" w:hAnsi="Arial"/>
          <w:sz w:val="22"/>
          <w:szCs w:val="22"/>
        </w:rPr>
        <w:t>Економічний аналіз витримує послідовність взаємопов'язаних кроків:</w:t>
      </w:r>
    </w:p>
    <w:p w:rsidR="00100ECC" w:rsidRPr="00BF4AE7" w:rsidRDefault="00100ECC" w:rsidP="00BF4AE7">
      <w:pPr>
        <w:pStyle w:val="27"/>
        <w:numPr>
          <w:ilvl w:val="1"/>
          <w:numId w:val="44"/>
        </w:numPr>
        <w:shd w:val="clear" w:color="auto" w:fill="auto"/>
        <w:tabs>
          <w:tab w:val="left" w:pos="1478"/>
        </w:tabs>
        <w:spacing w:before="0" w:after="0" w:line="240" w:lineRule="auto"/>
        <w:ind w:right="-2"/>
        <w:jc w:val="both"/>
        <w:rPr>
          <w:rFonts w:ascii="Arial" w:hAnsi="Arial"/>
          <w:sz w:val="22"/>
          <w:szCs w:val="22"/>
        </w:rPr>
      </w:pPr>
      <w:r>
        <w:rPr>
          <w:rFonts w:ascii="Arial" w:hAnsi="Arial"/>
          <w:sz w:val="22"/>
          <w:szCs w:val="22"/>
        </w:rPr>
        <w:t>Визначення цілей проекту та економічне обґрунтування.</w:t>
      </w:r>
    </w:p>
    <w:p w:rsidR="00100ECC" w:rsidRPr="00BF4AE7" w:rsidRDefault="00100ECC" w:rsidP="00BF4AE7">
      <w:pPr>
        <w:pStyle w:val="27"/>
        <w:numPr>
          <w:ilvl w:val="1"/>
          <w:numId w:val="44"/>
        </w:numPr>
        <w:shd w:val="clear" w:color="auto" w:fill="auto"/>
        <w:tabs>
          <w:tab w:val="left" w:pos="1478"/>
        </w:tabs>
        <w:spacing w:before="0" w:after="0" w:line="240" w:lineRule="auto"/>
        <w:ind w:right="-2"/>
        <w:jc w:val="both"/>
        <w:rPr>
          <w:rFonts w:ascii="Arial" w:hAnsi="Arial"/>
          <w:sz w:val="22"/>
          <w:szCs w:val="22"/>
        </w:rPr>
      </w:pPr>
      <w:r>
        <w:rPr>
          <w:rFonts w:ascii="Arial" w:hAnsi="Arial"/>
          <w:sz w:val="22"/>
          <w:szCs w:val="22"/>
        </w:rPr>
        <w:t xml:space="preserve">Аналіз попиту та прогноз активного попиту для результатів проекту. </w:t>
      </w:r>
    </w:p>
    <w:p w:rsidR="00100ECC" w:rsidRPr="00BF4AE7" w:rsidRDefault="00100ECC" w:rsidP="00BF4AE7">
      <w:pPr>
        <w:pStyle w:val="27"/>
        <w:numPr>
          <w:ilvl w:val="1"/>
          <w:numId w:val="44"/>
        </w:numPr>
        <w:shd w:val="clear" w:color="auto" w:fill="auto"/>
        <w:tabs>
          <w:tab w:val="left" w:pos="1478"/>
        </w:tabs>
        <w:spacing w:before="0" w:after="0" w:line="240" w:lineRule="auto"/>
        <w:ind w:right="-2"/>
        <w:jc w:val="both"/>
        <w:rPr>
          <w:rFonts w:ascii="Arial" w:hAnsi="Arial"/>
          <w:sz w:val="22"/>
          <w:szCs w:val="22"/>
        </w:rPr>
      </w:pPr>
      <w:r>
        <w:rPr>
          <w:rFonts w:ascii="Arial" w:hAnsi="Arial"/>
          <w:sz w:val="22"/>
          <w:szCs w:val="22"/>
        </w:rPr>
        <w:t>Визначення варіантів для досягнення цілей проекту з точки зору технології, процесу, масштабу та місця розташування за допомогою аналізу найменших витрат та</w:t>
      </w:r>
      <w:r w:rsidR="00BF4AE7">
        <w:rPr>
          <w:rFonts w:ascii="Arial" w:hAnsi="Arial"/>
          <w:sz w:val="22"/>
          <w:szCs w:val="22"/>
        </w:rPr>
        <w:t>/</w:t>
      </w:r>
      <w:r>
        <w:rPr>
          <w:rFonts w:ascii="Arial" w:hAnsi="Arial"/>
          <w:sz w:val="22"/>
          <w:szCs w:val="22"/>
        </w:rPr>
        <w:t>або економічної ефективності з використанням економічно обґрунтованих цін на всі ресурси.</w:t>
      </w:r>
    </w:p>
    <w:p w:rsidR="00100ECC" w:rsidRPr="00BF4AE7" w:rsidRDefault="00100ECC" w:rsidP="00BF4AE7">
      <w:pPr>
        <w:pStyle w:val="27"/>
        <w:numPr>
          <w:ilvl w:val="1"/>
          <w:numId w:val="44"/>
        </w:numPr>
        <w:shd w:val="clear" w:color="auto" w:fill="auto"/>
        <w:tabs>
          <w:tab w:val="left" w:pos="1478"/>
        </w:tabs>
        <w:spacing w:before="0" w:after="0" w:line="240" w:lineRule="auto"/>
        <w:ind w:right="-2"/>
        <w:jc w:val="both"/>
        <w:rPr>
          <w:rFonts w:ascii="Arial" w:hAnsi="Arial"/>
          <w:sz w:val="22"/>
          <w:szCs w:val="22"/>
        </w:rPr>
      </w:pPr>
      <w:r>
        <w:rPr>
          <w:rFonts w:ascii="Arial" w:hAnsi="Arial"/>
          <w:sz w:val="22"/>
          <w:szCs w:val="22"/>
        </w:rPr>
        <w:t>Визначення вимірюваних та невимірюваних виг</w:t>
      </w:r>
      <w:r w:rsidR="00BF4AE7">
        <w:rPr>
          <w:rFonts w:ascii="Arial" w:hAnsi="Arial"/>
          <w:sz w:val="22"/>
          <w:szCs w:val="22"/>
        </w:rPr>
        <w:t>і</w:t>
      </w:r>
      <w:r>
        <w:rPr>
          <w:rFonts w:ascii="Arial" w:hAnsi="Arial"/>
          <w:sz w:val="22"/>
          <w:szCs w:val="22"/>
        </w:rPr>
        <w:t xml:space="preserve">д, визначення переваг економічних </w:t>
      </w:r>
      <w:r w:rsidR="00CB1B48">
        <w:rPr>
          <w:rFonts w:ascii="Arial" w:hAnsi="Arial"/>
          <w:sz w:val="22"/>
          <w:szCs w:val="22"/>
        </w:rPr>
        <w:t xml:space="preserve">вигід </w:t>
      </w:r>
      <w:r>
        <w:rPr>
          <w:rFonts w:ascii="Arial" w:hAnsi="Arial"/>
          <w:sz w:val="22"/>
          <w:szCs w:val="22"/>
        </w:rPr>
        <w:t>над економічними витратами.</w:t>
      </w:r>
    </w:p>
    <w:p w:rsidR="00100ECC" w:rsidRPr="00BF4AE7" w:rsidRDefault="00100ECC" w:rsidP="00BF4AE7">
      <w:pPr>
        <w:pStyle w:val="27"/>
        <w:numPr>
          <w:ilvl w:val="1"/>
          <w:numId w:val="44"/>
        </w:numPr>
        <w:shd w:val="clear" w:color="auto" w:fill="auto"/>
        <w:tabs>
          <w:tab w:val="left" w:pos="1478"/>
        </w:tabs>
        <w:spacing w:before="0" w:after="0" w:line="240" w:lineRule="auto"/>
        <w:ind w:right="-2"/>
        <w:jc w:val="both"/>
        <w:rPr>
          <w:rFonts w:ascii="Arial" w:hAnsi="Arial"/>
          <w:sz w:val="22"/>
          <w:szCs w:val="22"/>
        </w:rPr>
      </w:pPr>
      <w:r>
        <w:rPr>
          <w:rFonts w:ascii="Arial" w:hAnsi="Arial"/>
          <w:sz w:val="22"/>
          <w:szCs w:val="22"/>
        </w:rPr>
        <w:t>Оцінка витрат та доходів за проектом від обраних варіантів.</w:t>
      </w:r>
    </w:p>
    <w:p w:rsidR="00100ECC" w:rsidRPr="00BF4AE7" w:rsidRDefault="00100ECC" w:rsidP="00BF4AE7">
      <w:pPr>
        <w:pStyle w:val="27"/>
        <w:numPr>
          <w:ilvl w:val="1"/>
          <w:numId w:val="44"/>
        </w:numPr>
        <w:shd w:val="clear" w:color="auto" w:fill="auto"/>
        <w:tabs>
          <w:tab w:val="left" w:pos="1478"/>
        </w:tabs>
        <w:spacing w:before="0" w:after="0" w:line="240" w:lineRule="auto"/>
        <w:ind w:right="-2"/>
        <w:jc w:val="both"/>
        <w:rPr>
          <w:rFonts w:ascii="Arial" w:hAnsi="Arial"/>
          <w:sz w:val="22"/>
          <w:szCs w:val="22"/>
        </w:rPr>
      </w:pPr>
      <w:r>
        <w:rPr>
          <w:rFonts w:ascii="Arial" w:hAnsi="Arial"/>
          <w:sz w:val="22"/>
          <w:szCs w:val="22"/>
        </w:rPr>
        <w:t>Фінансово-економічний аналіз</w:t>
      </w:r>
    </w:p>
    <w:p w:rsidR="00100ECC" w:rsidRPr="00BF4AE7" w:rsidRDefault="00100ECC" w:rsidP="00BF4AE7">
      <w:pPr>
        <w:pStyle w:val="27"/>
        <w:numPr>
          <w:ilvl w:val="1"/>
          <w:numId w:val="44"/>
        </w:numPr>
        <w:shd w:val="clear" w:color="auto" w:fill="auto"/>
        <w:tabs>
          <w:tab w:val="left" w:pos="1478"/>
        </w:tabs>
        <w:spacing w:before="0" w:after="0" w:line="240" w:lineRule="auto"/>
        <w:ind w:right="-2"/>
        <w:jc w:val="both"/>
        <w:rPr>
          <w:rFonts w:ascii="Arial" w:hAnsi="Arial"/>
          <w:sz w:val="22"/>
          <w:szCs w:val="22"/>
        </w:rPr>
      </w:pPr>
      <w:r>
        <w:rPr>
          <w:rFonts w:ascii="Arial" w:hAnsi="Arial"/>
          <w:sz w:val="22"/>
          <w:szCs w:val="22"/>
        </w:rPr>
        <w:t>Випробування на ризики, пов'язані з проектом, за допомогою аналізу чутливості та ризиків.</w:t>
      </w:r>
    </w:p>
    <w:p w:rsidR="00100ECC" w:rsidRPr="00917CC7" w:rsidRDefault="00100ECC" w:rsidP="00C14EEF">
      <w:pPr>
        <w:rPr>
          <w:rFonts w:ascii="Arial" w:hAnsi="Arial" w:cs="Arial"/>
          <w:lang w:val="en-US"/>
        </w:rPr>
      </w:pPr>
    </w:p>
    <w:p w:rsidR="00100ECC" w:rsidRPr="007222E7" w:rsidRDefault="00100ECC" w:rsidP="00C14EEF">
      <w:pPr>
        <w:pStyle w:val="2"/>
        <w:spacing w:before="0" w:after="0"/>
        <w:contextualSpacing w:val="0"/>
      </w:pPr>
      <w:bookmarkStart w:id="86" w:name="bookmark321"/>
      <w:bookmarkStart w:id="87" w:name="_Toc24616723"/>
      <w:bookmarkStart w:id="88" w:name="_Toc24971880"/>
      <w:bookmarkStart w:id="89" w:name="_Toc30518428"/>
      <w:bookmarkStart w:id="90" w:name="_Toc31959643"/>
      <w:bookmarkStart w:id="91" w:name="_Toc43816064"/>
      <w:bookmarkStart w:id="92" w:name="_Toc48392550"/>
      <w:r>
        <w:rPr>
          <w:rStyle w:val="34"/>
          <w:rFonts w:asciiTheme="majorHAnsi" w:hAnsiTheme="majorHAnsi"/>
          <w:b w:val="0"/>
          <w:bCs w:val="0"/>
          <w:color w:val="AADC14" w:themeColor="text1"/>
        </w:rPr>
        <w:t>Опис проекту</w:t>
      </w:r>
      <w:bookmarkEnd w:id="86"/>
      <w:bookmarkEnd w:id="87"/>
      <w:bookmarkEnd w:id="88"/>
      <w:bookmarkEnd w:id="89"/>
      <w:bookmarkEnd w:id="90"/>
      <w:bookmarkEnd w:id="91"/>
      <w:bookmarkEnd w:id="92"/>
    </w:p>
    <w:p w:rsidR="00100ECC" w:rsidRPr="00917CC7" w:rsidRDefault="00084592" w:rsidP="00C14EEF">
      <w:pPr>
        <w:pStyle w:val="iCEinzug1"/>
        <w:ind w:left="360"/>
        <w:jc w:val="both"/>
        <w:rPr>
          <w:rFonts w:ascii="Arial" w:hAnsi="Arial" w:cs="Arial"/>
          <w:szCs w:val="22"/>
        </w:rPr>
      </w:pPr>
      <w:r>
        <w:rPr>
          <w:rFonts w:ascii="Arial" w:hAnsi="Arial"/>
          <w:szCs w:val="22"/>
        </w:rPr>
        <w:t xml:space="preserve">Проект - це програма дій та заходів щодо підвищення енергоефективності КП Луцькводоканал підвищення якості надання послуг з водопостачання та водовідведення та зменшення негативного впливу на </w:t>
      </w:r>
      <w:r w:rsidR="00CB1B48">
        <w:rPr>
          <w:rFonts w:ascii="Arial" w:hAnsi="Arial"/>
          <w:szCs w:val="22"/>
        </w:rPr>
        <w:t>довкілля</w:t>
      </w:r>
      <w:r>
        <w:rPr>
          <w:rFonts w:ascii="Arial" w:hAnsi="Arial"/>
          <w:szCs w:val="22"/>
        </w:rPr>
        <w:t>. Проект передбачає зменшення втрат води, покращення енергоефективності та якості надання послуг з централізованого водопостачання для споживачів, а також покращення технології очищення стічних вод.</w:t>
      </w:r>
    </w:p>
    <w:p w:rsidR="00100ECC" w:rsidRPr="00917CC7" w:rsidRDefault="00100ECC" w:rsidP="00C14EEF">
      <w:pPr>
        <w:pStyle w:val="iCEinzug1"/>
        <w:ind w:left="360"/>
        <w:jc w:val="both"/>
        <w:rPr>
          <w:rFonts w:ascii="Arial" w:hAnsi="Arial" w:cs="Arial"/>
          <w:szCs w:val="22"/>
        </w:rPr>
      </w:pPr>
      <w:r>
        <w:rPr>
          <w:rFonts w:ascii="Arial" w:hAnsi="Arial"/>
          <w:szCs w:val="22"/>
        </w:rPr>
        <w:t xml:space="preserve">Реалізація цих заходів призведе до скорочення споживання електроенергії, зменшення втрат питної води у мережі водопостачання та покращення якості очищення стічних вод. </w:t>
      </w:r>
    </w:p>
    <w:p w:rsidR="00100ECC" w:rsidRPr="00917CC7" w:rsidRDefault="00100ECC" w:rsidP="00C14EEF">
      <w:pPr>
        <w:pStyle w:val="iCEinzug1"/>
        <w:ind w:left="357"/>
        <w:jc w:val="both"/>
        <w:rPr>
          <w:rFonts w:ascii="Arial" w:hAnsi="Arial" w:cs="Arial"/>
          <w:szCs w:val="22"/>
        </w:rPr>
      </w:pPr>
      <w:r>
        <w:rPr>
          <w:rFonts w:ascii="Arial" w:hAnsi="Arial"/>
          <w:szCs w:val="22"/>
        </w:rPr>
        <w:t>Запропонований проект включає такі інвестиційні складові (Пріоритетна інвестиційна програма):</w:t>
      </w:r>
    </w:p>
    <w:p w:rsidR="00100ECC" w:rsidRDefault="00100ECC" w:rsidP="00C14EEF">
      <w:pPr>
        <w:pStyle w:val="iCEinzug1"/>
        <w:jc w:val="both"/>
        <w:rPr>
          <w:rFonts w:asciiTheme="minorBidi" w:hAnsiTheme="minorBidi" w:cstheme="minorBidi"/>
          <w:sz w:val="20"/>
          <w:lang w:val="en-GB"/>
        </w:rPr>
      </w:pPr>
    </w:p>
    <w:p w:rsidR="0015021D" w:rsidRDefault="0015021D" w:rsidP="00C14EEF">
      <w:pPr>
        <w:pStyle w:val="iCEinzug1"/>
        <w:jc w:val="both"/>
        <w:rPr>
          <w:rFonts w:asciiTheme="minorBidi" w:hAnsiTheme="minorBidi" w:cstheme="minorBidi"/>
          <w:sz w:val="20"/>
          <w:lang w:val="en-GB"/>
        </w:rPr>
      </w:pPr>
    </w:p>
    <w:p w:rsidR="0015021D" w:rsidRPr="00B05DDA" w:rsidRDefault="0015021D" w:rsidP="00C14EEF">
      <w:pPr>
        <w:pStyle w:val="iCEinzug1"/>
        <w:jc w:val="both"/>
        <w:rPr>
          <w:rFonts w:asciiTheme="minorBidi" w:hAnsiTheme="minorBidi" w:cstheme="minorBidi"/>
          <w:sz w:val="20"/>
          <w:lang w:val="en-IE"/>
        </w:rPr>
      </w:pPr>
    </w:p>
    <w:p w:rsidR="00BF4AE7" w:rsidRDefault="00BF4AE7">
      <w:pPr>
        <w:jc w:val="left"/>
        <w:rPr>
          <w:rFonts w:asciiTheme="minorHAnsi" w:hAnsiTheme="minorHAnsi"/>
          <w:b/>
          <w:bCs/>
          <w:noProof/>
          <w:szCs w:val="18"/>
        </w:rPr>
      </w:pPr>
      <w:bookmarkStart w:id="93" w:name="_Toc24044148"/>
      <w:r>
        <w:br w:type="page"/>
      </w:r>
    </w:p>
    <w:p w:rsidR="00100ECC" w:rsidRPr="00917CC7" w:rsidRDefault="00100ECC" w:rsidP="00C14EEF">
      <w:pPr>
        <w:pStyle w:val="aa"/>
        <w:rPr>
          <w:rFonts w:ascii="Arial" w:hAnsi="Arial" w:cs="Arial"/>
          <w:szCs w:val="22"/>
        </w:rPr>
      </w:pPr>
      <w:bookmarkStart w:id="94" w:name="_Toc48643453"/>
      <w:r>
        <w:t xml:space="preserve">Таблиця </w:t>
      </w:r>
      <w:r w:rsidRPr="009F1C72">
        <w:rPr>
          <w:rFonts w:ascii="Arial" w:hAnsi="Arial" w:cs="Arial"/>
          <w:szCs w:val="22"/>
        </w:rPr>
        <w:fldChar w:fldCharType="begin"/>
      </w:r>
      <w:r w:rsidRPr="009F1C72">
        <w:rPr>
          <w:rFonts w:ascii="Arial" w:hAnsi="Arial" w:cs="Arial"/>
          <w:szCs w:val="22"/>
        </w:rPr>
        <w:instrText xml:space="preserve"> SEQ Table \* ARABIC </w:instrText>
      </w:r>
      <w:r w:rsidRPr="009F1C72">
        <w:rPr>
          <w:rFonts w:ascii="Arial" w:hAnsi="Arial" w:cs="Arial"/>
          <w:szCs w:val="22"/>
        </w:rPr>
        <w:fldChar w:fldCharType="separate"/>
      </w:r>
      <w:r w:rsidR="00CB1B48">
        <w:rPr>
          <w:rFonts w:ascii="Arial" w:hAnsi="Arial" w:cs="Arial"/>
          <w:szCs w:val="22"/>
        </w:rPr>
        <w:t>13</w:t>
      </w:r>
      <w:r w:rsidRPr="009F1C72">
        <w:rPr>
          <w:rFonts w:ascii="Arial" w:hAnsi="Arial" w:cs="Arial"/>
          <w:szCs w:val="22"/>
        </w:rPr>
        <w:fldChar w:fldCharType="end"/>
      </w:r>
      <w:r>
        <w:t>:</w:t>
      </w:r>
      <w:r>
        <w:rPr>
          <w:rFonts w:ascii="Arial" w:hAnsi="Arial"/>
          <w:b w:val="0"/>
          <w:szCs w:val="22"/>
        </w:rPr>
        <w:t xml:space="preserve"> </w:t>
      </w:r>
      <w:r>
        <w:rPr>
          <w:rFonts w:ascii="Arial" w:hAnsi="Arial"/>
          <w:szCs w:val="22"/>
        </w:rPr>
        <w:t>Інвестиційна складова, що фінансується із позики ЄІБ</w:t>
      </w:r>
      <w:bookmarkEnd w:id="93"/>
      <w:bookmarkEnd w:id="94"/>
    </w:p>
    <w:tbl>
      <w:tblPr>
        <w:tblW w:w="9493" w:type="dxa"/>
        <w:tblInd w:w="113" w:type="dxa"/>
        <w:tblLook w:val="04A0" w:firstRow="1" w:lastRow="0" w:firstColumn="1" w:lastColumn="0" w:noHBand="0" w:noVBand="1"/>
      </w:tblPr>
      <w:tblGrid>
        <w:gridCol w:w="7083"/>
        <w:gridCol w:w="850"/>
        <w:gridCol w:w="1560"/>
      </w:tblGrid>
      <w:tr w:rsidR="00100ECC" w:rsidRPr="00917CC7" w:rsidTr="001E6627">
        <w:trPr>
          <w:trHeight w:val="288"/>
        </w:trPr>
        <w:tc>
          <w:tcPr>
            <w:tcW w:w="7083" w:type="dxa"/>
            <w:tcBorders>
              <w:top w:val="single" w:sz="4" w:space="0" w:color="auto"/>
              <w:left w:val="single" w:sz="4" w:space="0" w:color="auto"/>
              <w:bottom w:val="single" w:sz="4" w:space="0" w:color="auto"/>
              <w:right w:val="single" w:sz="4" w:space="0" w:color="auto"/>
            </w:tcBorders>
            <w:shd w:val="clear" w:color="auto" w:fill="92D050"/>
            <w:noWrap/>
            <w:vAlign w:val="bottom"/>
            <w:hideMark/>
          </w:tcPr>
          <w:p w:rsidR="00100ECC" w:rsidRPr="00917CC7" w:rsidRDefault="00100ECC" w:rsidP="00C14EEF">
            <w:pPr>
              <w:rPr>
                <w:rFonts w:ascii="Arial" w:hAnsi="Arial" w:cs="Arial"/>
                <w:b/>
                <w:bCs/>
              </w:rPr>
            </w:pPr>
            <w:r>
              <w:rPr>
                <w:rFonts w:ascii="Arial" w:hAnsi="Arial"/>
                <w:b/>
                <w:bCs/>
              </w:rPr>
              <w:t>Водопостачання</w:t>
            </w:r>
          </w:p>
        </w:tc>
        <w:tc>
          <w:tcPr>
            <w:tcW w:w="850" w:type="dxa"/>
            <w:tcBorders>
              <w:top w:val="single" w:sz="4" w:space="0" w:color="auto"/>
              <w:left w:val="nil"/>
              <w:bottom w:val="single" w:sz="4" w:space="0" w:color="auto"/>
              <w:right w:val="single" w:sz="4" w:space="0" w:color="auto"/>
            </w:tcBorders>
            <w:shd w:val="clear" w:color="auto" w:fill="92D050"/>
            <w:noWrap/>
            <w:vAlign w:val="bottom"/>
            <w:hideMark/>
          </w:tcPr>
          <w:p w:rsidR="00100ECC" w:rsidRPr="00917CC7" w:rsidRDefault="00100ECC" w:rsidP="00C14EEF">
            <w:pPr>
              <w:jc w:val="center"/>
              <w:rPr>
                <w:rFonts w:ascii="Arial" w:hAnsi="Arial" w:cs="Arial"/>
                <w:b/>
                <w:bCs/>
              </w:rPr>
            </w:pPr>
            <w:r>
              <w:rPr>
                <w:rFonts w:ascii="Arial" w:hAnsi="Arial"/>
                <w:b/>
                <w:bCs/>
              </w:rPr>
              <w:t>ЄВРО</w:t>
            </w:r>
          </w:p>
        </w:tc>
        <w:tc>
          <w:tcPr>
            <w:tcW w:w="1560" w:type="dxa"/>
            <w:tcBorders>
              <w:top w:val="single" w:sz="4" w:space="0" w:color="auto"/>
              <w:left w:val="nil"/>
              <w:bottom w:val="single" w:sz="4" w:space="0" w:color="auto"/>
              <w:right w:val="single" w:sz="4" w:space="0" w:color="auto"/>
            </w:tcBorders>
            <w:shd w:val="clear" w:color="auto" w:fill="92D050"/>
            <w:noWrap/>
            <w:vAlign w:val="bottom"/>
          </w:tcPr>
          <w:p w:rsidR="00100ECC" w:rsidRPr="009F1C72" w:rsidRDefault="009F1C72" w:rsidP="00C14EEF">
            <w:pPr>
              <w:jc w:val="right"/>
              <w:rPr>
                <w:rFonts w:ascii="Arial" w:hAnsi="Arial" w:cs="Arial"/>
                <w:b/>
                <w:bCs/>
              </w:rPr>
            </w:pPr>
            <w:r>
              <w:rPr>
                <w:rFonts w:ascii="Arial" w:hAnsi="Arial"/>
                <w:b/>
                <w:bCs/>
              </w:rPr>
              <w:t>2 426 000</w:t>
            </w:r>
          </w:p>
        </w:tc>
      </w:tr>
      <w:tr w:rsidR="00100ECC" w:rsidRPr="00917CC7" w:rsidTr="001E6627">
        <w:trPr>
          <w:trHeight w:val="288"/>
        </w:trPr>
        <w:tc>
          <w:tcPr>
            <w:tcW w:w="7083" w:type="dxa"/>
            <w:tcBorders>
              <w:top w:val="nil"/>
              <w:left w:val="single" w:sz="4" w:space="0" w:color="auto"/>
              <w:bottom w:val="single" w:sz="4" w:space="0" w:color="auto"/>
              <w:right w:val="single" w:sz="4" w:space="0" w:color="auto"/>
            </w:tcBorders>
            <w:shd w:val="clear" w:color="auto" w:fill="auto"/>
            <w:vAlign w:val="bottom"/>
            <w:hideMark/>
          </w:tcPr>
          <w:p w:rsidR="00100ECC" w:rsidRPr="00917CC7" w:rsidRDefault="009F1C72" w:rsidP="00C14EEF">
            <w:pPr>
              <w:rPr>
                <w:rFonts w:ascii="Arial" w:hAnsi="Arial" w:cs="Arial"/>
              </w:rPr>
            </w:pPr>
            <w:r>
              <w:rPr>
                <w:rFonts w:ascii="Arial" w:hAnsi="Arial"/>
              </w:rPr>
              <w:t>Реконструкція системи водопостачання, загальною довжиною 2,2 км, діаметр 500 мм - ВНС Дубнівська</w:t>
            </w:r>
          </w:p>
        </w:tc>
        <w:tc>
          <w:tcPr>
            <w:tcW w:w="850" w:type="dxa"/>
            <w:tcBorders>
              <w:top w:val="nil"/>
              <w:left w:val="nil"/>
              <w:bottom w:val="single" w:sz="4" w:space="0" w:color="auto"/>
              <w:right w:val="single" w:sz="4" w:space="0" w:color="auto"/>
            </w:tcBorders>
            <w:shd w:val="clear" w:color="auto" w:fill="auto"/>
            <w:noWrap/>
            <w:vAlign w:val="bottom"/>
            <w:hideMark/>
          </w:tcPr>
          <w:p w:rsidR="00100ECC" w:rsidRPr="00917CC7" w:rsidRDefault="00100ECC" w:rsidP="00C14EEF">
            <w:pPr>
              <w:jc w:val="center"/>
              <w:rPr>
                <w:rFonts w:ascii="Arial" w:hAnsi="Arial" w:cs="Arial"/>
              </w:rPr>
            </w:pPr>
            <w:r>
              <w:rPr>
                <w:rFonts w:ascii="Arial" w:hAnsi="Arial"/>
              </w:rPr>
              <w:t>ЄВРО</w:t>
            </w:r>
          </w:p>
        </w:tc>
        <w:tc>
          <w:tcPr>
            <w:tcW w:w="1560" w:type="dxa"/>
            <w:tcBorders>
              <w:top w:val="nil"/>
              <w:left w:val="single" w:sz="4" w:space="0" w:color="7F7F7F"/>
              <w:bottom w:val="single" w:sz="4" w:space="0" w:color="7F7F7F"/>
              <w:right w:val="single" w:sz="4" w:space="0" w:color="auto"/>
            </w:tcBorders>
            <w:shd w:val="clear" w:color="auto" w:fill="auto"/>
            <w:noWrap/>
            <w:vAlign w:val="bottom"/>
          </w:tcPr>
          <w:p w:rsidR="00100ECC" w:rsidRPr="009F1C72" w:rsidRDefault="009F1C72" w:rsidP="00C14EEF">
            <w:pPr>
              <w:jc w:val="right"/>
              <w:rPr>
                <w:rFonts w:ascii="Arial" w:hAnsi="Arial" w:cs="Arial"/>
              </w:rPr>
            </w:pPr>
            <w:r>
              <w:rPr>
                <w:rFonts w:ascii="Arial" w:hAnsi="Arial"/>
              </w:rPr>
              <w:t>776000</w:t>
            </w:r>
          </w:p>
        </w:tc>
      </w:tr>
      <w:tr w:rsidR="00100ECC" w:rsidRPr="00917CC7" w:rsidTr="009F1C72">
        <w:trPr>
          <w:trHeight w:val="340"/>
        </w:trPr>
        <w:tc>
          <w:tcPr>
            <w:tcW w:w="7083" w:type="dxa"/>
            <w:tcBorders>
              <w:top w:val="nil"/>
              <w:left w:val="single" w:sz="4" w:space="0" w:color="auto"/>
              <w:bottom w:val="single" w:sz="4" w:space="0" w:color="auto"/>
              <w:right w:val="single" w:sz="4" w:space="0" w:color="auto"/>
            </w:tcBorders>
            <w:shd w:val="clear" w:color="auto" w:fill="auto"/>
            <w:vAlign w:val="bottom"/>
          </w:tcPr>
          <w:p w:rsidR="00100ECC" w:rsidRPr="00917CC7" w:rsidRDefault="009F1C72" w:rsidP="00C14EEF">
            <w:pPr>
              <w:rPr>
                <w:rFonts w:ascii="Arial" w:hAnsi="Arial" w:cs="Arial"/>
              </w:rPr>
            </w:pPr>
            <w:r>
              <w:rPr>
                <w:rFonts w:ascii="Arial" w:hAnsi="Arial"/>
              </w:rPr>
              <w:t>Реконструкції</w:t>
            </w:r>
            <w:r w:rsidR="00CB1B48">
              <w:rPr>
                <w:rFonts w:ascii="Arial" w:hAnsi="Arial"/>
              </w:rPr>
              <w:t xml:space="preserve"> </w:t>
            </w:r>
            <w:r>
              <w:rPr>
                <w:rFonts w:ascii="Arial" w:hAnsi="Arial"/>
              </w:rPr>
              <w:t xml:space="preserve">водозабірної магістралі </w:t>
            </w:r>
            <w:proofErr w:type="spellStart"/>
            <w:r>
              <w:rPr>
                <w:rFonts w:ascii="Arial" w:hAnsi="Arial"/>
              </w:rPr>
              <w:t>Гнідавської</w:t>
            </w:r>
            <w:proofErr w:type="spellEnd"/>
            <w:r>
              <w:rPr>
                <w:rFonts w:ascii="Arial" w:hAnsi="Arial"/>
              </w:rPr>
              <w:t xml:space="preserve"> ВПУ (2,5 км), діаметром PE560 мм</w:t>
            </w:r>
          </w:p>
        </w:tc>
        <w:tc>
          <w:tcPr>
            <w:tcW w:w="850" w:type="dxa"/>
            <w:tcBorders>
              <w:top w:val="nil"/>
              <w:left w:val="nil"/>
              <w:bottom w:val="single" w:sz="4" w:space="0" w:color="auto"/>
              <w:right w:val="single" w:sz="4" w:space="0" w:color="auto"/>
            </w:tcBorders>
            <w:shd w:val="clear" w:color="auto" w:fill="auto"/>
            <w:noWrap/>
            <w:vAlign w:val="bottom"/>
          </w:tcPr>
          <w:p w:rsidR="00100ECC" w:rsidRPr="00917CC7" w:rsidRDefault="009F1C72" w:rsidP="00C14EEF">
            <w:pPr>
              <w:jc w:val="center"/>
              <w:rPr>
                <w:rFonts w:ascii="Arial" w:hAnsi="Arial" w:cs="Arial"/>
              </w:rPr>
            </w:pPr>
            <w:r>
              <w:rPr>
                <w:rFonts w:ascii="Arial" w:hAnsi="Arial"/>
              </w:rPr>
              <w:t>ЄВРО</w:t>
            </w:r>
          </w:p>
        </w:tc>
        <w:tc>
          <w:tcPr>
            <w:tcW w:w="1560" w:type="dxa"/>
            <w:tcBorders>
              <w:top w:val="nil"/>
              <w:left w:val="single" w:sz="4" w:space="0" w:color="7F7F7F"/>
              <w:bottom w:val="single" w:sz="4" w:space="0" w:color="7F7F7F"/>
              <w:right w:val="single" w:sz="4" w:space="0" w:color="auto"/>
            </w:tcBorders>
            <w:shd w:val="clear" w:color="auto" w:fill="auto"/>
            <w:noWrap/>
            <w:vAlign w:val="bottom"/>
          </w:tcPr>
          <w:p w:rsidR="00100ECC" w:rsidRPr="009F1C72" w:rsidRDefault="00A4522D" w:rsidP="00C14EEF">
            <w:pPr>
              <w:jc w:val="right"/>
              <w:rPr>
                <w:rFonts w:ascii="Arial" w:hAnsi="Arial" w:cs="Arial"/>
              </w:rPr>
            </w:pPr>
            <w:r>
              <w:rPr>
                <w:rFonts w:ascii="Arial" w:hAnsi="Arial"/>
              </w:rPr>
              <w:t>1100000</w:t>
            </w:r>
          </w:p>
        </w:tc>
      </w:tr>
      <w:tr w:rsidR="009F1C72" w:rsidRPr="00917CC7" w:rsidTr="001E6627">
        <w:trPr>
          <w:trHeight w:val="279"/>
        </w:trPr>
        <w:tc>
          <w:tcPr>
            <w:tcW w:w="7083" w:type="dxa"/>
            <w:tcBorders>
              <w:top w:val="nil"/>
              <w:left w:val="single" w:sz="4" w:space="0" w:color="auto"/>
              <w:bottom w:val="single" w:sz="4" w:space="0" w:color="auto"/>
              <w:right w:val="single" w:sz="4" w:space="0" w:color="auto"/>
            </w:tcBorders>
            <w:shd w:val="clear" w:color="auto" w:fill="auto"/>
            <w:vAlign w:val="bottom"/>
            <w:hideMark/>
          </w:tcPr>
          <w:p w:rsidR="009F1C72" w:rsidRPr="00917CC7" w:rsidRDefault="009F1C72" w:rsidP="00C14EEF">
            <w:pPr>
              <w:rPr>
                <w:rFonts w:ascii="Arial" w:hAnsi="Arial" w:cs="Arial"/>
              </w:rPr>
            </w:pPr>
            <w:r>
              <w:rPr>
                <w:rFonts w:ascii="Arial" w:hAnsi="Arial"/>
              </w:rPr>
              <w:t>Придбання спеціальних механізмів для технічного обслуговування</w:t>
            </w:r>
          </w:p>
        </w:tc>
        <w:tc>
          <w:tcPr>
            <w:tcW w:w="850" w:type="dxa"/>
            <w:tcBorders>
              <w:top w:val="nil"/>
              <w:left w:val="nil"/>
              <w:bottom w:val="single" w:sz="4" w:space="0" w:color="auto"/>
              <w:right w:val="single" w:sz="4" w:space="0" w:color="auto"/>
            </w:tcBorders>
            <w:shd w:val="clear" w:color="auto" w:fill="auto"/>
            <w:noWrap/>
            <w:vAlign w:val="bottom"/>
            <w:hideMark/>
          </w:tcPr>
          <w:p w:rsidR="009F1C72" w:rsidRPr="00917CC7" w:rsidRDefault="009F1C72" w:rsidP="00C14EEF">
            <w:pPr>
              <w:jc w:val="center"/>
              <w:rPr>
                <w:rFonts w:ascii="Arial" w:hAnsi="Arial" w:cs="Arial"/>
              </w:rPr>
            </w:pPr>
            <w:r>
              <w:rPr>
                <w:rFonts w:ascii="Arial" w:hAnsi="Arial"/>
              </w:rPr>
              <w:t>ЄВРО</w:t>
            </w:r>
          </w:p>
        </w:tc>
        <w:tc>
          <w:tcPr>
            <w:tcW w:w="1560" w:type="dxa"/>
            <w:tcBorders>
              <w:top w:val="nil"/>
              <w:left w:val="single" w:sz="4" w:space="0" w:color="7F7F7F"/>
              <w:bottom w:val="single" w:sz="4" w:space="0" w:color="7F7F7F"/>
              <w:right w:val="single" w:sz="4" w:space="0" w:color="auto"/>
            </w:tcBorders>
            <w:shd w:val="clear" w:color="auto" w:fill="auto"/>
            <w:noWrap/>
            <w:vAlign w:val="bottom"/>
          </w:tcPr>
          <w:p w:rsidR="009F1C72" w:rsidRPr="009F1C72" w:rsidRDefault="009F1C72" w:rsidP="00C14EEF">
            <w:pPr>
              <w:jc w:val="right"/>
              <w:rPr>
                <w:rFonts w:ascii="Arial" w:hAnsi="Arial" w:cs="Arial"/>
              </w:rPr>
            </w:pPr>
            <w:r>
              <w:rPr>
                <w:rFonts w:ascii="Arial" w:hAnsi="Arial"/>
              </w:rPr>
              <w:t>550000</w:t>
            </w:r>
          </w:p>
        </w:tc>
      </w:tr>
      <w:tr w:rsidR="00100ECC" w:rsidRPr="00917CC7" w:rsidTr="001E6627">
        <w:trPr>
          <w:trHeight w:val="333"/>
        </w:trPr>
        <w:tc>
          <w:tcPr>
            <w:tcW w:w="7083" w:type="dxa"/>
            <w:tcBorders>
              <w:top w:val="nil"/>
              <w:left w:val="single" w:sz="4" w:space="0" w:color="auto"/>
              <w:bottom w:val="single" w:sz="4" w:space="0" w:color="auto"/>
              <w:right w:val="single" w:sz="4" w:space="0" w:color="auto"/>
            </w:tcBorders>
            <w:shd w:val="clear" w:color="auto" w:fill="92D050"/>
            <w:vAlign w:val="bottom"/>
            <w:hideMark/>
          </w:tcPr>
          <w:p w:rsidR="00100ECC" w:rsidRPr="00917CC7" w:rsidRDefault="00100ECC" w:rsidP="00C14EEF">
            <w:pPr>
              <w:rPr>
                <w:rFonts w:ascii="Arial" w:hAnsi="Arial" w:cs="Arial"/>
                <w:b/>
              </w:rPr>
            </w:pPr>
            <w:r>
              <w:rPr>
                <w:rFonts w:ascii="Arial" w:hAnsi="Arial"/>
                <w:b/>
              </w:rPr>
              <w:t>ОЧИЩЕННЯ СТІЧНИХ ВОД</w:t>
            </w:r>
          </w:p>
        </w:tc>
        <w:tc>
          <w:tcPr>
            <w:tcW w:w="850" w:type="dxa"/>
            <w:tcBorders>
              <w:top w:val="nil"/>
              <w:left w:val="nil"/>
              <w:bottom w:val="single" w:sz="4" w:space="0" w:color="auto"/>
              <w:right w:val="single" w:sz="4" w:space="0" w:color="auto"/>
            </w:tcBorders>
            <w:shd w:val="clear" w:color="auto" w:fill="92D050"/>
            <w:noWrap/>
            <w:vAlign w:val="bottom"/>
            <w:hideMark/>
          </w:tcPr>
          <w:p w:rsidR="00100ECC" w:rsidRPr="00917CC7" w:rsidRDefault="00100ECC" w:rsidP="00C14EEF">
            <w:pPr>
              <w:jc w:val="center"/>
              <w:rPr>
                <w:rFonts w:ascii="Arial" w:hAnsi="Arial" w:cs="Arial"/>
              </w:rPr>
            </w:pPr>
            <w:r>
              <w:rPr>
                <w:rFonts w:ascii="Arial" w:hAnsi="Arial"/>
              </w:rPr>
              <w:t>ЄВРО</w:t>
            </w:r>
          </w:p>
        </w:tc>
        <w:tc>
          <w:tcPr>
            <w:tcW w:w="1560" w:type="dxa"/>
            <w:tcBorders>
              <w:top w:val="nil"/>
              <w:left w:val="single" w:sz="4" w:space="0" w:color="7F7F7F"/>
              <w:bottom w:val="single" w:sz="4" w:space="0" w:color="7F7F7F"/>
              <w:right w:val="single" w:sz="4" w:space="0" w:color="auto"/>
            </w:tcBorders>
            <w:shd w:val="clear" w:color="auto" w:fill="92D050"/>
            <w:noWrap/>
            <w:vAlign w:val="bottom"/>
          </w:tcPr>
          <w:p w:rsidR="00100ECC" w:rsidRPr="00A4522D" w:rsidRDefault="00A4522D" w:rsidP="00C14EEF">
            <w:pPr>
              <w:jc w:val="right"/>
              <w:rPr>
                <w:rFonts w:ascii="Arial" w:hAnsi="Arial" w:cs="Arial"/>
                <w:b/>
                <w:bCs/>
              </w:rPr>
            </w:pPr>
            <w:r>
              <w:rPr>
                <w:rFonts w:ascii="Arial" w:hAnsi="Arial"/>
                <w:b/>
                <w:bCs/>
              </w:rPr>
              <w:t>8 431 500</w:t>
            </w:r>
          </w:p>
        </w:tc>
      </w:tr>
      <w:tr w:rsidR="00100ECC" w:rsidRPr="00917CC7" w:rsidTr="001E6627">
        <w:trPr>
          <w:trHeight w:val="279"/>
        </w:trPr>
        <w:tc>
          <w:tcPr>
            <w:tcW w:w="7083" w:type="dxa"/>
            <w:tcBorders>
              <w:top w:val="nil"/>
              <w:left w:val="single" w:sz="4" w:space="0" w:color="auto"/>
              <w:bottom w:val="single" w:sz="4" w:space="0" w:color="auto"/>
              <w:right w:val="single" w:sz="4" w:space="0" w:color="auto"/>
            </w:tcBorders>
            <w:shd w:val="clear" w:color="auto" w:fill="auto"/>
            <w:vAlign w:val="bottom"/>
            <w:hideMark/>
          </w:tcPr>
          <w:p w:rsidR="00100ECC" w:rsidRPr="00917CC7" w:rsidRDefault="009F1C72" w:rsidP="00C14EEF">
            <w:pPr>
              <w:rPr>
                <w:rFonts w:ascii="Arial" w:hAnsi="Arial" w:cs="Arial"/>
              </w:rPr>
            </w:pPr>
            <w:r>
              <w:rPr>
                <w:rFonts w:ascii="Arial" w:hAnsi="Arial"/>
              </w:rPr>
              <w:t>Реконструкції КОС м. Луцьк</w:t>
            </w:r>
          </w:p>
        </w:tc>
        <w:tc>
          <w:tcPr>
            <w:tcW w:w="850" w:type="dxa"/>
            <w:tcBorders>
              <w:top w:val="nil"/>
              <w:left w:val="nil"/>
              <w:bottom w:val="single" w:sz="4" w:space="0" w:color="auto"/>
              <w:right w:val="single" w:sz="4" w:space="0" w:color="auto"/>
            </w:tcBorders>
            <w:shd w:val="clear" w:color="auto" w:fill="auto"/>
            <w:noWrap/>
            <w:vAlign w:val="bottom"/>
            <w:hideMark/>
          </w:tcPr>
          <w:p w:rsidR="00100ECC" w:rsidRPr="00917CC7" w:rsidRDefault="00100ECC" w:rsidP="00C14EEF">
            <w:pPr>
              <w:jc w:val="center"/>
              <w:rPr>
                <w:rFonts w:ascii="Arial" w:hAnsi="Arial" w:cs="Arial"/>
              </w:rPr>
            </w:pPr>
            <w:r>
              <w:rPr>
                <w:rFonts w:ascii="Arial" w:hAnsi="Arial"/>
              </w:rPr>
              <w:t>ЄВРО</w:t>
            </w:r>
          </w:p>
        </w:tc>
        <w:tc>
          <w:tcPr>
            <w:tcW w:w="1560" w:type="dxa"/>
            <w:tcBorders>
              <w:top w:val="nil"/>
              <w:left w:val="single" w:sz="4" w:space="0" w:color="7F7F7F"/>
              <w:bottom w:val="single" w:sz="4" w:space="0" w:color="7F7F7F"/>
              <w:right w:val="single" w:sz="4" w:space="0" w:color="auto"/>
            </w:tcBorders>
            <w:shd w:val="clear" w:color="auto" w:fill="auto"/>
            <w:noWrap/>
            <w:vAlign w:val="bottom"/>
          </w:tcPr>
          <w:p w:rsidR="00100ECC" w:rsidRPr="00A4522D" w:rsidRDefault="00A4522D" w:rsidP="00C14EEF">
            <w:pPr>
              <w:jc w:val="right"/>
              <w:rPr>
                <w:rFonts w:ascii="Arial" w:hAnsi="Arial" w:cs="Arial"/>
              </w:rPr>
            </w:pPr>
            <w:r>
              <w:rPr>
                <w:rFonts w:ascii="Arial" w:hAnsi="Arial"/>
              </w:rPr>
              <w:t>8431500</w:t>
            </w:r>
          </w:p>
        </w:tc>
      </w:tr>
      <w:tr w:rsidR="00100ECC" w:rsidRPr="00917CC7" w:rsidTr="00084592">
        <w:trPr>
          <w:trHeight w:val="279"/>
        </w:trPr>
        <w:tc>
          <w:tcPr>
            <w:tcW w:w="7083" w:type="dxa"/>
            <w:tcBorders>
              <w:top w:val="single" w:sz="4" w:space="0" w:color="auto"/>
              <w:left w:val="single" w:sz="4" w:space="0" w:color="auto"/>
              <w:bottom w:val="single" w:sz="4" w:space="0" w:color="auto"/>
              <w:right w:val="single" w:sz="4" w:space="0" w:color="auto"/>
            </w:tcBorders>
            <w:shd w:val="clear" w:color="auto" w:fill="92D050"/>
            <w:vAlign w:val="bottom"/>
          </w:tcPr>
          <w:p w:rsidR="00100ECC" w:rsidRPr="00917CC7" w:rsidRDefault="00100ECC" w:rsidP="00C14EEF">
            <w:pPr>
              <w:rPr>
                <w:rFonts w:ascii="Arial" w:hAnsi="Arial" w:cs="Arial"/>
                <w:b/>
              </w:rPr>
            </w:pPr>
            <w:r>
              <w:rPr>
                <w:rFonts w:ascii="Arial" w:hAnsi="Arial"/>
                <w:b/>
              </w:rPr>
              <w:t xml:space="preserve">Загалом, Позика </w:t>
            </w:r>
            <w:proofErr w:type="spellStart"/>
            <w:r>
              <w:rPr>
                <w:rFonts w:ascii="Arial" w:hAnsi="Arial"/>
                <w:b/>
              </w:rPr>
              <w:t>ЄіБ</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92D050"/>
            <w:noWrap/>
            <w:vAlign w:val="bottom"/>
          </w:tcPr>
          <w:p w:rsidR="00100ECC" w:rsidRPr="00917CC7" w:rsidRDefault="00100ECC" w:rsidP="00C14EEF">
            <w:pPr>
              <w:jc w:val="center"/>
              <w:rPr>
                <w:rFonts w:ascii="Arial" w:hAnsi="Arial" w:cs="Arial"/>
                <w:b/>
              </w:rPr>
            </w:pPr>
            <w:r>
              <w:rPr>
                <w:rFonts w:ascii="Arial" w:hAnsi="Arial"/>
                <w:b/>
              </w:rPr>
              <w:t>ЄВРО</w:t>
            </w:r>
          </w:p>
        </w:tc>
        <w:tc>
          <w:tcPr>
            <w:tcW w:w="1560" w:type="dxa"/>
            <w:tcBorders>
              <w:top w:val="single" w:sz="4" w:space="0" w:color="auto"/>
              <w:left w:val="single" w:sz="4" w:space="0" w:color="auto"/>
              <w:bottom w:val="single" w:sz="4" w:space="0" w:color="auto"/>
              <w:right w:val="single" w:sz="4" w:space="0" w:color="auto"/>
            </w:tcBorders>
            <w:shd w:val="clear" w:color="auto" w:fill="92D050"/>
            <w:noWrap/>
            <w:vAlign w:val="bottom"/>
          </w:tcPr>
          <w:p w:rsidR="00100ECC" w:rsidRPr="00917CC7" w:rsidRDefault="00A4522D" w:rsidP="00C14EEF">
            <w:pPr>
              <w:jc w:val="right"/>
              <w:rPr>
                <w:rFonts w:ascii="Arial" w:hAnsi="Arial" w:cs="Arial"/>
                <w:b/>
              </w:rPr>
            </w:pPr>
            <w:r>
              <w:rPr>
                <w:rFonts w:ascii="Arial" w:hAnsi="Arial"/>
                <w:b/>
              </w:rPr>
              <w:t>10 857 500</w:t>
            </w:r>
          </w:p>
        </w:tc>
      </w:tr>
    </w:tbl>
    <w:p w:rsidR="00100ECC" w:rsidRPr="00917CC7" w:rsidRDefault="00100ECC" w:rsidP="00C14EEF">
      <w:pPr>
        <w:pStyle w:val="iCEinzug1"/>
        <w:ind w:left="357"/>
        <w:jc w:val="both"/>
        <w:rPr>
          <w:rFonts w:asciiTheme="minorBidi" w:hAnsiTheme="minorBidi" w:cstheme="minorBidi"/>
          <w:sz w:val="20"/>
          <w:lang w:val="en-GB"/>
        </w:rPr>
      </w:pPr>
    </w:p>
    <w:p w:rsidR="00100ECC" w:rsidRPr="00917CC7" w:rsidRDefault="00100ECC" w:rsidP="00C14EEF">
      <w:pPr>
        <w:pStyle w:val="iCEinzug1"/>
        <w:ind w:left="357"/>
        <w:jc w:val="both"/>
        <w:rPr>
          <w:rFonts w:asciiTheme="minorBidi" w:hAnsiTheme="minorBidi" w:cstheme="minorBidi"/>
          <w:sz w:val="20"/>
          <w:lang w:val="en-GB"/>
        </w:rPr>
      </w:pPr>
    </w:p>
    <w:p w:rsidR="00100ECC" w:rsidRPr="00917CC7" w:rsidRDefault="00100ECC" w:rsidP="00C14EEF">
      <w:pPr>
        <w:pStyle w:val="iCEinzug1"/>
        <w:jc w:val="both"/>
        <w:rPr>
          <w:rFonts w:ascii="Arial" w:hAnsi="Arial" w:cs="Arial"/>
          <w:szCs w:val="22"/>
        </w:rPr>
      </w:pPr>
      <w:r>
        <w:rPr>
          <w:rFonts w:ascii="Arial" w:hAnsi="Arial"/>
          <w:szCs w:val="22"/>
        </w:rPr>
        <w:t xml:space="preserve">Проект передбачає заходи, які повністю відповідають вимогам кінцевих споживачів (жителів регіону, комерційних споживачів). </w:t>
      </w:r>
    </w:p>
    <w:p w:rsidR="00100ECC" w:rsidRPr="00917CC7" w:rsidRDefault="00100ECC" w:rsidP="00C14EEF">
      <w:pPr>
        <w:rPr>
          <w:rFonts w:ascii="Arial" w:hAnsi="Arial" w:cs="Arial"/>
          <w:lang w:val="en-US" w:bidi="en-US"/>
        </w:rPr>
      </w:pPr>
    </w:p>
    <w:p w:rsidR="00100ECC" w:rsidRPr="00917CC7" w:rsidRDefault="00100ECC" w:rsidP="00C14EEF">
      <w:pPr>
        <w:rPr>
          <w:rFonts w:ascii="Arial" w:hAnsi="Arial" w:cs="Arial"/>
          <w:lang w:val="en-US" w:bidi="en-US"/>
        </w:rPr>
      </w:pPr>
    </w:p>
    <w:p w:rsidR="00100ECC" w:rsidRPr="007222E7" w:rsidRDefault="00100ECC" w:rsidP="00C14EEF">
      <w:pPr>
        <w:pStyle w:val="2"/>
        <w:spacing w:before="0" w:after="0"/>
        <w:contextualSpacing w:val="0"/>
      </w:pPr>
      <w:bookmarkStart w:id="95" w:name="bookmark322"/>
      <w:bookmarkStart w:id="96" w:name="_Toc24616724"/>
      <w:bookmarkStart w:id="97" w:name="_Toc24971881"/>
      <w:bookmarkStart w:id="98" w:name="_Toc30518429"/>
      <w:bookmarkStart w:id="99" w:name="_Toc31959644"/>
      <w:bookmarkStart w:id="100" w:name="_Toc43816065"/>
      <w:bookmarkStart w:id="101" w:name="_Toc48392551"/>
      <w:r>
        <w:rPr>
          <w:rStyle w:val="34"/>
          <w:rFonts w:asciiTheme="majorHAnsi" w:hAnsiTheme="majorHAnsi"/>
          <w:b w:val="0"/>
          <w:bCs w:val="0"/>
          <w:color w:val="AADC14" w:themeColor="text1"/>
        </w:rPr>
        <w:t>Цілі проекту</w:t>
      </w:r>
      <w:bookmarkEnd w:id="95"/>
      <w:bookmarkEnd w:id="96"/>
      <w:bookmarkEnd w:id="97"/>
      <w:bookmarkEnd w:id="98"/>
      <w:bookmarkEnd w:id="99"/>
      <w:bookmarkEnd w:id="100"/>
      <w:bookmarkEnd w:id="101"/>
    </w:p>
    <w:p w:rsidR="00100ECC" w:rsidRPr="00917CC7" w:rsidRDefault="00100ECC" w:rsidP="00C14EEF">
      <w:pPr>
        <w:pStyle w:val="Pa6"/>
        <w:spacing w:line="240" w:lineRule="auto"/>
        <w:jc w:val="both"/>
        <w:rPr>
          <w:rFonts w:ascii="Arial" w:hAnsi="Arial" w:cs="Arial"/>
          <w:sz w:val="22"/>
          <w:szCs w:val="22"/>
        </w:rPr>
      </w:pPr>
      <w:r>
        <w:rPr>
          <w:rFonts w:ascii="Arial" w:hAnsi="Arial"/>
          <w:sz w:val="22"/>
          <w:szCs w:val="22"/>
        </w:rPr>
        <w:t>Основними причинами, що лежать в основі потреби втручання, є:</w:t>
      </w:r>
    </w:p>
    <w:p w:rsidR="00100ECC" w:rsidRPr="00917CC7" w:rsidRDefault="00100ECC" w:rsidP="00C14EEF">
      <w:pPr>
        <w:pStyle w:val="Default"/>
        <w:numPr>
          <w:ilvl w:val="0"/>
          <w:numId w:val="46"/>
        </w:numPr>
        <w:ind w:left="720" w:hanging="720"/>
        <w:jc w:val="both"/>
        <w:rPr>
          <w:rFonts w:ascii="Arial" w:hAnsi="Arial" w:cs="Arial"/>
          <w:color w:val="221E1F"/>
          <w:sz w:val="22"/>
          <w:szCs w:val="22"/>
        </w:rPr>
      </w:pPr>
      <w:r>
        <w:rPr>
          <w:rFonts w:ascii="Arial" w:hAnsi="Arial"/>
          <w:color w:val="221E1F"/>
          <w:sz w:val="22"/>
          <w:szCs w:val="22"/>
        </w:rPr>
        <w:t>поліпшення якості поверхневих водних об'єктів, збереження екосистем та різноманіття форм життя, що залежать від цих поверхневих водних об'єктів, шляхом будівництва нових міських КОС;</w:t>
      </w:r>
    </w:p>
    <w:p w:rsidR="00100ECC" w:rsidRPr="00917CC7" w:rsidRDefault="00100ECC" w:rsidP="00C14EEF">
      <w:pPr>
        <w:pStyle w:val="Default"/>
        <w:numPr>
          <w:ilvl w:val="0"/>
          <w:numId w:val="46"/>
        </w:numPr>
        <w:jc w:val="both"/>
        <w:rPr>
          <w:rFonts w:ascii="Arial" w:hAnsi="Arial" w:cs="Arial"/>
          <w:color w:val="auto"/>
          <w:sz w:val="22"/>
          <w:szCs w:val="22"/>
        </w:rPr>
      </w:pPr>
      <w:r>
        <w:rPr>
          <w:rFonts w:ascii="Arial" w:hAnsi="Arial"/>
          <w:color w:val="auto"/>
          <w:sz w:val="22"/>
          <w:szCs w:val="22"/>
        </w:rPr>
        <w:t>підвищення надійності послуг з водопостачання;</w:t>
      </w:r>
    </w:p>
    <w:p w:rsidR="00100ECC" w:rsidRPr="00917CC7" w:rsidRDefault="00100ECC" w:rsidP="00C14EEF">
      <w:pPr>
        <w:pStyle w:val="Default"/>
        <w:numPr>
          <w:ilvl w:val="0"/>
          <w:numId w:val="46"/>
        </w:numPr>
        <w:ind w:left="709" w:hanging="709"/>
        <w:jc w:val="both"/>
        <w:rPr>
          <w:rFonts w:ascii="Arial" w:hAnsi="Arial" w:cs="Arial"/>
          <w:color w:val="auto"/>
          <w:sz w:val="22"/>
          <w:szCs w:val="22"/>
        </w:rPr>
      </w:pPr>
      <w:r>
        <w:rPr>
          <w:rFonts w:ascii="Arial" w:hAnsi="Arial"/>
          <w:color w:val="auto"/>
          <w:sz w:val="22"/>
          <w:szCs w:val="22"/>
        </w:rPr>
        <w:t>підвищення ефективності розподілу води, наприклад за рахунок зменшення втрат води;</w:t>
      </w:r>
    </w:p>
    <w:p w:rsidR="00100ECC" w:rsidRPr="00917CC7" w:rsidRDefault="00100ECC" w:rsidP="00C14EEF">
      <w:pPr>
        <w:pStyle w:val="Default"/>
        <w:numPr>
          <w:ilvl w:val="0"/>
          <w:numId w:val="46"/>
        </w:numPr>
        <w:ind w:left="720" w:hanging="720"/>
        <w:jc w:val="both"/>
        <w:rPr>
          <w:rFonts w:ascii="Arial" w:hAnsi="Arial" w:cs="Arial"/>
          <w:color w:val="221E1F"/>
          <w:sz w:val="22"/>
          <w:szCs w:val="22"/>
        </w:rPr>
      </w:pPr>
      <w:r>
        <w:rPr>
          <w:rFonts w:ascii="Arial" w:hAnsi="Arial"/>
          <w:color w:val="221E1F"/>
          <w:sz w:val="22"/>
          <w:szCs w:val="22"/>
        </w:rPr>
        <w:t>покращення ефективності та технології очищення стічних вод.</w:t>
      </w:r>
    </w:p>
    <w:p w:rsidR="00100ECC" w:rsidRPr="00917CC7" w:rsidRDefault="00100ECC" w:rsidP="00C14EEF">
      <w:pPr>
        <w:pStyle w:val="iCEinzug1"/>
        <w:ind w:left="720"/>
        <w:rPr>
          <w:lang w:val="en-GB"/>
        </w:rPr>
      </w:pPr>
    </w:p>
    <w:p w:rsidR="00100ECC" w:rsidRPr="00917CC7" w:rsidRDefault="00100ECC" w:rsidP="00C14EEF">
      <w:pPr>
        <w:rPr>
          <w:rFonts w:ascii="Arial" w:hAnsi="Arial" w:cs="Arial"/>
          <w:lang w:val="en-US" w:bidi="en-US"/>
        </w:rPr>
      </w:pPr>
    </w:p>
    <w:p w:rsidR="00100ECC" w:rsidRPr="007E006A" w:rsidRDefault="00100ECC" w:rsidP="00C14EEF">
      <w:pPr>
        <w:pStyle w:val="2"/>
        <w:spacing w:before="0" w:after="0"/>
        <w:contextualSpacing w:val="0"/>
      </w:pPr>
      <w:bookmarkStart w:id="102" w:name="_Toc24616725"/>
      <w:bookmarkStart w:id="103" w:name="_Toc24971882"/>
      <w:bookmarkStart w:id="104" w:name="_Toc30518430"/>
      <w:bookmarkStart w:id="105" w:name="_Toc31959645"/>
      <w:bookmarkStart w:id="106" w:name="_Toc43816066"/>
      <w:bookmarkStart w:id="107" w:name="_Toc48392552"/>
      <w:r>
        <w:t>Аналіз попиту</w:t>
      </w:r>
      <w:bookmarkEnd w:id="102"/>
      <w:bookmarkEnd w:id="103"/>
      <w:bookmarkEnd w:id="104"/>
      <w:bookmarkEnd w:id="105"/>
      <w:bookmarkEnd w:id="106"/>
      <w:bookmarkEnd w:id="107"/>
    </w:p>
    <w:p w:rsidR="00100ECC" w:rsidRPr="00917CC7" w:rsidRDefault="00100ECC" w:rsidP="00C14EEF">
      <w:pPr>
        <w:pStyle w:val="30"/>
        <w:spacing w:before="0" w:after="0"/>
        <w:contextualSpacing w:val="0"/>
      </w:pPr>
      <w:bookmarkStart w:id="108" w:name="_Toc15249203"/>
      <w:bookmarkStart w:id="109" w:name="_Toc24616726"/>
      <w:bookmarkStart w:id="110" w:name="_Toc24971883"/>
      <w:bookmarkStart w:id="111" w:name="_Toc30518431"/>
      <w:bookmarkStart w:id="112" w:name="_Toc31959646"/>
      <w:bookmarkStart w:id="113" w:name="_Toc43816067"/>
      <w:bookmarkStart w:id="114" w:name="_Toc48392553"/>
      <w:r>
        <w:t>Аналіз поточного та майбутнього попиту на воду.</w:t>
      </w:r>
      <w:bookmarkEnd w:id="108"/>
      <w:bookmarkEnd w:id="109"/>
      <w:bookmarkEnd w:id="110"/>
      <w:bookmarkEnd w:id="111"/>
      <w:bookmarkEnd w:id="112"/>
      <w:bookmarkEnd w:id="113"/>
      <w:bookmarkEnd w:id="114"/>
    </w:p>
    <w:p w:rsidR="00323421" w:rsidRPr="005C41C6" w:rsidRDefault="00323421" w:rsidP="00C14EEF">
      <w:pPr>
        <w:pStyle w:val="HydrophilStandard"/>
        <w:spacing w:after="0"/>
        <w:contextualSpacing w:val="0"/>
        <w:rPr>
          <w:noProof w:val="0"/>
        </w:rPr>
      </w:pPr>
      <w:r>
        <w:t>Консультант підготував прогноз попиту до 2040 року на всю зону обслуговування ЛВК.</w:t>
      </w:r>
    </w:p>
    <w:p w:rsidR="00323421" w:rsidRPr="00AF3C67" w:rsidRDefault="00323421" w:rsidP="00C14EEF">
      <w:pPr>
        <w:pStyle w:val="30"/>
        <w:spacing w:before="0" w:after="0"/>
        <w:contextualSpacing w:val="0"/>
      </w:pPr>
      <w:bookmarkStart w:id="115" w:name="_Toc21620482"/>
      <w:bookmarkStart w:id="116" w:name="_Toc30518432"/>
      <w:bookmarkStart w:id="117" w:name="_Toc31959647"/>
      <w:bookmarkStart w:id="118" w:name="_Toc43816068"/>
      <w:bookmarkStart w:id="119" w:name="_Toc48392554"/>
      <w:r>
        <w:t>Обслуговуване Населення</w:t>
      </w:r>
      <w:bookmarkEnd w:id="115"/>
      <w:bookmarkEnd w:id="116"/>
      <w:bookmarkEnd w:id="117"/>
      <w:bookmarkEnd w:id="118"/>
      <w:bookmarkEnd w:id="119"/>
    </w:p>
    <w:p w:rsidR="00323421" w:rsidRPr="005C41C6" w:rsidRDefault="00323421" w:rsidP="00C14EEF">
      <w:pPr>
        <w:pStyle w:val="HydrophilStandard"/>
        <w:spacing w:after="0"/>
        <w:contextualSpacing w:val="0"/>
        <w:rPr>
          <w:noProof w:val="0"/>
        </w:rPr>
      </w:pPr>
      <w:r>
        <w:t>Офіційний прогноз чисельності населення не доступний. Тому Консультант підготував власний прогноз. Цей прогноз було обговорено та узгоджено з керівництвом ЛВК.</w:t>
      </w:r>
    </w:p>
    <w:p w:rsidR="00323421" w:rsidRPr="005C41C6" w:rsidRDefault="00323421" w:rsidP="00C14EEF">
      <w:pPr>
        <w:pStyle w:val="HydrophilStandard"/>
        <w:spacing w:after="0"/>
        <w:contextualSpacing w:val="0"/>
        <w:rPr>
          <w:noProof w:val="0"/>
          <w:lang w:val="en-GB"/>
        </w:rPr>
      </w:pPr>
    </w:p>
    <w:p w:rsidR="00323421" w:rsidRPr="005C41C6" w:rsidRDefault="00323421" w:rsidP="00C14EEF">
      <w:pPr>
        <w:pStyle w:val="HydrophilStandard"/>
        <w:spacing w:after="0"/>
        <w:contextualSpacing w:val="0"/>
        <w:rPr>
          <w:noProof w:val="0"/>
        </w:rPr>
      </w:pPr>
      <w:r>
        <w:t>Враховуючи плани розвитку міста, видається правдоподібним, що майбутній приріст населення міста Луцьк буде більшим, ніж в останні роки. Однак, в межах міста, не так багато місця (землі) для нових житлових районів. Таким чином, основна місцевість для будівництва розташована одразу за межами міста, у прилеглих населених пунктах.</w:t>
      </w:r>
    </w:p>
    <w:p w:rsidR="00323421" w:rsidRPr="005C41C6" w:rsidRDefault="00323421" w:rsidP="00C14EEF">
      <w:pPr>
        <w:pStyle w:val="HydrophilStandard"/>
        <w:spacing w:after="0"/>
        <w:contextualSpacing w:val="0"/>
        <w:rPr>
          <w:noProof w:val="0"/>
        </w:rPr>
      </w:pPr>
      <w:r>
        <w:t>Наші прогнози щодо населення міста Луцьк враховують три сценарії зростання (низьке, очікуване та високе) із наступними припущеннями:</w:t>
      </w:r>
    </w:p>
    <w:p w:rsidR="00323421" w:rsidRPr="005C41C6" w:rsidRDefault="00323421" w:rsidP="00C14EEF">
      <w:pPr>
        <w:pStyle w:val="a"/>
        <w:numPr>
          <w:ilvl w:val="0"/>
          <w:numId w:val="9"/>
        </w:numPr>
        <w:spacing w:after="0"/>
        <w:ind w:left="567"/>
        <w:contextualSpacing w:val="0"/>
        <w:rPr>
          <w:noProof w:val="0"/>
        </w:rPr>
      </w:pPr>
      <w:r>
        <w:rPr>
          <w:b/>
        </w:rPr>
        <w:t xml:space="preserve">Сценарій низького зростання </w:t>
      </w:r>
      <w:r>
        <w:t>із середньорічним приростом населення -0,5%, у разі зростання еміграції з міста</w:t>
      </w:r>
    </w:p>
    <w:p w:rsidR="00323421" w:rsidRPr="005C41C6" w:rsidRDefault="00323421" w:rsidP="00C14EEF">
      <w:pPr>
        <w:pStyle w:val="a"/>
        <w:numPr>
          <w:ilvl w:val="0"/>
          <w:numId w:val="9"/>
        </w:numPr>
        <w:spacing w:after="0"/>
        <w:ind w:left="567"/>
        <w:contextualSpacing w:val="0"/>
        <w:rPr>
          <w:noProof w:val="0"/>
        </w:rPr>
      </w:pPr>
      <w:r>
        <w:rPr>
          <w:b/>
        </w:rPr>
        <w:t>Сценарій очікуваного зростання</w:t>
      </w:r>
      <w:r>
        <w:t xml:space="preserve"> із середньорічним приростом населення +0,5%, у разі переселення людей до міста, до нових міських житлових районів</w:t>
      </w:r>
    </w:p>
    <w:p w:rsidR="00323421" w:rsidRPr="005C41C6" w:rsidRDefault="00323421" w:rsidP="00C14EEF">
      <w:pPr>
        <w:pStyle w:val="a"/>
        <w:numPr>
          <w:ilvl w:val="0"/>
          <w:numId w:val="9"/>
        </w:numPr>
        <w:spacing w:after="0"/>
        <w:ind w:left="567"/>
        <w:contextualSpacing w:val="0"/>
        <w:rPr>
          <w:noProof w:val="0"/>
        </w:rPr>
      </w:pPr>
      <w:r>
        <w:t>Сценарій високого зростання із серед</w:t>
      </w:r>
      <w:r w:rsidR="00BF4AE7">
        <w:t>ньорічним приростом населення +</w:t>
      </w:r>
      <w:r>
        <w:t>1,0%, у разі збільшення житлових районів міста.</w:t>
      </w:r>
    </w:p>
    <w:p w:rsidR="00323421" w:rsidRPr="005C41C6" w:rsidRDefault="00323421" w:rsidP="00C14EEF">
      <w:pPr>
        <w:pStyle w:val="HydrophilStandard"/>
        <w:spacing w:after="0"/>
        <w:contextualSpacing w:val="0"/>
        <w:rPr>
          <w:noProof w:val="0"/>
        </w:rPr>
      </w:pPr>
      <w:r>
        <w:t xml:space="preserve">У той же час, прогнози щодо </w:t>
      </w:r>
      <w:r>
        <w:rPr>
          <w:b/>
        </w:rPr>
        <w:t>сільського населення</w:t>
      </w:r>
      <w:r w:rsidR="00CB1B48">
        <w:t xml:space="preserve"> </w:t>
      </w:r>
      <w:r>
        <w:rPr>
          <w:b/>
        </w:rPr>
        <w:t>Волинської області</w:t>
      </w:r>
      <w:r>
        <w:t xml:space="preserve"> враховують три сценарії зростання (низьке, очікуване та високе) із наступними припущеннями:</w:t>
      </w:r>
    </w:p>
    <w:p w:rsidR="00323421" w:rsidRPr="005C41C6" w:rsidRDefault="00323421" w:rsidP="00C14EEF">
      <w:pPr>
        <w:pStyle w:val="a"/>
        <w:numPr>
          <w:ilvl w:val="0"/>
          <w:numId w:val="9"/>
        </w:numPr>
        <w:spacing w:after="0"/>
        <w:ind w:left="567"/>
        <w:contextualSpacing w:val="0"/>
        <w:rPr>
          <w:noProof w:val="0"/>
        </w:rPr>
      </w:pPr>
      <w:r>
        <w:t>Сценарій низького зростання із середньорічним приростом населення -0,5%, у разі подальшого зменшення сільського населення порівняно із останніми 24 роками.</w:t>
      </w:r>
    </w:p>
    <w:p w:rsidR="00323421" w:rsidRPr="005C41C6" w:rsidRDefault="00323421" w:rsidP="00C14EEF">
      <w:pPr>
        <w:pStyle w:val="a"/>
        <w:numPr>
          <w:ilvl w:val="0"/>
          <w:numId w:val="9"/>
        </w:numPr>
        <w:spacing w:after="0"/>
        <w:ind w:left="567"/>
        <w:contextualSpacing w:val="0"/>
        <w:rPr>
          <w:noProof w:val="0"/>
        </w:rPr>
      </w:pPr>
      <w:r>
        <w:t>Сценарій низького зростання із середньорічним приростом населення +1,0%, у разі подальшого зменшення сільського населення порівняно із останніми роками.</w:t>
      </w:r>
    </w:p>
    <w:p w:rsidR="00323421" w:rsidRPr="005C41C6" w:rsidRDefault="00323421" w:rsidP="00C14EEF">
      <w:pPr>
        <w:pStyle w:val="a"/>
        <w:numPr>
          <w:ilvl w:val="0"/>
          <w:numId w:val="9"/>
        </w:numPr>
        <w:spacing w:after="0"/>
        <w:ind w:left="567"/>
        <w:contextualSpacing w:val="0"/>
        <w:rPr>
          <w:noProof w:val="0"/>
        </w:rPr>
      </w:pPr>
      <w:r>
        <w:t>Сценарій високого зростання із серед</w:t>
      </w:r>
      <w:r w:rsidR="00BF4AE7">
        <w:t>ньорічним приростом населення +</w:t>
      </w:r>
      <w:r>
        <w:t>1,5%, у разі більшого росту</w:t>
      </w:r>
      <w:r w:rsidR="00CB1B48">
        <w:t xml:space="preserve"> </w:t>
      </w:r>
      <w:r>
        <w:t>населення.</w:t>
      </w:r>
    </w:p>
    <w:p w:rsidR="00323421" w:rsidRPr="005C41C6" w:rsidRDefault="00323421" w:rsidP="00C14EEF">
      <w:pPr>
        <w:pStyle w:val="HydrophilStandard"/>
        <w:spacing w:after="0"/>
        <w:contextualSpacing w:val="0"/>
        <w:rPr>
          <w:noProof w:val="0"/>
        </w:rPr>
      </w:pPr>
      <w:r>
        <w:t>Наведені нижче графіки ілюструють три сценарії зростання населення. За очікуваним прогнозом, населення м. Луцьк становитиме близько 222 377 у 2024 році (кінець ПІП) та 229</w:t>
      </w:r>
      <w:r w:rsidR="00BF4AE7">
        <w:t xml:space="preserve"> </w:t>
      </w:r>
      <w:r>
        <w:t xml:space="preserve">132 у 2030 році (кінець ДСІП). Наступний інвестиційний горизонт у 2040 р також розглянуто нижче, </w:t>
      </w:r>
      <w:r w:rsidR="00BF4AE7">
        <w:t xml:space="preserve">на рівні цього року також були розглянуті </w:t>
      </w:r>
      <w:r>
        <w:t>три сценарії зростання населення.</w:t>
      </w:r>
    </w:p>
    <w:p w:rsidR="00323421" w:rsidRPr="005C41C6" w:rsidRDefault="00323421" w:rsidP="00C14EEF">
      <w:pPr>
        <w:pStyle w:val="HydrophilStandard"/>
        <w:spacing w:after="0"/>
        <w:contextualSpacing w:val="0"/>
        <w:rPr>
          <w:noProof w:val="0"/>
          <w:lang w:val="en-GB"/>
        </w:rPr>
      </w:pPr>
    </w:p>
    <w:p w:rsidR="00323421" w:rsidRPr="005C41C6" w:rsidRDefault="00323421" w:rsidP="00C14EEF">
      <w:pPr>
        <w:pStyle w:val="HydrophilStandard"/>
        <w:spacing w:after="0"/>
        <w:contextualSpacing w:val="0"/>
        <w:rPr>
          <w:noProof w:val="0"/>
        </w:rPr>
      </w:pPr>
      <w:r w:rsidRPr="005C41C6">
        <w:rPr>
          <w:lang w:eastAsia="uk-UA"/>
        </w:rPr>
        <w:drawing>
          <wp:inline distT="0" distB="0" distL="0" distR="0" wp14:anchorId="6E68307B" wp14:editId="2E18E3FC">
            <wp:extent cx="5157470" cy="2731135"/>
            <wp:effectExtent l="0" t="0" r="5080" b="0"/>
            <wp:docPr id="475" name="Pilt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cstate="email">
                      <a:extLst>
                        <a:ext uri="{28A0092B-C50C-407E-A947-70E740481C1C}">
                          <a14:useLocalDpi xmlns:a14="http://schemas.microsoft.com/office/drawing/2010/main"/>
                        </a:ext>
                      </a:extLst>
                    </a:blip>
                    <a:srcRect/>
                    <a:stretch>
                      <a:fillRect/>
                    </a:stretch>
                  </pic:blipFill>
                  <pic:spPr bwMode="auto">
                    <a:xfrm>
                      <a:off x="0" y="0"/>
                      <a:ext cx="5157470" cy="2731135"/>
                    </a:xfrm>
                    <a:prstGeom prst="rect">
                      <a:avLst/>
                    </a:prstGeom>
                    <a:noFill/>
                  </pic:spPr>
                </pic:pic>
              </a:graphicData>
            </a:graphic>
          </wp:inline>
        </w:drawing>
      </w:r>
    </w:p>
    <w:p w:rsidR="00323421" w:rsidRPr="005C41C6" w:rsidRDefault="0081671B" w:rsidP="00C14EEF">
      <w:pPr>
        <w:pStyle w:val="aa"/>
        <w:rPr>
          <w:noProof w:val="0"/>
        </w:rPr>
      </w:pPr>
      <w:bookmarkStart w:id="120" w:name="_Toc21976833"/>
      <w:bookmarkStart w:id="121" w:name="_Toc48643466"/>
      <w:r>
        <w:t xml:space="preserve">Малюнок </w:t>
      </w:r>
      <w:r w:rsidRPr="00AF614D">
        <w:rPr>
          <w:rFonts w:ascii="Arial" w:hAnsi="Arial" w:cs="Arial"/>
        </w:rPr>
        <w:fldChar w:fldCharType="begin"/>
      </w:r>
      <w:r w:rsidRPr="00AF614D">
        <w:rPr>
          <w:rFonts w:ascii="Arial" w:hAnsi="Arial" w:cs="Arial"/>
        </w:rPr>
        <w:instrText xml:space="preserve"> SEQ Figure \* ARABIC </w:instrText>
      </w:r>
      <w:r w:rsidRPr="00AF614D">
        <w:rPr>
          <w:rFonts w:ascii="Arial" w:hAnsi="Arial" w:cs="Arial"/>
        </w:rPr>
        <w:fldChar w:fldCharType="separate"/>
      </w:r>
      <w:r w:rsidR="00CB1B48">
        <w:rPr>
          <w:rFonts w:ascii="Arial" w:hAnsi="Arial" w:cs="Arial"/>
        </w:rPr>
        <w:t>6</w:t>
      </w:r>
      <w:r w:rsidRPr="00AF614D">
        <w:rPr>
          <w:rFonts w:ascii="Arial" w:hAnsi="Arial" w:cs="Arial"/>
        </w:rPr>
        <w:fldChar w:fldCharType="end"/>
      </w:r>
      <w:r>
        <w:t>:</w:t>
      </w:r>
      <w:r>
        <w:rPr>
          <w:rFonts w:ascii="Arial" w:hAnsi="Arial"/>
        </w:rPr>
        <w:t xml:space="preserve"> </w:t>
      </w:r>
      <w:r>
        <w:t>Прогнози щодо населення міста Луцьк, 2020-2040 рр</w:t>
      </w:r>
      <w:bookmarkEnd w:id="120"/>
      <w:bookmarkEnd w:id="121"/>
    </w:p>
    <w:p w:rsidR="00323421" w:rsidRPr="005C41C6" w:rsidRDefault="00323421" w:rsidP="00C14EEF">
      <w:pPr>
        <w:pStyle w:val="HydrophilStandard"/>
        <w:spacing w:after="0"/>
        <w:contextualSpacing w:val="0"/>
        <w:rPr>
          <w:noProof w:val="0"/>
          <w:lang w:val="en-GB"/>
        </w:rPr>
      </w:pPr>
    </w:p>
    <w:p w:rsidR="00323421" w:rsidRPr="005C41C6" w:rsidRDefault="00323421" w:rsidP="00C14EEF">
      <w:pPr>
        <w:pStyle w:val="HydrophilStandard"/>
        <w:spacing w:after="0"/>
        <w:contextualSpacing w:val="0"/>
        <w:rPr>
          <w:noProof w:val="0"/>
        </w:rPr>
      </w:pPr>
      <w:r w:rsidRPr="005C41C6">
        <w:rPr>
          <w:lang w:eastAsia="uk-UA"/>
        </w:rPr>
        <w:drawing>
          <wp:inline distT="0" distB="0" distL="0" distR="0" wp14:anchorId="0BEEF36C" wp14:editId="68FD248A">
            <wp:extent cx="5126990" cy="2731135"/>
            <wp:effectExtent l="0" t="0" r="0" b="0"/>
            <wp:docPr id="476" name="Pilt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cstate="email">
                      <a:extLst>
                        <a:ext uri="{28A0092B-C50C-407E-A947-70E740481C1C}">
                          <a14:useLocalDpi xmlns:a14="http://schemas.microsoft.com/office/drawing/2010/main"/>
                        </a:ext>
                      </a:extLst>
                    </a:blip>
                    <a:srcRect/>
                    <a:stretch>
                      <a:fillRect/>
                    </a:stretch>
                  </pic:blipFill>
                  <pic:spPr bwMode="auto">
                    <a:xfrm>
                      <a:off x="0" y="0"/>
                      <a:ext cx="5126990" cy="2731135"/>
                    </a:xfrm>
                    <a:prstGeom prst="rect">
                      <a:avLst/>
                    </a:prstGeom>
                    <a:noFill/>
                  </pic:spPr>
                </pic:pic>
              </a:graphicData>
            </a:graphic>
          </wp:inline>
        </w:drawing>
      </w:r>
    </w:p>
    <w:p w:rsidR="00323421" w:rsidRPr="005C41C6" w:rsidRDefault="0081671B" w:rsidP="00C14EEF">
      <w:pPr>
        <w:pStyle w:val="aa"/>
        <w:rPr>
          <w:noProof w:val="0"/>
        </w:rPr>
      </w:pPr>
      <w:bookmarkStart w:id="122" w:name="_Toc21976834"/>
      <w:bookmarkStart w:id="123" w:name="_Toc48643467"/>
      <w:r>
        <w:t xml:space="preserve">Малюнок </w:t>
      </w:r>
      <w:r w:rsidRPr="00AF614D">
        <w:rPr>
          <w:rFonts w:ascii="Arial" w:hAnsi="Arial" w:cs="Arial"/>
        </w:rPr>
        <w:fldChar w:fldCharType="begin"/>
      </w:r>
      <w:r w:rsidRPr="00AF614D">
        <w:rPr>
          <w:rFonts w:ascii="Arial" w:hAnsi="Arial" w:cs="Arial"/>
        </w:rPr>
        <w:instrText xml:space="preserve"> SEQ Figure \* ARABIC </w:instrText>
      </w:r>
      <w:r w:rsidRPr="00AF614D">
        <w:rPr>
          <w:rFonts w:ascii="Arial" w:hAnsi="Arial" w:cs="Arial"/>
        </w:rPr>
        <w:fldChar w:fldCharType="separate"/>
      </w:r>
      <w:r w:rsidR="00CB1B48">
        <w:rPr>
          <w:rFonts w:ascii="Arial" w:hAnsi="Arial" w:cs="Arial"/>
        </w:rPr>
        <w:t>7</w:t>
      </w:r>
      <w:r w:rsidRPr="00AF614D">
        <w:rPr>
          <w:rFonts w:ascii="Arial" w:hAnsi="Arial" w:cs="Arial"/>
        </w:rPr>
        <w:fldChar w:fldCharType="end"/>
      </w:r>
      <w:r>
        <w:t>: Прогнози щодо населення прилеглих до міста Луцьк населених пунктів, 2020-2040 рр</w:t>
      </w:r>
      <w:bookmarkEnd w:id="122"/>
      <w:bookmarkEnd w:id="123"/>
    </w:p>
    <w:p w:rsidR="00323421" w:rsidRPr="005C41C6" w:rsidRDefault="00323421" w:rsidP="00C14EEF">
      <w:pPr>
        <w:pStyle w:val="HydrophilStandard"/>
        <w:spacing w:after="0"/>
        <w:contextualSpacing w:val="0"/>
        <w:rPr>
          <w:noProof w:val="0"/>
          <w:lang w:val="en-GB"/>
        </w:rPr>
      </w:pPr>
    </w:p>
    <w:p w:rsidR="00100ECC" w:rsidRDefault="00100ECC" w:rsidP="00C14EEF">
      <w:pPr>
        <w:rPr>
          <w:rStyle w:val="16"/>
          <w:rFonts w:ascii="Arial" w:hAnsi="Arial" w:cs="Arial"/>
          <w:b w:val="0"/>
          <w:bCs w:val="0"/>
          <w:sz w:val="22"/>
          <w:szCs w:val="22"/>
        </w:rPr>
      </w:pPr>
      <w:r>
        <w:rPr>
          <w:rStyle w:val="16"/>
          <w:rFonts w:ascii="Arial" w:hAnsi="Arial"/>
          <w:b w:val="0"/>
          <w:bCs w:val="0"/>
          <w:sz w:val="22"/>
          <w:szCs w:val="22"/>
        </w:rPr>
        <w:t>Коротко прогнозований попит наведено в Додатку 01.</w:t>
      </w:r>
    </w:p>
    <w:p w:rsidR="007E006A" w:rsidRDefault="007E006A" w:rsidP="00C14EEF">
      <w:pPr>
        <w:rPr>
          <w:rStyle w:val="16"/>
          <w:rFonts w:ascii="Arial" w:hAnsi="Arial" w:cs="Arial"/>
          <w:b w:val="0"/>
          <w:bCs w:val="0"/>
          <w:sz w:val="22"/>
          <w:szCs w:val="22"/>
        </w:rPr>
      </w:pPr>
    </w:p>
    <w:p w:rsidR="007E006A" w:rsidRPr="005C41C6" w:rsidRDefault="007E006A" w:rsidP="00C14EEF">
      <w:pPr>
        <w:pStyle w:val="30"/>
        <w:spacing w:before="0" w:after="0"/>
        <w:contextualSpacing w:val="0"/>
      </w:pPr>
      <w:bookmarkStart w:id="124" w:name="_Ref18486912"/>
      <w:bookmarkStart w:id="125" w:name="_Toc21620483"/>
      <w:bookmarkStart w:id="126" w:name="_Toc30518433"/>
      <w:bookmarkStart w:id="127" w:name="_Toc31959648"/>
      <w:bookmarkStart w:id="128" w:name="_Toc43816069"/>
      <w:bookmarkStart w:id="129" w:name="_Toc48392555"/>
      <w:r>
        <w:t>Прогноз Водяного балансу</w:t>
      </w:r>
      <w:bookmarkEnd w:id="124"/>
      <w:bookmarkEnd w:id="125"/>
      <w:bookmarkEnd w:id="126"/>
      <w:bookmarkEnd w:id="127"/>
      <w:bookmarkEnd w:id="128"/>
      <w:bookmarkEnd w:id="129"/>
    </w:p>
    <w:p w:rsidR="007E006A" w:rsidRPr="005C41C6" w:rsidRDefault="007E006A" w:rsidP="00C14EEF">
      <w:pPr>
        <w:pStyle w:val="HydrophilStandard"/>
        <w:spacing w:after="0"/>
        <w:contextualSpacing w:val="0"/>
        <w:rPr>
          <w:noProof w:val="0"/>
        </w:rPr>
      </w:pPr>
      <w:r>
        <w:t>Прогноз попиту на воду наведений нижче та заснований на прогнозуванні всіх елементів водяного балансу.</w:t>
      </w:r>
    </w:p>
    <w:p w:rsidR="007E006A" w:rsidRDefault="007E006A" w:rsidP="00C14EEF">
      <w:pPr>
        <w:pStyle w:val="HydrophilStandard"/>
        <w:spacing w:after="0"/>
        <w:contextualSpacing w:val="0"/>
        <w:rPr>
          <w:noProof w:val="0"/>
          <w:lang w:val="en-GB" w:eastAsia="en-US"/>
        </w:rPr>
      </w:pPr>
    </w:p>
    <w:p w:rsidR="007E006A" w:rsidRPr="005C41C6" w:rsidRDefault="007E006A" w:rsidP="00C14EEF">
      <w:pPr>
        <w:pStyle w:val="HydrophilStandard"/>
        <w:spacing w:after="0"/>
        <w:contextualSpacing w:val="0"/>
        <w:rPr>
          <w:noProof w:val="0"/>
        </w:rPr>
      </w:pPr>
      <w:r>
        <w:t>Очікується, що питоме споживання п</w:t>
      </w:r>
      <w:r w:rsidR="00BF4AE7">
        <w:t>оступово зменшиться та</w:t>
      </w:r>
      <w:r>
        <w:t xml:space="preserve"> сягне 120 л</w:t>
      </w:r>
      <w:r w:rsidR="00BF4AE7">
        <w:t>/л</w:t>
      </w:r>
      <w:r>
        <w:t xml:space="preserve">/д. </w:t>
      </w:r>
    </w:p>
    <w:p w:rsidR="007E006A" w:rsidRPr="005C41C6" w:rsidRDefault="007E006A" w:rsidP="00C14EEF">
      <w:pPr>
        <w:pStyle w:val="HydrophilStandard"/>
        <w:spacing w:after="0"/>
        <w:contextualSpacing w:val="0"/>
        <w:rPr>
          <w:noProof w:val="0"/>
        </w:rPr>
      </w:pPr>
      <w:r>
        <w:t>Передбачається темп росту непобутового (промислове, адміністративне та комерційне) споживання води, яке у 2018 році становило 20% від загального споживання, відповідний до темпу росту населення. Прогноз споживання базується на допущеннях, зазначених вище, та наданий у Додатку 01:</w:t>
      </w:r>
    </w:p>
    <w:p w:rsidR="007E006A" w:rsidRPr="005C41C6" w:rsidRDefault="007E006A" w:rsidP="00C14EEF">
      <w:pPr>
        <w:pStyle w:val="HydrophilStandard"/>
        <w:spacing w:after="0"/>
        <w:contextualSpacing w:val="0"/>
        <w:rPr>
          <w:noProof w:val="0"/>
          <w:lang w:val="en-GB" w:eastAsia="en-US"/>
        </w:rPr>
      </w:pPr>
    </w:p>
    <w:p w:rsidR="007E006A" w:rsidRPr="005C41C6" w:rsidRDefault="007E006A" w:rsidP="00C14EEF">
      <w:pPr>
        <w:pStyle w:val="HydrophilStandard"/>
        <w:spacing w:after="0"/>
        <w:contextualSpacing w:val="0"/>
        <w:rPr>
          <w:noProof w:val="0"/>
        </w:rPr>
      </w:pPr>
      <w:r w:rsidRPr="005C41C6">
        <w:rPr>
          <w:lang w:eastAsia="uk-UA"/>
        </w:rPr>
        <w:drawing>
          <wp:inline distT="0" distB="0" distL="0" distR="0" wp14:anchorId="526FA5B6" wp14:editId="20352052">
            <wp:extent cx="5400000" cy="2503052"/>
            <wp:effectExtent l="0" t="0" r="0" b="0"/>
            <wp:docPr id="477" name="Pilt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cstate="email">
                      <a:extLst>
                        <a:ext uri="{28A0092B-C50C-407E-A947-70E740481C1C}">
                          <a14:useLocalDpi xmlns:a14="http://schemas.microsoft.com/office/drawing/2010/main"/>
                        </a:ext>
                      </a:extLst>
                    </a:blip>
                    <a:srcRect/>
                    <a:stretch>
                      <a:fillRect/>
                    </a:stretch>
                  </pic:blipFill>
                  <pic:spPr bwMode="auto">
                    <a:xfrm>
                      <a:off x="0" y="0"/>
                      <a:ext cx="5400000" cy="2503052"/>
                    </a:xfrm>
                    <a:prstGeom prst="rect">
                      <a:avLst/>
                    </a:prstGeom>
                    <a:noFill/>
                  </pic:spPr>
                </pic:pic>
              </a:graphicData>
            </a:graphic>
          </wp:inline>
        </w:drawing>
      </w:r>
    </w:p>
    <w:p w:rsidR="007E006A" w:rsidRPr="005C41C6" w:rsidRDefault="0081671B" w:rsidP="00C14EEF">
      <w:pPr>
        <w:pStyle w:val="aa"/>
        <w:rPr>
          <w:noProof w:val="0"/>
        </w:rPr>
      </w:pPr>
      <w:bookmarkStart w:id="130" w:name="_Toc21976835"/>
      <w:bookmarkStart w:id="131" w:name="_Toc48643468"/>
      <w:r>
        <w:t xml:space="preserve">Малюнок </w:t>
      </w:r>
      <w:r w:rsidRPr="00AF614D">
        <w:rPr>
          <w:rFonts w:ascii="Arial" w:hAnsi="Arial" w:cs="Arial"/>
        </w:rPr>
        <w:fldChar w:fldCharType="begin"/>
      </w:r>
      <w:r w:rsidRPr="00AF614D">
        <w:rPr>
          <w:rFonts w:ascii="Arial" w:hAnsi="Arial" w:cs="Arial"/>
        </w:rPr>
        <w:instrText xml:space="preserve"> SEQ Figure \* ARABIC </w:instrText>
      </w:r>
      <w:r w:rsidRPr="00AF614D">
        <w:rPr>
          <w:rFonts w:ascii="Arial" w:hAnsi="Arial" w:cs="Arial"/>
        </w:rPr>
        <w:fldChar w:fldCharType="separate"/>
      </w:r>
      <w:r w:rsidR="00CB1B48">
        <w:rPr>
          <w:rFonts w:ascii="Arial" w:hAnsi="Arial" w:cs="Arial"/>
        </w:rPr>
        <w:t>8</w:t>
      </w:r>
      <w:r w:rsidRPr="00AF614D">
        <w:rPr>
          <w:rFonts w:ascii="Arial" w:hAnsi="Arial" w:cs="Arial"/>
        </w:rPr>
        <w:fldChar w:fldCharType="end"/>
      </w:r>
      <w:r>
        <w:t>: Прогноз попиту</w:t>
      </w:r>
      <w:bookmarkEnd w:id="130"/>
      <w:bookmarkEnd w:id="131"/>
    </w:p>
    <w:p w:rsidR="007E006A" w:rsidRPr="005C41C6" w:rsidRDefault="007E006A" w:rsidP="00C14EEF">
      <w:pPr>
        <w:pStyle w:val="HydrophilStandard"/>
        <w:spacing w:after="0"/>
        <w:contextualSpacing w:val="0"/>
        <w:rPr>
          <w:noProof w:val="0"/>
          <w:lang w:val="en-GB" w:eastAsia="en-US"/>
        </w:rPr>
      </w:pPr>
    </w:p>
    <w:p w:rsidR="007E006A" w:rsidRPr="005C41C6" w:rsidRDefault="007E006A" w:rsidP="00C14EEF">
      <w:pPr>
        <w:pStyle w:val="HydrophilStandard"/>
        <w:spacing w:after="0"/>
        <w:contextualSpacing w:val="0"/>
        <w:rPr>
          <w:noProof w:val="0"/>
        </w:rPr>
      </w:pPr>
      <w:r>
        <w:t>Зростання кількості абонентів головним чином пояснюється доступністю послуг ВП в селах.</w:t>
      </w:r>
    </w:p>
    <w:p w:rsidR="007E006A" w:rsidRPr="005C41C6" w:rsidRDefault="007E006A" w:rsidP="00C14EEF">
      <w:pPr>
        <w:pStyle w:val="HydrophilStandard"/>
        <w:spacing w:after="0"/>
        <w:contextualSpacing w:val="0"/>
        <w:rPr>
          <w:noProof w:val="0"/>
          <w:lang w:val="en-GB" w:eastAsia="en-US"/>
        </w:rPr>
      </w:pPr>
    </w:p>
    <w:p w:rsidR="007E006A" w:rsidRPr="005C41C6" w:rsidRDefault="007E006A" w:rsidP="00C14EEF">
      <w:pPr>
        <w:pStyle w:val="HydrophilStandard"/>
        <w:spacing w:after="0"/>
        <w:contextualSpacing w:val="0"/>
        <w:rPr>
          <w:noProof w:val="0"/>
        </w:rPr>
      </w:pPr>
      <w:r>
        <w:t>Основна складова водяного балансу - фізичні втрати. Прогноз в основному базується на програмі реконструкції та розширення мережі.</w:t>
      </w:r>
    </w:p>
    <w:p w:rsidR="007E006A" w:rsidRPr="005C41C6" w:rsidRDefault="007E006A" w:rsidP="00C14EEF">
      <w:pPr>
        <w:pStyle w:val="HydrophilStandard"/>
        <w:spacing w:after="0"/>
        <w:contextualSpacing w:val="0"/>
        <w:rPr>
          <w:noProof w:val="0"/>
        </w:rPr>
      </w:pPr>
      <w:r>
        <w:t>Інші припущення прогнозування водяного балансу наведені нижче:</w:t>
      </w:r>
    </w:p>
    <w:p w:rsidR="007E006A" w:rsidRPr="005C41C6" w:rsidRDefault="007E006A" w:rsidP="00C14EEF">
      <w:pPr>
        <w:pStyle w:val="a"/>
        <w:numPr>
          <w:ilvl w:val="0"/>
          <w:numId w:val="9"/>
        </w:numPr>
        <w:spacing w:after="0"/>
        <w:ind w:left="567"/>
        <w:contextualSpacing w:val="0"/>
        <w:rPr>
          <w:noProof w:val="0"/>
        </w:rPr>
      </w:pPr>
      <w:r>
        <w:t>Очікується, що недозволене споживання залишиться на тому самому рівні.</w:t>
      </w:r>
    </w:p>
    <w:p w:rsidR="007E006A" w:rsidRPr="005C41C6" w:rsidRDefault="007E006A" w:rsidP="00C14EEF">
      <w:pPr>
        <w:pStyle w:val="a"/>
        <w:numPr>
          <w:ilvl w:val="0"/>
          <w:numId w:val="9"/>
        </w:numPr>
        <w:spacing w:after="0"/>
        <w:ind w:left="567"/>
        <w:contextualSpacing w:val="0"/>
        <w:rPr>
          <w:noProof w:val="0"/>
        </w:rPr>
      </w:pPr>
      <w:r>
        <w:t>Неточності абонентських лічильників залишиться на тому самому рівні, завдяки регулярній заміні та перевіркам.</w:t>
      </w:r>
    </w:p>
    <w:p w:rsidR="007E006A" w:rsidRPr="005C41C6" w:rsidRDefault="007E006A" w:rsidP="00C14EEF">
      <w:pPr>
        <w:pStyle w:val="a"/>
        <w:numPr>
          <w:ilvl w:val="0"/>
          <w:numId w:val="9"/>
        </w:numPr>
        <w:spacing w:after="0"/>
        <w:ind w:left="567"/>
        <w:contextualSpacing w:val="0"/>
        <w:rPr>
          <w:noProof w:val="0"/>
        </w:rPr>
      </w:pPr>
      <w:r>
        <w:t>Споживання, на яке не були виставлені рахунки - це, в основному вода для власного користування, та вода для промивання мереж, пожежогасіння тощо. Передбачається, що воно відповідає тенденціям дозволеного споживання, оскільки істотних змін у технологіях не очікується.</w:t>
      </w:r>
    </w:p>
    <w:p w:rsidR="007E006A" w:rsidRPr="005C41C6" w:rsidRDefault="007E006A" w:rsidP="00C14EEF">
      <w:pPr>
        <w:pStyle w:val="HydrophilStandard"/>
        <w:spacing w:after="0"/>
        <w:contextualSpacing w:val="0"/>
        <w:rPr>
          <w:noProof w:val="0"/>
        </w:rPr>
      </w:pPr>
      <w:r w:rsidRPr="005C41C6">
        <w:rPr>
          <w:lang w:eastAsia="uk-UA"/>
        </w:rPr>
        <w:drawing>
          <wp:inline distT="0" distB="0" distL="0" distR="0" wp14:anchorId="31259E2A" wp14:editId="0B3189D4">
            <wp:extent cx="5036820" cy="2466732"/>
            <wp:effectExtent l="0" t="0" r="0" b="0"/>
            <wp:docPr id="478" name="Pilt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cstate="email">
                      <a:extLst>
                        <a:ext uri="{28A0092B-C50C-407E-A947-70E740481C1C}">
                          <a14:useLocalDpi xmlns:a14="http://schemas.microsoft.com/office/drawing/2010/main"/>
                        </a:ext>
                      </a:extLst>
                    </a:blip>
                    <a:srcRect/>
                    <a:stretch>
                      <a:fillRect/>
                    </a:stretch>
                  </pic:blipFill>
                  <pic:spPr bwMode="auto">
                    <a:xfrm>
                      <a:off x="0" y="0"/>
                      <a:ext cx="5041433" cy="2468991"/>
                    </a:xfrm>
                    <a:prstGeom prst="rect">
                      <a:avLst/>
                    </a:prstGeom>
                    <a:noFill/>
                  </pic:spPr>
                </pic:pic>
              </a:graphicData>
            </a:graphic>
          </wp:inline>
        </w:drawing>
      </w:r>
    </w:p>
    <w:p w:rsidR="007E006A" w:rsidRPr="005C41C6" w:rsidRDefault="0081671B" w:rsidP="00C14EEF">
      <w:pPr>
        <w:pStyle w:val="aa"/>
        <w:rPr>
          <w:noProof w:val="0"/>
        </w:rPr>
      </w:pPr>
      <w:bookmarkStart w:id="132" w:name="_Toc21976836"/>
      <w:bookmarkStart w:id="133" w:name="_Toc48643469"/>
      <w:r>
        <w:t xml:space="preserve">Малюнок </w:t>
      </w:r>
      <w:r w:rsidRPr="00AF614D">
        <w:rPr>
          <w:rFonts w:ascii="Arial" w:hAnsi="Arial" w:cs="Arial"/>
        </w:rPr>
        <w:fldChar w:fldCharType="begin"/>
      </w:r>
      <w:r w:rsidRPr="00AF614D">
        <w:rPr>
          <w:rFonts w:ascii="Arial" w:hAnsi="Arial" w:cs="Arial"/>
        </w:rPr>
        <w:instrText xml:space="preserve"> SEQ Figure \* ARABIC </w:instrText>
      </w:r>
      <w:r w:rsidRPr="00AF614D">
        <w:rPr>
          <w:rFonts w:ascii="Arial" w:hAnsi="Arial" w:cs="Arial"/>
        </w:rPr>
        <w:fldChar w:fldCharType="separate"/>
      </w:r>
      <w:r w:rsidR="00CB1B48">
        <w:rPr>
          <w:rFonts w:ascii="Arial" w:hAnsi="Arial" w:cs="Arial"/>
        </w:rPr>
        <w:t>9</w:t>
      </w:r>
      <w:r w:rsidRPr="00AF614D">
        <w:rPr>
          <w:rFonts w:ascii="Arial" w:hAnsi="Arial" w:cs="Arial"/>
        </w:rPr>
        <w:fldChar w:fldCharType="end"/>
      </w:r>
      <w:r>
        <w:t>: Прогноз Водяного балансу</w:t>
      </w:r>
      <w:bookmarkEnd w:id="132"/>
      <w:bookmarkEnd w:id="133"/>
    </w:p>
    <w:p w:rsidR="007E006A" w:rsidRPr="005C41C6" w:rsidRDefault="007E006A" w:rsidP="00C14EEF">
      <w:pPr>
        <w:pStyle w:val="HydrophilStandard"/>
        <w:spacing w:after="0"/>
        <w:contextualSpacing w:val="0"/>
        <w:rPr>
          <w:noProof w:val="0"/>
          <w:lang w:val="en-GB" w:eastAsia="en-US"/>
        </w:rPr>
      </w:pPr>
    </w:p>
    <w:p w:rsidR="007E006A" w:rsidRPr="005C41C6" w:rsidRDefault="007E006A" w:rsidP="00C14EEF">
      <w:pPr>
        <w:pStyle w:val="HydrophilStandard"/>
        <w:spacing w:after="0"/>
        <w:contextualSpacing w:val="0"/>
        <w:rPr>
          <w:noProof w:val="0"/>
        </w:rPr>
      </w:pPr>
      <w:r>
        <w:t>Дозволене споживання. впродовж перших років зменшилося внаслідок збільшення обліку споживання до 100%. Після цього споживання поступово зростало. Загальний середній загальний середньодобовий об'єм води зменшиться з 47 337 (у 2018 році) до 45 292 м3</w:t>
      </w:r>
      <w:r w:rsidR="00BF4AE7">
        <w:t>/</w:t>
      </w:r>
      <w:r>
        <w:t>д (у 2040 році). Тим часом відсоток НРВ (у добутій воді) зменшиться з 35% до 36%. Детальний прогнозований</w:t>
      </w:r>
      <w:r w:rsidR="00CB1B48">
        <w:t xml:space="preserve"> </w:t>
      </w:r>
      <w:r>
        <w:t xml:space="preserve">водяний баланс надано у Додатку І. </w:t>
      </w:r>
    </w:p>
    <w:p w:rsidR="007E006A" w:rsidRPr="00084592" w:rsidRDefault="007E006A" w:rsidP="00C14EEF">
      <w:pPr>
        <w:rPr>
          <w:rFonts w:ascii="Arial" w:hAnsi="Arial" w:cs="Arial"/>
          <w:szCs w:val="22"/>
          <w:lang w:val="en-US" w:bidi="en-US"/>
        </w:rPr>
      </w:pPr>
    </w:p>
    <w:p w:rsidR="00100ECC" w:rsidRPr="00917CC7" w:rsidRDefault="00100ECC" w:rsidP="00C14EEF">
      <w:pPr>
        <w:rPr>
          <w:rFonts w:ascii="Arial" w:hAnsi="Arial" w:cs="Arial"/>
          <w:lang w:val="en-US" w:bidi="en-US"/>
        </w:rPr>
      </w:pPr>
    </w:p>
    <w:p w:rsidR="00100ECC" w:rsidRPr="00DD42CE" w:rsidRDefault="00100ECC" w:rsidP="00C14EEF">
      <w:pPr>
        <w:pStyle w:val="2"/>
        <w:spacing w:before="0" w:after="0"/>
        <w:contextualSpacing w:val="0"/>
      </w:pPr>
      <w:bookmarkStart w:id="134" w:name="_Toc24616728"/>
      <w:bookmarkStart w:id="135" w:name="_Toc24971885"/>
      <w:bookmarkStart w:id="136" w:name="_Toc30518434"/>
      <w:bookmarkStart w:id="137" w:name="_Toc31959649"/>
      <w:bookmarkStart w:id="138" w:name="_Toc43816070"/>
      <w:bookmarkStart w:id="139" w:name="_Toc48392556"/>
      <w:r>
        <w:t>Аналіз варіантів</w:t>
      </w:r>
      <w:bookmarkEnd w:id="134"/>
      <w:bookmarkEnd w:id="135"/>
      <w:bookmarkEnd w:id="136"/>
      <w:bookmarkEnd w:id="137"/>
      <w:bookmarkEnd w:id="138"/>
      <w:bookmarkEnd w:id="139"/>
    </w:p>
    <w:p w:rsidR="00100ECC" w:rsidRDefault="00100ECC" w:rsidP="00C14EEF">
      <w:pPr>
        <w:rPr>
          <w:rFonts w:ascii="Arial" w:hAnsi="Arial" w:cs="Arial"/>
          <w:lang w:val="en-US" w:bidi="en-US"/>
        </w:rPr>
      </w:pPr>
    </w:p>
    <w:p w:rsidR="00916891" w:rsidRDefault="00916891" w:rsidP="00C14EEF">
      <w:pPr>
        <w:rPr>
          <w:rFonts w:ascii="Arial" w:hAnsi="Arial" w:cs="Arial"/>
        </w:rPr>
      </w:pPr>
      <w:r>
        <w:rPr>
          <w:rFonts w:ascii="Arial" w:hAnsi="Arial"/>
        </w:rPr>
        <w:t>Аналіз варіантів для ЛВК враховує реалізацію повного циклу переробки мулу на оновлених КОС.</w:t>
      </w:r>
      <w:r w:rsidR="00CB1B48">
        <w:rPr>
          <w:rFonts w:ascii="Arial" w:hAnsi="Arial"/>
        </w:rPr>
        <w:t xml:space="preserve"> </w:t>
      </w:r>
      <w:r>
        <w:rPr>
          <w:rFonts w:ascii="Arial" w:hAnsi="Arial"/>
        </w:rPr>
        <w:t xml:space="preserve">Питання утилізації та переробки мулу є актуальним для всіх підприємств водопостачання в Україні та безпосередньо впливає на </w:t>
      </w:r>
      <w:r w:rsidR="00CB1B48">
        <w:rPr>
          <w:rFonts w:ascii="Arial" w:hAnsi="Arial"/>
        </w:rPr>
        <w:t>довкілля</w:t>
      </w:r>
      <w:r>
        <w:rPr>
          <w:rFonts w:ascii="Arial" w:hAnsi="Arial"/>
        </w:rPr>
        <w:t>.</w:t>
      </w:r>
      <w:r w:rsidR="00CB1B48">
        <w:rPr>
          <w:rFonts w:ascii="Arial" w:hAnsi="Arial"/>
        </w:rPr>
        <w:t xml:space="preserve"> </w:t>
      </w:r>
      <w:r>
        <w:rPr>
          <w:rFonts w:ascii="Arial" w:hAnsi="Arial"/>
        </w:rPr>
        <w:t xml:space="preserve">З іншого боку, переробка мулу може принести очевидні переваги для водокористування (наприклад, </w:t>
      </w:r>
      <w:proofErr w:type="spellStart"/>
      <w:r>
        <w:rPr>
          <w:rFonts w:ascii="Arial" w:hAnsi="Arial"/>
        </w:rPr>
        <w:t>когенерації</w:t>
      </w:r>
      <w:proofErr w:type="spellEnd"/>
      <w:r>
        <w:rPr>
          <w:rFonts w:ascii="Arial" w:hAnsi="Arial"/>
        </w:rPr>
        <w:t xml:space="preserve"> електроенергії та тепла), зокрема, й для місцевого середовища загалом (достатнє зменшення обсягу мулу).</w:t>
      </w:r>
    </w:p>
    <w:p w:rsidR="00916891" w:rsidRDefault="00916891" w:rsidP="00C14EEF">
      <w:pPr>
        <w:rPr>
          <w:rFonts w:ascii="Arial" w:hAnsi="Arial" w:cs="Arial"/>
          <w:lang w:val="en-US" w:bidi="en-US"/>
        </w:rPr>
      </w:pPr>
    </w:p>
    <w:p w:rsidR="00916891" w:rsidRPr="00AE0B58" w:rsidRDefault="00916891" w:rsidP="00C14EEF">
      <w:pPr>
        <w:shd w:val="clear" w:color="auto" w:fill="FFFFFF"/>
        <w:rPr>
          <w:rFonts w:ascii="Arial" w:hAnsi="Arial" w:cs="Arial"/>
          <w:color w:val="1D2228"/>
        </w:rPr>
      </w:pPr>
      <w:r>
        <w:rPr>
          <w:rFonts w:ascii="Arial" w:hAnsi="Arial"/>
        </w:rPr>
        <w:t>Для наших розрахунків щодо обладнання для переробки мулу ми будемо враховувати середнє значення ЕН протягом трьох років (2016, 2017, 2018) 159187.</w:t>
      </w:r>
    </w:p>
    <w:p w:rsidR="00916891" w:rsidRDefault="00916891" w:rsidP="00C14EEF">
      <w:pPr>
        <w:shd w:val="clear" w:color="auto" w:fill="FFFFFF"/>
        <w:rPr>
          <w:rFonts w:ascii="Arial" w:hAnsi="Arial" w:cs="Arial"/>
          <w:color w:val="1D2228"/>
          <w:lang w:val="en-US" w:eastAsia="uk-UA"/>
        </w:rPr>
      </w:pPr>
    </w:p>
    <w:p w:rsidR="00916891" w:rsidRPr="00AE0B58" w:rsidRDefault="00916891" w:rsidP="00C14EEF">
      <w:pPr>
        <w:shd w:val="clear" w:color="auto" w:fill="FFFFFF"/>
        <w:rPr>
          <w:rFonts w:ascii="Arial" w:hAnsi="Arial" w:cs="Arial"/>
          <w:color w:val="1D2228"/>
        </w:rPr>
      </w:pPr>
      <w:r>
        <w:rPr>
          <w:rFonts w:ascii="Arial" w:hAnsi="Arial"/>
          <w:color w:val="1D2228"/>
        </w:rPr>
        <w:t>Яке було розраховане на основі наступного:</w:t>
      </w:r>
    </w:p>
    <w:p w:rsidR="00916891" w:rsidRPr="00AE0B58" w:rsidRDefault="00916891" w:rsidP="00C14EEF">
      <w:pPr>
        <w:shd w:val="clear" w:color="auto" w:fill="FFFFFF"/>
        <w:rPr>
          <w:rFonts w:ascii="Arial" w:hAnsi="Arial" w:cs="Arial"/>
          <w:color w:val="1D2228"/>
        </w:rPr>
      </w:pPr>
      <w:r>
        <w:rPr>
          <w:rFonts w:ascii="Arial" w:hAnsi="Arial"/>
          <w:color w:val="1D2228"/>
        </w:rPr>
        <w:t>- середнє значення БПК5 у вхідному потоці = 207 мг</w:t>
      </w:r>
      <w:r w:rsidR="00BF4AE7">
        <w:rPr>
          <w:rFonts w:ascii="Arial" w:hAnsi="Arial"/>
          <w:color w:val="1D2228"/>
        </w:rPr>
        <w:t>/</w:t>
      </w:r>
      <w:r>
        <w:rPr>
          <w:rFonts w:ascii="Arial" w:hAnsi="Arial"/>
          <w:color w:val="1D2228"/>
        </w:rPr>
        <w:t>л (в середньому за 2016, 2017, 2018)</w:t>
      </w:r>
    </w:p>
    <w:p w:rsidR="00916891" w:rsidRPr="00AE0B58" w:rsidRDefault="00916891" w:rsidP="00C14EEF">
      <w:pPr>
        <w:shd w:val="clear" w:color="auto" w:fill="FFFFFF"/>
        <w:rPr>
          <w:rFonts w:ascii="Arial" w:hAnsi="Arial" w:cs="Arial"/>
          <w:color w:val="1D2228"/>
        </w:rPr>
      </w:pPr>
      <w:r>
        <w:rPr>
          <w:rFonts w:ascii="Arial" w:hAnsi="Arial"/>
        </w:rPr>
        <w:t>- середнє значення для річного обсягу вхідного потоку 16865877 м3 (у середньому за 2016, 2017, 2018)</w:t>
      </w:r>
    </w:p>
    <w:p w:rsidR="00916891" w:rsidRDefault="00916891" w:rsidP="00C14EEF">
      <w:pPr>
        <w:shd w:val="clear" w:color="auto" w:fill="FFFFFF"/>
        <w:rPr>
          <w:rFonts w:ascii="Arial" w:hAnsi="Arial" w:cs="Arial"/>
          <w:color w:val="1D2228"/>
        </w:rPr>
      </w:pPr>
      <w:r>
        <w:rPr>
          <w:rFonts w:ascii="Arial" w:hAnsi="Arial"/>
          <w:color w:val="1D2228"/>
        </w:rPr>
        <w:t>- Директива ЄС про міські стічні води зазначає, що 1 ЕН = 60 мг БПК5 на день.</w:t>
      </w:r>
    </w:p>
    <w:p w:rsidR="00916891" w:rsidRDefault="00916891" w:rsidP="00C14EEF">
      <w:pPr>
        <w:shd w:val="clear" w:color="auto" w:fill="FFFFFF"/>
        <w:rPr>
          <w:rFonts w:ascii="Arial" w:hAnsi="Arial" w:cs="Arial"/>
          <w:color w:val="1D2228"/>
          <w:lang w:val="en-US" w:eastAsia="uk-UA"/>
        </w:rPr>
      </w:pPr>
    </w:p>
    <w:p w:rsidR="00A839BC" w:rsidRPr="00A839BC" w:rsidRDefault="00A839BC" w:rsidP="00C14EEF">
      <w:pPr>
        <w:shd w:val="clear" w:color="auto" w:fill="FFFFFF"/>
        <w:rPr>
          <w:rFonts w:ascii="Arial" w:hAnsi="Arial" w:cs="Arial"/>
          <w:b/>
          <w:color w:val="1D2228"/>
        </w:rPr>
      </w:pPr>
      <w:r>
        <w:rPr>
          <w:rFonts w:ascii="Arial" w:hAnsi="Arial"/>
          <w:b/>
          <w:color w:val="1D2228"/>
        </w:rPr>
        <w:t>Перший варіант, який можна було б розглянути, - це виробництво біогазу.</w:t>
      </w:r>
    </w:p>
    <w:p w:rsidR="00A839BC" w:rsidRDefault="00A839BC" w:rsidP="00C14EEF">
      <w:pPr>
        <w:shd w:val="clear" w:color="auto" w:fill="FFFFFF"/>
        <w:rPr>
          <w:rFonts w:ascii="Arial" w:hAnsi="Arial" w:cs="Arial"/>
          <w:color w:val="1D2228"/>
          <w:lang w:val="en-US" w:eastAsia="uk-UA"/>
        </w:rPr>
      </w:pPr>
    </w:p>
    <w:p w:rsidR="00916891" w:rsidRPr="00CC7825" w:rsidRDefault="00916891" w:rsidP="00C14EEF">
      <w:pPr>
        <w:shd w:val="clear" w:color="auto" w:fill="FFFFFF"/>
        <w:rPr>
          <w:rFonts w:ascii="Arial" w:hAnsi="Arial" w:cs="Arial"/>
          <w:color w:val="1D2228"/>
          <w:szCs w:val="22"/>
        </w:rPr>
      </w:pPr>
      <w:r>
        <w:rPr>
          <w:rFonts w:ascii="Arial" w:hAnsi="Arial"/>
          <w:szCs w:val="22"/>
        </w:rPr>
        <w:t>У Європі виробництво біогазу за рахунок анаеробного зброджування мулу від очищення стічних вод коливається від приблизно 16 л</w:t>
      </w:r>
      <w:r w:rsidR="00BF4AE7">
        <w:rPr>
          <w:rFonts w:ascii="Arial" w:hAnsi="Arial"/>
          <w:szCs w:val="22"/>
        </w:rPr>
        <w:t>/</w:t>
      </w:r>
      <w:r>
        <w:rPr>
          <w:rFonts w:ascii="Arial" w:hAnsi="Arial"/>
          <w:szCs w:val="22"/>
        </w:rPr>
        <w:t>ЕН</w:t>
      </w:r>
      <w:r w:rsidR="00BF4AE7">
        <w:rPr>
          <w:rFonts w:ascii="Arial" w:hAnsi="Arial"/>
          <w:szCs w:val="22"/>
        </w:rPr>
        <w:t>/</w:t>
      </w:r>
      <w:r>
        <w:rPr>
          <w:rFonts w:ascii="Arial" w:hAnsi="Arial"/>
          <w:szCs w:val="22"/>
        </w:rPr>
        <w:t>день до 26 л</w:t>
      </w:r>
      <w:r w:rsidR="00BF4AE7">
        <w:rPr>
          <w:rFonts w:ascii="Arial" w:hAnsi="Arial"/>
          <w:szCs w:val="22"/>
        </w:rPr>
        <w:t>/</w:t>
      </w:r>
      <w:r>
        <w:rPr>
          <w:rFonts w:ascii="Arial" w:hAnsi="Arial"/>
          <w:szCs w:val="22"/>
        </w:rPr>
        <w:t>ЕН</w:t>
      </w:r>
      <w:r w:rsidR="00BF4AE7">
        <w:rPr>
          <w:rFonts w:ascii="Arial" w:hAnsi="Arial"/>
          <w:szCs w:val="22"/>
        </w:rPr>
        <w:t>/</w:t>
      </w:r>
      <w:r>
        <w:rPr>
          <w:rFonts w:ascii="Arial" w:hAnsi="Arial"/>
          <w:szCs w:val="22"/>
        </w:rPr>
        <w:t>день, що дає в середньому 21 л</w:t>
      </w:r>
      <w:r w:rsidR="00BF4AE7">
        <w:rPr>
          <w:rFonts w:ascii="Arial" w:hAnsi="Arial"/>
          <w:szCs w:val="22"/>
        </w:rPr>
        <w:t>/</w:t>
      </w:r>
      <w:r>
        <w:rPr>
          <w:rFonts w:ascii="Arial" w:hAnsi="Arial"/>
          <w:szCs w:val="22"/>
        </w:rPr>
        <w:t>ЕН</w:t>
      </w:r>
      <w:r w:rsidR="00BF4AE7">
        <w:rPr>
          <w:rFonts w:ascii="Arial" w:hAnsi="Arial"/>
          <w:szCs w:val="22"/>
        </w:rPr>
        <w:t>/</w:t>
      </w:r>
      <w:r>
        <w:rPr>
          <w:rFonts w:ascii="Arial" w:hAnsi="Arial"/>
          <w:szCs w:val="22"/>
        </w:rPr>
        <w:t>день.</w:t>
      </w:r>
    </w:p>
    <w:p w:rsidR="00916891" w:rsidRDefault="00916891" w:rsidP="00C14EEF">
      <w:pPr>
        <w:rPr>
          <w:rFonts w:ascii="Arial" w:hAnsi="Arial" w:cs="Arial"/>
          <w:lang w:val="en-US" w:bidi="en-US"/>
        </w:rPr>
      </w:pPr>
    </w:p>
    <w:p w:rsidR="00916891" w:rsidRDefault="00916891" w:rsidP="00C14EEF">
      <w:pPr>
        <w:autoSpaceDE w:val="0"/>
        <w:autoSpaceDN w:val="0"/>
        <w:adjustRightInd w:val="0"/>
        <w:rPr>
          <w:rFonts w:ascii="Arial" w:eastAsiaTheme="minorHAnsi" w:hAnsi="Arial" w:cs="Arial"/>
          <w:szCs w:val="22"/>
        </w:rPr>
      </w:pPr>
      <w:r>
        <w:rPr>
          <w:rFonts w:ascii="Arial" w:hAnsi="Arial"/>
          <w:szCs w:val="22"/>
        </w:rPr>
        <w:t xml:space="preserve">Переробка мулу зосереджена на стабілізації мулу, зменшенні обсягів мулу та використанні біогазу для </w:t>
      </w:r>
      <w:proofErr w:type="spellStart"/>
      <w:r>
        <w:rPr>
          <w:rFonts w:ascii="Arial" w:hAnsi="Arial"/>
          <w:szCs w:val="22"/>
        </w:rPr>
        <w:t>когенерації</w:t>
      </w:r>
      <w:proofErr w:type="spellEnd"/>
      <w:r>
        <w:rPr>
          <w:rFonts w:ascii="Arial" w:hAnsi="Arial"/>
          <w:szCs w:val="22"/>
        </w:rPr>
        <w:t xml:space="preserve"> електричної та теплової енергії.</w:t>
      </w:r>
      <w:r w:rsidR="00CB1B48">
        <w:rPr>
          <w:rFonts w:ascii="Arial" w:hAnsi="Arial"/>
          <w:szCs w:val="22"/>
        </w:rPr>
        <w:t xml:space="preserve"> </w:t>
      </w:r>
      <w:r>
        <w:rPr>
          <w:rFonts w:ascii="Arial" w:hAnsi="Arial"/>
          <w:szCs w:val="22"/>
        </w:rPr>
        <w:t xml:space="preserve">Передбачається, що щорічне виробництво біогазу оновлених КОС досягне </w:t>
      </w:r>
      <w:r>
        <w:rPr>
          <w:rFonts w:ascii="Arial" w:hAnsi="Arial"/>
          <w:b/>
          <w:szCs w:val="22"/>
        </w:rPr>
        <w:t>1,22</w:t>
      </w:r>
      <w:r>
        <w:rPr>
          <w:rFonts w:ascii="Arial" w:hAnsi="Arial"/>
          <w:szCs w:val="22"/>
        </w:rPr>
        <w:t xml:space="preserve"> млн м3 (159187 х 21 л</w:t>
      </w:r>
      <w:r w:rsidR="00BF4AE7">
        <w:rPr>
          <w:rFonts w:ascii="Arial" w:hAnsi="Arial"/>
          <w:szCs w:val="22"/>
        </w:rPr>
        <w:t>/</w:t>
      </w:r>
      <w:r>
        <w:rPr>
          <w:rFonts w:ascii="Arial" w:hAnsi="Arial"/>
          <w:szCs w:val="22"/>
        </w:rPr>
        <w:t>ЕН = 3342927,0 л</w:t>
      </w:r>
      <w:r w:rsidR="00BF4AE7">
        <w:rPr>
          <w:rFonts w:ascii="Arial" w:hAnsi="Arial"/>
          <w:szCs w:val="22"/>
        </w:rPr>
        <w:t>/</w:t>
      </w:r>
      <w:r>
        <w:rPr>
          <w:rFonts w:ascii="Arial" w:hAnsi="Arial"/>
          <w:szCs w:val="22"/>
        </w:rPr>
        <w:t>день або 3342,93 м3</w:t>
      </w:r>
      <w:r w:rsidR="00BF4AE7">
        <w:rPr>
          <w:rFonts w:ascii="Arial" w:hAnsi="Arial"/>
          <w:szCs w:val="22"/>
        </w:rPr>
        <w:t>/</w:t>
      </w:r>
      <w:r>
        <w:rPr>
          <w:rFonts w:ascii="Arial" w:hAnsi="Arial"/>
          <w:szCs w:val="22"/>
        </w:rPr>
        <w:t>день; 3342,72х365 = 1220169,45 м3</w:t>
      </w:r>
      <w:r w:rsidR="00BF4AE7">
        <w:rPr>
          <w:rFonts w:ascii="Arial" w:hAnsi="Arial"/>
          <w:szCs w:val="22"/>
        </w:rPr>
        <w:t>/</w:t>
      </w:r>
      <w:r>
        <w:rPr>
          <w:rFonts w:ascii="Arial" w:hAnsi="Arial"/>
          <w:szCs w:val="22"/>
        </w:rPr>
        <w:t>рік).</w:t>
      </w:r>
      <w:r w:rsidR="00CB1B48">
        <w:rPr>
          <w:rFonts w:ascii="Arial" w:hAnsi="Arial"/>
          <w:szCs w:val="22"/>
        </w:rPr>
        <w:t xml:space="preserve"> </w:t>
      </w:r>
      <w:r>
        <w:rPr>
          <w:rFonts w:ascii="Arial" w:hAnsi="Arial"/>
          <w:szCs w:val="22"/>
        </w:rPr>
        <w:t xml:space="preserve">Це означає, що потенційна потужність комбінованого тепло- та електрогенератора становитиме близько 2440,34 </w:t>
      </w:r>
      <w:proofErr w:type="spellStart"/>
      <w:r>
        <w:rPr>
          <w:rFonts w:ascii="Arial" w:hAnsi="Arial"/>
          <w:szCs w:val="22"/>
        </w:rPr>
        <w:t>мВт</w:t>
      </w:r>
      <w:proofErr w:type="spellEnd"/>
      <w:r w:rsidR="00BF4AE7">
        <w:rPr>
          <w:rFonts w:ascii="Arial" w:hAnsi="Arial"/>
          <w:szCs w:val="22"/>
        </w:rPr>
        <w:t>/</w:t>
      </w:r>
      <w:r>
        <w:rPr>
          <w:rFonts w:ascii="Arial" w:hAnsi="Arial"/>
          <w:szCs w:val="22"/>
        </w:rPr>
        <w:t>год електроенергії.</w:t>
      </w:r>
      <w:r w:rsidR="00CB1B48">
        <w:rPr>
          <w:rFonts w:ascii="Arial" w:hAnsi="Arial"/>
          <w:szCs w:val="22"/>
        </w:rPr>
        <w:t xml:space="preserve"> </w:t>
      </w:r>
      <w:r>
        <w:rPr>
          <w:rFonts w:ascii="Arial" w:hAnsi="Arial"/>
          <w:szCs w:val="22"/>
        </w:rPr>
        <w:t xml:space="preserve">Ця електроенергія може бути безпосередньо використана на КОС або поставлена ​​в мережу за "зеленим" тарифом. Якщо взяти для розрахунку поточну ціну на електроенергію 0,11 Євро/ кВт * г (не «зелений» тариф), загальна вартість виробленої електроенергії складе </w:t>
      </w:r>
      <w:r>
        <w:rPr>
          <w:rFonts w:ascii="Arial" w:hAnsi="Arial"/>
          <w:b/>
          <w:szCs w:val="22"/>
        </w:rPr>
        <w:t>0 268 млн.</w:t>
      </w:r>
      <w:r>
        <w:rPr>
          <w:rFonts w:ascii="Arial" w:hAnsi="Arial"/>
          <w:szCs w:val="22"/>
        </w:rPr>
        <w:t xml:space="preserve"> Євро на рік.</w:t>
      </w:r>
      <w:r w:rsidR="00CB1B48">
        <w:rPr>
          <w:rFonts w:ascii="Arial" w:hAnsi="Arial"/>
          <w:szCs w:val="22"/>
        </w:rPr>
        <w:t xml:space="preserve"> </w:t>
      </w:r>
      <w:r>
        <w:rPr>
          <w:rFonts w:ascii="Arial" w:hAnsi="Arial"/>
          <w:szCs w:val="22"/>
        </w:rPr>
        <w:t>Ця сума буде розглядатися як пряма вигода від установки для виробництва біогазу.</w:t>
      </w:r>
    </w:p>
    <w:p w:rsidR="00916891" w:rsidRDefault="00916891" w:rsidP="00C14EEF">
      <w:pPr>
        <w:autoSpaceDE w:val="0"/>
        <w:autoSpaceDN w:val="0"/>
        <w:adjustRightInd w:val="0"/>
        <w:rPr>
          <w:rFonts w:ascii="Arial" w:eastAsiaTheme="minorHAnsi" w:hAnsi="Arial" w:cs="Arial"/>
          <w:szCs w:val="22"/>
          <w:lang w:val="en-US" w:eastAsia="en-US"/>
        </w:rPr>
      </w:pPr>
    </w:p>
    <w:p w:rsidR="00916891" w:rsidRPr="00263EF9" w:rsidRDefault="008B3332" w:rsidP="00C14EEF">
      <w:pPr>
        <w:autoSpaceDE w:val="0"/>
        <w:autoSpaceDN w:val="0"/>
        <w:adjustRightInd w:val="0"/>
        <w:rPr>
          <w:rFonts w:ascii="Arial" w:eastAsiaTheme="minorHAnsi" w:hAnsi="Arial" w:cs="Arial"/>
          <w:szCs w:val="22"/>
        </w:rPr>
      </w:pPr>
      <w:r>
        <w:rPr>
          <w:rFonts w:ascii="Arial" w:hAnsi="Arial"/>
          <w:szCs w:val="22"/>
        </w:rPr>
        <w:t>Середня ціна установки для біогазу коливається між 6000 Євро/ кВт (при потужності до 500 кВ) та 2500 Євро/ кВт</w:t>
      </w:r>
      <w:r w:rsidR="00BF4AE7">
        <w:rPr>
          <w:rFonts w:ascii="Arial" w:hAnsi="Arial"/>
          <w:szCs w:val="22"/>
        </w:rPr>
        <w:t>/</w:t>
      </w:r>
      <w:r>
        <w:rPr>
          <w:rFonts w:ascii="Arial" w:hAnsi="Arial"/>
          <w:szCs w:val="22"/>
        </w:rPr>
        <w:t>г (5 МВт г від встановленої потужності).</w:t>
      </w:r>
      <w:r w:rsidR="00CB1B48">
        <w:rPr>
          <w:rFonts w:ascii="Arial" w:hAnsi="Arial"/>
          <w:szCs w:val="22"/>
        </w:rPr>
        <w:t xml:space="preserve"> </w:t>
      </w:r>
      <w:r>
        <w:rPr>
          <w:rFonts w:ascii="Arial" w:hAnsi="Arial"/>
          <w:szCs w:val="22"/>
          <w:shd w:val="clear" w:color="auto" w:fill="FFFFFF"/>
        </w:rPr>
        <w:t xml:space="preserve">Найвищими витрати виявились для невеликих установок </w:t>
      </w:r>
      <w:r>
        <w:rPr>
          <w:rFonts w:ascii="Arial" w:hAnsi="Arial"/>
          <w:b/>
          <w:szCs w:val="22"/>
          <w:shd w:val="clear" w:color="auto" w:fill="FFFFFF"/>
        </w:rPr>
        <w:t>(до 500 кВт</w:t>
      </w:r>
      <w:r w:rsidR="00BF4AE7">
        <w:rPr>
          <w:rFonts w:ascii="Arial" w:hAnsi="Arial"/>
          <w:b/>
          <w:szCs w:val="22"/>
          <w:shd w:val="clear" w:color="auto" w:fill="FFFFFF"/>
        </w:rPr>
        <w:t>/</w:t>
      </w:r>
      <w:r>
        <w:rPr>
          <w:rFonts w:ascii="Arial" w:hAnsi="Arial"/>
          <w:b/>
          <w:szCs w:val="22"/>
          <w:shd w:val="clear" w:color="auto" w:fill="FFFFFF"/>
        </w:rPr>
        <w:t>год), що є нашим випадком</w:t>
      </w:r>
      <w:r>
        <w:rPr>
          <w:rFonts w:ascii="Arial" w:hAnsi="Arial"/>
          <w:szCs w:val="22"/>
          <w:shd w:val="clear" w:color="auto" w:fill="FFFFFF"/>
        </w:rPr>
        <w:t>.</w:t>
      </w:r>
      <w:r w:rsidR="00CB1B48">
        <w:rPr>
          <w:rFonts w:ascii="Arial" w:hAnsi="Arial"/>
          <w:szCs w:val="22"/>
          <w:shd w:val="clear" w:color="auto" w:fill="FFFFFF"/>
        </w:rPr>
        <w:t xml:space="preserve"> </w:t>
      </w:r>
      <w:r>
        <w:rPr>
          <w:rFonts w:ascii="Arial" w:hAnsi="Arial"/>
          <w:szCs w:val="22"/>
        </w:rPr>
        <w:t xml:space="preserve">Потенційна виробнича потужність - 6,69 </w:t>
      </w:r>
      <w:proofErr w:type="spellStart"/>
      <w:r>
        <w:rPr>
          <w:rFonts w:ascii="Arial" w:hAnsi="Arial"/>
          <w:szCs w:val="22"/>
        </w:rPr>
        <w:t>мВт</w:t>
      </w:r>
      <w:proofErr w:type="spellEnd"/>
      <w:r w:rsidR="00BF4AE7">
        <w:rPr>
          <w:rFonts w:ascii="Arial" w:hAnsi="Arial"/>
          <w:szCs w:val="22"/>
        </w:rPr>
        <w:t>/</w:t>
      </w:r>
      <w:r>
        <w:rPr>
          <w:rFonts w:ascii="Arial" w:hAnsi="Arial"/>
          <w:szCs w:val="22"/>
        </w:rPr>
        <w:t xml:space="preserve">год або 0 279 </w:t>
      </w:r>
      <w:proofErr w:type="spellStart"/>
      <w:r>
        <w:rPr>
          <w:rFonts w:ascii="Arial" w:hAnsi="Arial"/>
          <w:szCs w:val="22"/>
        </w:rPr>
        <w:t>мВт</w:t>
      </w:r>
      <w:proofErr w:type="spellEnd"/>
      <w:r w:rsidR="00BF4AE7">
        <w:rPr>
          <w:rFonts w:ascii="Arial" w:hAnsi="Arial"/>
          <w:szCs w:val="22"/>
        </w:rPr>
        <w:t>/</w:t>
      </w:r>
      <w:r>
        <w:rPr>
          <w:rFonts w:ascii="Arial" w:hAnsi="Arial"/>
          <w:szCs w:val="22"/>
        </w:rPr>
        <w:t>год (встановлена ​​потужність), що знаходиться в межах діапазону витрат до 500 кВт.</w:t>
      </w:r>
      <w:r w:rsidR="00CB1B48">
        <w:rPr>
          <w:rFonts w:ascii="Arial" w:hAnsi="Arial"/>
          <w:szCs w:val="22"/>
        </w:rPr>
        <w:t xml:space="preserve"> </w:t>
      </w:r>
      <w:r>
        <w:rPr>
          <w:rFonts w:ascii="Arial" w:hAnsi="Arial"/>
          <w:szCs w:val="22"/>
        </w:rPr>
        <w:t xml:space="preserve">Розрахована вартість будівництва </w:t>
      </w:r>
      <w:proofErr w:type="spellStart"/>
      <w:r>
        <w:rPr>
          <w:rFonts w:ascii="Arial" w:hAnsi="Arial"/>
          <w:szCs w:val="22"/>
        </w:rPr>
        <w:t>біогазової</w:t>
      </w:r>
      <w:proofErr w:type="spellEnd"/>
      <w:r>
        <w:rPr>
          <w:rFonts w:ascii="Arial" w:hAnsi="Arial"/>
          <w:szCs w:val="22"/>
        </w:rPr>
        <w:t xml:space="preserve"> установки складає 3 млн. Євро (500 х 6000 = 3000000,00 євро). Округлена сума (+ проектні витрати та додаткові монтажні роботи) досягне приблизно </w:t>
      </w:r>
      <w:r>
        <w:rPr>
          <w:rFonts w:ascii="Arial" w:hAnsi="Arial"/>
          <w:b/>
          <w:szCs w:val="22"/>
        </w:rPr>
        <w:t>3,5 млн. Євро</w:t>
      </w:r>
      <w:r>
        <w:rPr>
          <w:rFonts w:ascii="Arial" w:hAnsi="Arial"/>
          <w:szCs w:val="22"/>
        </w:rPr>
        <w:t>.</w:t>
      </w:r>
      <w:r w:rsidR="00CB1B48">
        <w:rPr>
          <w:rFonts w:ascii="Arial" w:hAnsi="Arial"/>
          <w:szCs w:val="22"/>
        </w:rPr>
        <w:t xml:space="preserve"> </w:t>
      </w:r>
      <w:r>
        <w:rPr>
          <w:rFonts w:ascii="Arial" w:hAnsi="Arial"/>
          <w:szCs w:val="22"/>
        </w:rPr>
        <w:t>Ця сума буде додана до загальної вартості проекту для розрахунку впливу варіанту на фінансові та економічні параметри проекту.</w:t>
      </w:r>
    </w:p>
    <w:p w:rsidR="00916891" w:rsidRDefault="00916891" w:rsidP="00C14EEF">
      <w:pPr>
        <w:rPr>
          <w:rFonts w:ascii="Arial" w:hAnsi="Arial" w:cs="Arial"/>
          <w:szCs w:val="22"/>
          <w:lang w:val="en-US" w:bidi="en-US"/>
        </w:rPr>
      </w:pPr>
    </w:p>
    <w:p w:rsidR="00A839BC" w:rsidRDefault="00A839BC" w:rsidP="00C14EEF">
      <w:pPr>
        <w:rPr>
          <w:rFonts w:ascii="Arial" w:hAnsi="Arial" w:cs="Arial"/>
          <w:szCs w:val="22"/>
        </w:rPr>
      </w:pPr>
      <w:r>
        <w:rPr>
          <w:rFonts w:ascii="Arial" w:hAnsi="Arial"/>
          <w:szCs w:val="22"/>
        </w:rPr>
        <w:t>Другий варіант остаточного використання мулу з КОС - це виробництво органічних добрив із висушеного мулу (10% вологості).</w:t>
      </w:r>
      <w:r w:rsidR="00CB1B48">
        <w:rPr>
          <w:rFonts w:ascii="Arial" w:hAnsi="Arial"/>
          <w:szCs w:val="22"/>
        </w:rPr>
        <w:t xml:space="preserve"> </w:t>
      </w:r>
      <w:r>
        <w:rPr>
          <w:rFonts w:ascii="Arial" w:hAnsi="Arial"/>
          <w:szCs w:val="22"/>
        </w:rPr>
        <w:t>Основним способом сушіння (зневоднення) мулу може бути випаровування води з мулу (після центрифуг) у спеціальних теплицях.</w:t>
      </w:r>
      <w:r w:rsidR="00CB1B48">
        <w:rPr>
          <w:rFonts w:ascii="Arial" w:hAnsi="Arial"/>
          <w:szCs w:val="22"/>
        </w:rPr>
        <w:t xml:space="preserve"> </w:t>
      </w:r>
    </w:p>
    <w:p w:rsidR="00A839BC" w:rsidRDefault="00A839BC" w:rsidP="00C14EEF">
      <w:pPr>
        <w:rPr>
          <w:rFonts w:ascii="Arial" w:hAnsi="Arial" w:cs="Arial"/>
          <w:szCs w:val="22"/>
          <w:lang w:val="en-US" w:bidi="en-US"/>
        </w:rPr>
      </w:pPr>
    </w:p>
    <w:p w:rsidR="00A839BC" w:rsidRDefault="00A839BC" w:rsidP="00C14EEF">
      <w:pPr>
        <w:rPr>
          <w:rFonts w:ascii="Arial" w:hAnsi="Arial" w:cs="Arial"/>
          <w:szCs w:val="22"/>
        </w:rPr>
      </w:pPr>
      <w:r>
        <w:rPr>
          <w:rFonts w:ascii="Arial" w:hAnsi="Arial"/>
          <w:szCs w:val="22"/>
        </w:rPr>
        <w:t>Для наших розрахунків ми візьмемо такі параметри:</w:t>
      </w:r>
    </w:p>
    <w:p w:rsidR="00A839BC" w:rsidRDefault="00A839BC" w:rsidP="00C14EEF">
      <w:pPr>
        <w:pStyle w:val="af3"/>
        <w:numPr>
          <w:ilvl w:val="0"/>
          <w:numId w:val="48"/>
        </w:numPr>
        <w:contextualSpacing w:val="0"/>
        <w:rPr>
          <w:rFonts w:ascii="Arial" w:hAnsi="Arial" w:cs="Arial"/>
          <w:szCs w:val="22"/>
        </w:rPr>
      </w:pPr>
      <w:r>
        <w:rPr>
          <w:rFonts w:ascii="Arial" w:hAnsi="Arial"/>
          <w:szCs w:val="22"/>
        </w:rPr>
        <w:t xml:space="preserve">Потенційна кількість висушеного мулу - </w:t>
      </w:r>
      <w:r>
        <w:rPr>
          <w:rFonts w:ascii="Arial" w:hAnsi="Arial"/>
          <w:b/>
          <w:szCs w:val="22"/>
        </w:rPr>
        <w:t>9321 т</w:t>
      </w:r>
      <w:r w:rsidR="00BF4AE7">
        <w:rPr>
          <w:rFonts w:ascii="Arial" w:hAnsi="Arial"/>
          <w:b/>
          <w:szCs w:val="22"/>
        </w:rPr>
        <w:t>/</w:t>
      </w:r>
      <w:r>
        <w:rPr>
          <w:rFonts w:ascii="Arial" w:hAnsi="Arial"/>
          <w:b/>
          <w:szCs w:val="22"/>
        </w:rPr>
        <w:t>рік</w:t>
      </w:r>
    </w:p>
    <w:p w:rsidR="00A839BC" w:rsidRDefault="00A839BC" w:rsidP="00C14EEF">
      <w:pPr>
        <w:pStyle w:val="af3"/>
        <w:numPr>
          <w:ilvl w:val="0"/>
          <w:numId w:val="48"/>
        </w:numPr>
        <w:contextualSpacing w:val="0"/>
        <w:rPr>
          <w:rFonts w:ascii="Arial" w:hAnsi="Arial" w:cs="Arial"/>
          <w:szCs w:val="22"/>
        </w:rPr>
      </w:pPr>
      <w:r>
        <w:rPr>
          <w:rFonts w:ascii="Arial" w:hAnsi="Arial"/>
          <w:szCs w:val="22"/>
        </w:rPr>
        <w:t>Ринкова ціна органічних добрив, вироблених із висушеного мулу на ринку - 260 Євро/ т</w:t>
      </w:r>
    </w:p>
    <w:p w:rsidR="00447FD8" w:rsidRPr="00447FD8" w:rsidRDefault="00A839BC" w:rsidP="00C14EEF">
      <w:pPr>
        <w:pStyle w:val="af3"/>
        <w:numPr>
          <w:ilvl w:val="0"/>
          <w:numId w:val="48"/>
        </w:numPr>
        <w:contextualSpacing w:val="0"/>
        <w:rPr>
          <w:rFonts w:ascii="Arial" w:hAnsi="Arial" w:cs="Arial"/>
          <w:szCs w:val="22"/>
        </w:rPr>
      </w:pPr>
      <w:r>
        <w:rPr>
          <w:rFonts w:ascii="Arial" w:hAnsi="Arial"/>
          <w:szCs w:val="22"/>
        </w:rPr>
        <w:t>Середня вартість будівництва теплиць для висушування мулу на Е.Н. становить 8,2 Євро/ Е.Н.</w:t>
      </w:r>
      <w:r w:rsidR="00CB1B48">
        <w:rPr>
          <w:rFonts w:ascii="Arial" w:hAnsi="Arial"/>
          <w:szCs w:val="22"/>
        </w:rPr>
        <w:t xml:space="preserve"> </w:t>
      </w:r>
    </w:p>
    <w:p w:rsidR="00447FD8" w:rsidRDefault="00447FD8" w:rsidP="00C14EEF">
      <w:pPr>
        <w:rPr>
          <w:rFonts w:ascii="Arial" w:hAnsi="Arial" w:cs="Arial"/>
          <w:szCs w:val="22"/>
          <w:lang w:val="en-US" w:bidi="en-US"/>
        </w:rPr>
      </w:pPr>
    </w:p>
    <w:p w:rsidR="00A839BC" w:rsidRPr="00087EAD" w:rsidRDefault="00A839BC" w:rsidP="00C14EEF">
      <w:pPr>
        <w:rPr>
          <w:rFonts w:ascii="Arial" w:hAnsi="Arial" w:cs="Arial"/>
          <w:szCs w:val="22"/>
        </w:rPr>
      </w:pPr>
      <w:r>
        <w:rPr>
          <w:rFonts w:ascii="Arial" w:hAnsi="Arial"/>
          <w:szCs w:val="22"/>
        </w:rPr>
        <w:t xml:space="preserve">Це означає, що орієнтовна вартість будівництва складе близько </w:t>
      </w:r>
      <w:r>
        <w:rPr>
          <w:rFonts w:ascii="Arial" w:hAnsi="Arial"/>
          <w:b/>
          <w:szCs w:val="22"/>
        </w:rPr>
        <w:t>1,3 млн. євро</w:t>
      </w:r>
      <w:r>
        <w:rPr>
          <w:rFonts w:ascii="Arial" w:hAnsi="Arial"/>
          <w:szCs w:val="22"/>
        </w:rPr>
        <w:t>.</w:t>
      </w:r>
      <w:r w:rsidR="00CB1B48">
        <w:rPr>
          <w:rFonts w:ascii="Arial" w:hAnsi="Arial"/>
          <w:szCs w:val="22"/>
        </w:rPr>
        <w:t xml:space="preserve"> </w:t>
      </w:r>
      <w:r>
        <w:rPr>
          <w:rFonts w:ascii="Arial" w:hAnsi="Arial"/>
          <w:szCs w:val="22"/>
        </w:rPr>
        <w:t xml:space="preserve">Потенційна вигода від продажу органічних добрив (висушеного мулу) сягне </w:t>
      </w:r>
      <w:r>
        <w:rPr>
          <w:rFonts w:ascii="Arial" w:hAnsi="Arial"/>
          <w:b/>
          <w:szCs w:val="22"/>
        </w:rPr>
        <w:t>2,42 млн. Євро на рік</w:t>
      </w:r>
      <w:r>
        <w:rPr>
          <w:rFonts w:ascii="Arial" w:hAnsi="Arial"/>
          <w:szCs w:val="22"/>
        </w:rPr>
        <w:t xml:space="preserve"> (майже в 10 разів більше, ніж </w:t>
      </w:r>
      <w:proofErr w:type="spellStart"/>
      <w:r>
        <w:rPr>
          <w:rFonts w:ascii="Arial" w:hAnsi="Arial"/>
          <w:szCs w:val="22"/>
        </w:rPr>
        <w:t>когенерація</w:t>
      </w:r>
      <w:proofErr w:type="spellEnd"/>
      <w:r>
        <w:rPr>
          <w:rFonts w:ascii="Arial" w:hAnsi="Arial"/>
          <w:szCs w:val="22"/>
        </w:rPr>
        <w:t xml:space="preserve"> електроенергії з біогазу).</w:t>
      </w:r>
      <w:r w:rsidR="00CB1B48">
        <w:rPr>
          <w:rFonts w:ascii="Arial" w:hAnsi="Arial"/>
          <w:szCs w:val="22"/>
        </w:rPr>
        <w:t xml:space="preserve"> </w:t>
      </w:r>
      <w:r>
        <w:rPr>
          <w:rFonts w:ascii="Arial" w:hAnsi="Arial"/>
          <w:szCs w:val="22"/>
        </w:rPr>
        <w:t>Навіть якщо ціна на добрива з мулу буде вдвічі меншою, потенційні вигоди будуть набагато більше, ніж у першому варіанті.</w:t>
      </w:r>
      <w:r w:rsidR="00CB1B48">
        <w:rPr>
          <w:rFonts w:ascii="Arial" w:hAnsi="Arial"/>
          <w:szCs w:val="22"/>
        </w:rPr>
        <w:t xml:space="preserve"> </w:t>
      </w:r>
      <w:r>
        <w:rPr>
          <w:rFonts w:ascii="Arial" w:hAnsi="Arial"/>
          <w:szCs w:val="22"/>
        </w:rPr>
        <w:t>Беручи до уваги капітальні витрати на теплиці, які втричі менші за капітальні витрати на виробництво біогазу, ЛВК може серйозно розглянути цей варіант для подальших інвестицій у нові КОС.</w:t>
      </w:r>
    </w:p>
    <w:p w:rsidR="00A839BC" w:rsidRDefault="00A839BC" w:rsidP="00C14EEF">
      <w:pPr>
        <w:rPr>
          <w:rFonts w:ascii="Arial" w:hAnsi="Arial" w:cs="Arial"/>
          <w:szCs w:val="22"/>
          <w:lang w:val="en-US" w:bidi="en-US"/>
        </w:rPr>
      </w:pPr>
    </w:p>
    <w:p w:rsidR="00A839BC" w:rsidRDefault="00A839BC" w:rsidP="00C14EEF">
      <w:pPr>
        <w:rPr>
          <w:rFonts w:ascii="Arial" w:hAnsi="Arial" w:cs="Arial"/>
          <w:szCs w:val="22"/>
        </w:rPr>
      </w:pPr>
      <w:r>
        <w:rPr>
          <w:rFonts w:ascii="Arial" w:hAnsi="Arial"/>
          <w:szCs w:val="22"/>
        </w:rPr>
        <w:t>ЛВК слід ретельно вивчити потенційний ризик низького попиту на такі добрива на місцевому ринку.</w:t>
      </w:r>
    </w:p>
    <w:p w:rsidR="00A839BC" w:rsidRPr="00932243" w:rsidRDefault="00A839BC" w:rsidP="00C14EEF">
      <w:pPr>
        <w:rPr>
          <w:rFonts w:ascii="Arial" w:hAnsi="Arial" w:cs="Arial"/>
          <w:szCs w:val="22"/>
          <w:lang w:val="en-US" w:bidi="en-US"/>
        </w:rPr>
      </w:pPr>
    </w:p>
    <w:p w:rsidR="00A839BC" w:rsidRDefault="00A839BC" w:rsidP="00C14EEF">
      <w:pPr>
        <w:rPr>
          <w:rFonts w:ascii="Arial" w:hAnsi="Arial" w:cs="Arial"/>
          <w:szCs w:val="22"/>
          <w:lang w:val="en-US" w:bidi="en-US"/>
        </w:rPr>
      </w:pPr>
    </w:p>
    <w:p w:rsidR="00100ECC" w:rsidRPr="00917CC7" w:rsidRDefault="00100ECC" w:rsidP="00C14EEF">
      <w:pPr>
        <w:pStyle w:val="2"/>
        <w:spacing w:before="0" w:after="0"/>
        <w:contextualSpacing w:val="0"/>
      </w:pPr>
      <w:bookmarkStart w:id="140" w:name="_Toc24616729"/>
      <w:bookmarkStart w:id="141" w:name="_Toc24971886"/>
      <w:bookmarkStart w:id="142" w:name="_Toc30518435"/>
      <w:bookmarkStart w:id="143" w:name="_Toc31959650"/>
      <w:bookmarkStart w:id="144" w:name="_Toc43816071"/>
      <w:bookmarkStart w:id="145" w:name="_Toc48392557"/>
      <w:r>
        <w:t>Витрати та доходи за проектом від обраних варіантів</w:t>
      </w:r>
      <w:bookmarkEnd w:id="140"/>
      <w:bookmarkEnd w:id="141"/>
      <w:bookmarkEnd w:id="142"/>
      <w:bookmarkEnd w:id="143"/>
      <w:bookmarkEnd w:id="144"/>
      <w:bookmarkEnd w:id="145"/>
    </w:p>
    <w:p w:rsidR="00100ECC" w:rsidRPr="003A6B26" w:rsidRDefault="00100ECC" w:rsidP="00C14EEF">
      <w:pPr>
        <w:rPr>
          <w:rFonts w:ascii="Arial" w:hAnsi="Arial" w:cs="Arial"/>
        </w:rPr>
      </w:pPr>
      <w:r>
        <w:rPr>
          <w:rFonts w:ascii="Arial" w:hAnsi="Arial"/>
        </w:rPr>
        <w:t xml:space="preserve">Консультант разом із </w:t>
      </w:r>
      <w:r w:rsidR="00064262">
        <w:rPr>
          <w:rFonts w:ascii="Arial" w:hAnsi="Arial"/>
        </w:rPr>
        <w:t>Бенефіці</w:t>
      </w:r>
      <w:r>
        <w:rPr>
          <w:rFonts w:ascii="Arial" w:hAnsi="Arial"/>
        </w:rPr>
        <w:t>аром проекту підготував загальні інвестиційні витрати на обраний варіант проекту, що були отримані з попереднього техніко-економічного обґрунтування та відповідають оцінкам підрядників щодо подібних проектів в інших агломераціях регіону. Детальний опис витрат надано у Таблиці 14 нижче.</w:t>
      </w:r>
    </w:p>
    <w:p w:rsidR="00100ECC" w:rsidRDefault="00100ECC" w:rsidP="00C14EEF">
      <w:pPr>
        <w:rPr>
          <w:rFonts w:ascii="Arial" w:hAnsi="Arial" w:cs="Arial"/>
          <w:lang w:val="en-US"/>
        </w:rPr>
      </w:pPr>
    </w:p>
    <w:p w:rsidR="00DD42CE" w:rsidRDefault="00DD42CE" w:rsidP="00C14EEF">
      <w:pPr>
        <w:rPr>
          <w:rFonts w:ascii="Arial" w:hAnsi="Arial" w:cs="Arial"/>
          <w:lang w:val="en-US"/>
        </w:rPr>
      </w:pPr>
    </w:p>
    <w:p w:rsidR="00100ECC" w:rsidRPr="003A6B26" w:rsidRDefault="00100ECC" w:rsidP="00C14EEF">
      <w:pPr>
        <w:pStyle w:val="aa"/>
      </w:pPr>
      <w:bookmarkStart w:id="146" w:name="_Toc24044150"/>
      <w:bookmarkStart w:id="147" w:name="_Toc48643454"/>
      <w:r>
        <w:t xml:space="preserve">Таблиця </w:t>
      </w:r>
      <w:r w:rsidRPr="000D3ACE">
        <w:fldChar w:fldCharType="begin"/>
      </w:r>
      <w:r w:rsidRPr="000D3ACE">
        <w:instrText xml:space="preserve"> SEQ Table \* ARABIC </w:instrText>
      </w:r>
      <w:r w:rsidRPr="000D3ACE">
        <w:fldChar w:fldCharType="separate"/>
      </w:r>
      <w:r w:rsidR="00CB1B48">
        <w:t>14</w:t>
      </w:r>
      <w:r w:rsidRPr="000D3ACE">
        <w:fldChar w:fldCharType="end"/>
      </w:r>
      <w:r>
        <w:t>: Витрати за проектом</w:t>
      </w:r>
      <w:bookmarkEnd w:id="146"/>
      <w:bookmarkEnd w:id="147"/>
    </w:p>
    <w:tbl>
      <w:tblPr>
        <w:tblStyle w:val="af4"/>
        <w:tblW w:w="0" w:type="auto"/>
        <w:tblLook w:val="04A0" w:firstRow="1" w:lastRow="0" w:firstColumn="1" w:lastColumn="0" w:noHBand="0" w:noVBand="1"/>
      </w:tblPr>
      <w:tblGrid>
        <w:gridCol w:w="3510"/>
        <w:gridCol w:w="2127"/>
        <w:gridCol w:w="2126"/>
        <w:gridCol w:w="1843"/>
      </w:tblGrid>
      <w:tr w:rsidR="00100ECC" w:rsidRPr="00E663E3" w:rsidTr="00084592">
        <w:tc>
          <w:tcPr>
            <w:tcW w:w="3510" w:type="dxa"/>
            <w:shd w:val="clear" w:color="auto" w:fill="92D050"/>
          </w:tcPr>
          <w:p w:rsidR="00100ECC" w:rsidRPr="00E663E3" w:rsidRDefault="00100ECC" w:rsidP="00C14EEF">
            <w:pPr>
              <w:rPr>
                <w:rFonts w:ascii="Arial" w:hAnsi="Arial" w:cs="Arial"/>
                <w:b/>
              </w:rPr>
            </w:pPr>
            <w:r>
              <w:rPr>
                <w:rFonts w:ascii="Arial" w:hAnsi="Arial"/>
                <w:b/>
              </w:rPr>
              <w:t>Інвестиційні витрати за проектом</w:t>
            </w:r>
          </w:p>
        </w:tc>
        <w:tc>
          <w:tcPr>
            <w:tcW w:w="2127" w:type="dxa"/>
            <w:shd w:val="clear" w:color="auto" w:fill="92D050"/>
          </w:tcPr>
          <w:p w:rsidR="00100ECC" w:rsidRDefault="00100ECC" w:rsidP="00C14EEF">
            <w:pPr>
              <w:jc w:val="center"/>
              <w:rPr>
                <w:rFonts w:ascii="Arial" w:hAnsi="Arial" w:cs="Arial"/>
                <w:b/>
              </w:rPr>
            </w:pPr>
            <w:r>
              <w:rPr>
                <w:rFonts w:ascii="Arial" w:hAnsi="Arial"/>
                <w:b/>
              </w:rPr>
              <w:t xml:space="preserve">Загальна вартість </w:t>
            </w:r>
          </w:p>
          <w:p w:rsidR="00100ECC" w:rsidRPr="00E663E3" w:rsidRDefault="00100ECC" w:rsidP="00C14EEF">
            <w:pPr>
              <w:jc w:val="center"/>
              <w:rPr>
                <w:rFonts w:ascii="Arial" w:hAnsi="Arial" w:cs="Arial"/>
                <w:b/>
              </w:rPr>
            </w:pPr>
            <w:r>
              <w:rPr>
                <w:rFonts w:ascii="Arial" w:hAnsi="Arial"/>
                <w:b/>
              </w:rPr>
              <w:t>(м ЄВРО)</w:t>
            </w:r>
          </w:p>
        </w:tc>
        <w:tc>
          <w:tcPr>
            <w:tcW w:w="2126" w:type="dxa"/>
            <w:shd w:val="clear" w:color="auto" w:fill="92D050"/>
          </w:tcPr>
          <w:p w:rsidR="00100ECC" w:rsidRDefault="00100ECC" w:rsidP="00C14EEF">
            <w:pPr>
              <w:jc w:val="center"/>
              <w:rPr>
                <w:rFonts w:ascii="Arial" w:hAnsi="Arial" w:cs="Arial"/>
                <w:b/>
              </w:rPr>
            </w:pPr>
            <w:r>
              <w:rPr>
                <w:rFonts w:ascii="Arial" w:hAnsi="Arial"/>
                <w:b/>
              </w:rPr>
              <w:t xml:space="preserve">Недозволені витрати </w:t>
            </w:r>
          </w:p>
          <w:p w:rsidR="00100ECC" w:rsidRPr="00E663E3" w:rsidRDefault="00100ECC" w:rsidP="00C14EEF">
            <w:pPr>
              <w:jc w:val="center"/>
              <w:rPr>
                <w:rFonts w:ascii="Arial" w:hAnsi="Arial" w:cs="Arial"/>
                <w:b/>
              </w:rPr>
            </w:pPr>
            <w:r>
              <w:rPr>
                <w:rFonts w:ascii="Arial" w:hAnsi="Arial"/>
                <w:b/>
              </w:rPr>
              <w:t>(м ЄВРО)</w:t>
            </w:r>
          </w:p>
        </w:tc>
        <w:tc>
          <w:tcPr>
            <w:tcW w:w="1843" w:type="dxa"/>
            <w:shd w:val="clear" w:color="auto" w:fill="92D050"/>
          </w:tcPr>
          <w:p w:rsidR="00100ECC" w:rsidRDefault="00100ECC" w:rsidP="00C14EEF">
            <w:pPr>
              <w:jc w:val="center"/>
              <w:rPr>
                <w:rFonts w:ascii="Arial" w:hAnsi="Arial" w:cs="Arial"/>
                <w:b/>
              </w:rPr>
            </w:pPr>
            <w:r>
              <w:rPr>
                <w:rFonts w:ascii="Arial" w:hAnsi="Arial"/>
                <w:b/>
              </w:rPr>
              <w:t xml:space="preserve">Дозволені витрати </w:t>
            </w:r>
          </w:p>
          <w:p w:rsidR="00100ECC" w:rsidRPr="00E663E3" w:rsidRDefault="00100ECC" w:rsidP="00C14EEF">
            <w:pPr>
              <w:jc w:val="center"/>
              <w:rPr>
                <w:rFonts w:ascii="Arial" w:hAnsi="Arial" w:cs="Arial"/>
                <w:b/>
              </w:rPr>
            </w:pPr>
            <w:r>
              <w:rPr>
                <w:rFonts w:ascii="Arial" w:hAnsi="Arial"/>
                <w:b/>
              </w:rPr>
              <w:t>(м ЄВРО)</w:t>
            </w:r>
          </w:p>
        </w:tc>
      </w:tr>
      <w:tr w:rsidR="00100ECC" w:rsidRPr="00E663E3" w:rsidTr="00084592">
        <w:trPr>
          <w:trHeight w:val="289"/>
        </w:trPr>
        <w:tc>
          <w:tcPr>
            <w:tcW w:w="3510" w:type="dxa"/>
            <w:vAlign w:val="bottom"/>
          </w:tcPr>
          <w:p w:rsidR="00100ECC" w:rsidRPr="00E663E3" w:rsidRDefault="00100ECC" w:rsidP="00C14EEF">
            <w:pPr>
              <w:rPr>
                <w:rFonts w:ascii="Arial" w:hAnsi="Arial" w:cs="Arial"/>
                <w:b/>
                <w:bCs/>
              </w:rPr>
            </w:pPr>
            <w:r>
              <w:rPr>
                <w:rFonts w:ascii="Arial" w:hAnsi="Arial"/>
                <w:b/>
                <w:bCs/>
              </w:rPr>
              <w:t>Водопостачання</w:t>
            </w:r>
          </w:p>
        </w:tc>
        <w:tc>
          <w:tcPr>
            <w:tcW w:w="2127" w:type="dxa"/>
            <w:vAlign w:val="bottom"/>
          </w:tcPr>
          <w:p w:rsidR="00100ECC" w:rsidRPr="00E663E3" w:rsidRDefault="00AE561B" w:rsidP="00C14EEF">
            <w:pPr>
              <w:jc w:val="right"/>
              <w:rPr>
                <w:rFonts w:ascii="Arial" w:hAnsi="Arial" w:cs="Arial"/>
                <w:b/>
                <w:bCs/>
              </w:rPr>
            </w:pPr>
            <w:r>
              <w:rPr>
                <w:rFonts w:ascii="Arial" w:hAnsi="Arial"/>
                <w:b/>
                <w:bCs/>
              </w:rPr>
              <w:t>2 426 000</w:t>
            </w:r>
          </w:p>
        </w:tc>
        <w:tc>
          <w:tcPr>
            <w:tcW w:w="2126" w:type="dxa"/>
          </w:tcPr>
          <w:p w:rsidR="00100ECC" w:rsidRPr="00E663E3" w:rsidRDefault="00100ECC" w:rsidP="00C14EEF">
            <w:pPr>
              <w:rPr>
                <w:rFonts w:ascii="Arial" w:hAnsi="Arial" w:cs="Arial"/>
                <w:lang w:val="ru-RU" w:bidi="en-US"/>
              </w:rPr>
            </w:pPr>
          </w:p>
        </w:tc>
        <w:tc>
          <w:tcPr>
            <w:tcW w:w="1843" w:type="dxa"/>
          </w:tcPr>
          <w:p w:rsidR="00100ECC" w:rsidRPr="00E663E3" w:rsidRDefault="00100ECC" w:rsidP="00C14EEF">
            <w:pPr>
              <w:rPr>
                <w:rFonts w:ascii="Arial" w:hAnsi="Arial" w:cs="Arial"/>
                <w:lang w:val="ru-RU" w:bidi="en-US"/>
              </w:rPr>
            </w:pPr>
          </w:p>
        </w:tc>
      </w:tr>
      <w:tr w:rsidR="00100ECC" w:rsidRPr="00E663E3" w:rsidTr="00084592">
        <w:tc>
          <w:tcPr>
            <w:tcW w:w="3510" w:type="dxa"/>
            <w:vAlign w:val="bottom"/>
          </w:tcPr>
          <w:p w:rsidR="00100ECC" w:rsidRPr="00E663E3" w:rsidRDefault="00AE561B" w:rsidP="00C14EEF">
            <w:pPr>
              <w:rPr>
                <w:rFonts w:ascii="Arial" w:hAnsi="Arial" w:cs="Arial"/>
              </w:rPr>
            </w:pPr>
            <w:r>
              <w:rPr>
                <w:rFonts w:ascii="Arial" w:hAnsi="Arial"/>
              </w:rPr>
              <w:t>Реконструкція системи водопостачання, загальною довжиною 2,2 км, діаметр 500 мм - ВНС Дубнівська</w:t>
            </w:r>
          </w:p>
        </w:tc>
        <w:tc>
          <w:tcPr>
            <w:tcW w:w="2127" w:type="dxa"/>
            <w:vAlign w:val="bottom"/>
          </w:tcPr>
          <w:p w:rsidR="00100ECC" w:rsidRPr="00E663E3" w:rsidRDefault="00AE561B" w:rsidP="00C14EEF">
            <w:pPr>
              <w:jc w:val="right"/>
              <w:rPr>
                <w:rFonts w:ascii="Arial" w:hAnsi="Arial" w:cs="Arial"/>
              </w:rPr>
            </w:pPr>
            <w:r>
              <w:rPr>
                <w:rFonts w:ascii="Arial" w:hAnsi="Arial"/>
              </w:rPr>
              <w:t>776 000</w:t>
            </w:r>
          </w:p>
        </w:tc>
        <w:tc>
          <w:tcPr>
            <w:tcW w:w="2126" w:type="dxa"/>
          </w:tcPr>
          <w:p w:rsidR="00100ECC" w:rsidRPr="00E663E3" w:rsidRDefault="00100ECC" w:rsidP="00C14EEF">
            <w:pPr>
              <w:rPr>
                <w:rFonts w:ascii="Arial" w:hAnsi="Arial" w:cs="Arial"/>
                <w:lang w:val="en-US" w:bidi="en-US"/>
              </w:rPr>
            </w:pPr>
          </w:p>
        </w:tc>
        <w:tc>
          <w:tcPr>
            <w:tcW w:w="1843" w:type="dxa"/>
          </w:tcPr>
          <w:p w:rsidR="00100ECC" w:rsidRPr="00E663E3" w:rsidRDefault="00100ECC" w:rsidP="00C14EEF">
            <w:pPr>
              <w:rPr>
                <w:rFonts w:ascii="Arial" w:hAnsi="Arial" w:cs="Arial"/>
                <w:lang w:val="en-US" w:bidi="en-US"/>
              </w:rPr>
            </w:pPr>
          </w:p>
        </w:tc>
      </w:tr>
      <w:tr w:rsidR="00100ECC" w:rsidRPr="00E663E3" w:rsidTr="00084592">
        <w:tc>
          <w:tcPr>
            <w:tcW w:w="3510" w:type="dxa"/>
            <w:vAlign w:val="bottom"/>
          </w:tcPr>
          <w:p w:rsidR="00100ECC" w:rsidRPr="00E663E3" w:rsidRDefault="00D64609" w:rsidP="00C14EEF">
            <w:pPr>
              <w:rPr>
                <w:rFonts w:ascii="Arial" w:hAnsi="Arial" w:cs="Arial"/>
              </w:rPr>
            </w:pPr>
            <w:r>
              <w:rPr>
                <w:rFonts w:ascii="Arial" w:hAnsi="Arial"/>
              </w:rPr>
              <w:t>Реконструкції</w:t>
            </w:r>
            <w:r w:rsidR="00CB1B48">
              <w:rPr>
                <w:rFonts w:ascii="Arial" w:hAnsi="Arial"/>
              </w:rPr>
              <w:t xml:space="preserve"> </w:t>
            </w:r>
            <w:r>
              <w:rPr>
                <w:rFonts w:ascii="Arial" w:hAnsi="Arial"/>
              </w:rPr>
              <w:t xml:space="preserve">водозабірної магістралі </w:t>
            </w:r>
            <w:proofErr w:type="spellStart"/>
            <w:r>
              <w:rPr>
                <w:rFonts w:ascii="Arial" w:hAnsi="Arial"/>
              </w:rPr>
              <w:t>Гнідавської</w:t>
            </w:r>
            <w:proofErr w:type="spellEnd"/>
            <w:r>
              <w:rPr>
                <w:rFonts w:ascii="Arial" w:hAnsi="Arial"/>
              </w:rPr>
              <w:t xml:space="preserve"> ВПУ (2,5 км), діаметром PE560 мм</w:t>
            </w:r>
          </w:p>
        </w:tc>
        <w:tc>
          <w:tcPr>
            <w:tcW w:w="2127" w:type="dxa"/>
            <w:vAlign w:val="bottom"/>
          </w:tcPr>
          <w:p w:rsidR="00100ECC" w:rsidRPr="00E663E3" w:rsidRDefault="00F83543" w:rsidP="00C14EEF">
            <w:pPr>
              <w:jc w:val="right"/>
              <w:rPr>
                <w:rFonts w:ascii="Arial" w:hAnsi="Arial" w:cs="Arial"/>
              </w:rPr>
            </w:pPr>
            <w:r>
              <w:rPr>
                <w:rFonts w:ascii="Arial" w:hAnsi="Arial"/>
              </w:rPr>
              <w:t>1, 100 000</w:t>
            </w:r>
          </w:p>
        </w:tc>
        <w:tc>
          <w:tcPr>
            <w:tcW w:w="2126" w:type="dxa"/>
          </w:tcPr>
          <w:p w:rsidR="00100ECC" w:rsidRPr="00E663E3" w:rsidRDefault="00100ECC" w:rsidP="00C14EEF">
            <w:pPr>
              <w:rPr>
                <w:rFonts w:ascii="Arial" w:hAnsi="Arial" w:cs="Arial"/>
                <w:lang w:val="en-US" w:bidi="en-US"/>
              </w:rPr>
            </w:pPr>
          </w:p>
        </w:tc>
        <w:tc>
          <w:tcPr>
            <w:tcW w:w="1843" w:type="dxa"/>
          </w:tcPr>
          <w:p w:rsidR="00100ECC" w:rsidRPr="00E663E3" w:rsidRDefault="00100ECC" w:rsidP="00C14EEF">
            <w:pPr>
              <w:rPr>
                <w:rFonts w:ascii="Arial" w:hAnsi="Arial" w:cs="Arial"/>
                <w:lang w:val="en-US" w:bidi="en-US"/>
              </w:rPr>
            </w:pPr>
          </w:p>
        </w:tc>
      </w:tr>
      <w:tr w:rsidR="00100ECC" w:rsidRPr="00E663E3" w:rsidTr="00084592">
        <w:tc>
          <w:tcPr>
            <w:tcW w:w="3510" w:type="dxa"/>
            <w:vAlign w:val="bottom"/>
          </w:tcPr>
          <w:p w:rsidR="00100ECC" w:rsidRPr="00E663E3" w:rsidRDefault="00084592" w:rsidP="00C14EEF">
            <w:pPr>
              <w:rPr>
                <w:rFonts w:ascii="Arial" w:hAnsi="Arial" w:cs="Arial"/>
              </w:rPr>
            </w:pPr>
            <w:r>
              <w:rPr>
                <w:rFonts w:ascii="Arial" w:hAnsi="Arial"/>
              </w:rPr>
              <w:t>Придбання спеціальних механізмів для технічного обслуговування</w:t>
            </w:r>
          </w:p>
        </w:tc>
        <w:tc>
          <w:tcPr>
            <w:tcW w:w="2127" w:type="dxa"/>
            <w:vAlign w:val="bottom"/>
          </w:tcPr>
          <w:p w:rsidR="00100ECC" w:rsidRPr="00E663E3" w:rsidRDefault="00D64609" w:rsidP="00C14EEF">
            <w:pPr>
              <w:jc w:val="right"/>
              <w:rPr>
                <w:rFonts w:ascii="Arial" w:hAnsi="Arial" w:cs="Arial"/>
              </w:rPr>
            </w:pPr>
            <w:r>
              <w:rPr>
                <w:rFonts w:ascii="Arial" w:hAnsi="Arial"/>
              </w:rPr>
              <w:t>550 000</w:t>
            </w:r>
          </w:p>
        </w:tc>
        <w:tc>
          <w:tcPr>
            <w:tcW w:w="2126" w:type="dxa"/>
          </w:tcPr>
          <w:p w:rsidR="00100ECC" w:rsidRPr="00E663E3" w:rsidRDefault="00100ECC" w:rsidP="00C14EEF">
            <w:pPr>
              <w:rPr>
                <w:rFonts w:ascii="Arial" w:hAnsi="Arial" w:cs="Arial"/>
                <w:lang w:val="en-US" w:bidi="en-US"/>
              </w:rPr>
            </w:pPr>
          </w:p>
        </w:tc>
        <w:tc>
          <w:tcPr>
            <w:tcW w:w="1843" w:type="dxa"/>
          </w:tcPr>
          <w:p w:rsidR="00100ECC" w:rsidRPr="00E663E3" w:rsidRDefault="00100ECC" w:rsidP="00C14EEF">
            <w:pPr>
              <w:rPr>
                <w:rFonts w:ascii="Arial" w:hAnsi="Arial" w:cs="Arial"/>
                <w:lang w:val="en-US" w:bidi="en-US"/>
              </w:rPr>
            </w:pPr>
          </w:p>
        </w:tc>
      </w:tr>
      <w:tr w:rsidR="00100ECC" w:rsidRPr="00E663E3" w:rsidTr="00084592">
        <w:tc>
          <w:tcPr>
            <w:tcW w:w="3510" w:type="dxa"/>
            <w:vAlign w:val="bottom"/>
          </w:tcPr>
          <w:p w:rsidR="00100ECC" w:rsidRPr="00E663E3" w:rsidRDefault="00100ECC" w:rsidP="00C14EEF">
            <w:pPr>
              <w:rPr>
                <w:rFonts w:ascii="Arial" w:hAnsi="Arial" w:cs="Arial"/>
                <w:b/>
              </w:rPr>
            </w:pPr>
            <w:r>
              <w:rPr>
                <w:rFonts w:ascii="Arial" w:hAnsi="Arial"/>
                <w:b/>
              </w:rPr>
              <w:t>ОЧИЩЕННЯ СТІЧНИХ ВОД</w:t>
            </w:r>
          </w:p>
        </w:tc>
        <w:tc>
          <w:tcPr>
            <w:tcW w:w="2127" w:type="dxa"/>
            <w:vAlign w:val="bottom"/>
          </w:tcPr>
          <w:p w:rsidR="00100ECC" w:rsidRPr="00E663E3" w:rsidRDefault="00F83543" w:rsidP="00C14EEF">
            <w:pPr>
              <w:jc w:val="right"/>
              <w:rPr>
                <w:rFonts w:ascii="Arial" w:hAnsi="Arial" w:cs="Arial"/>
                <w:b/>
                <w:bCs/>
              </w:rPr>
            </w:pPr>
            <w:r>
              <w:rPr>
                <w:rFonts w:ascii="Arial" w:hAnsi="Arial"/>
                <w:b/>
                <w:bCs/>
              </w:rPr>
              <w:t>8 431 500</w:t>
            </w:r>
          </w:p>
        </w:tc>
        <w:tc>
          <w:tcPr>
            <w:tcW w:w="2126" w:type="dxa"/>
          </w:tcPr>
          <w:p w:rsidR="00100ECC" w:rsidRPr="00E663E3" w:rsidRDefault="00100ECC" w:rsidP="00C14EEF">
            <w:pPr>
              <w:rPr>
                <w:rFonts w:ascii="Arial" w:hAnsi="Arial" w:cs="Arial"/>
                <w:lang w:val="ru-RU" w:bidi="en-US"/>
              </w:rPr>
            </w:pPr>
          </w:p>
        </w:tc>
        <w:tc>
          <w:tcPr>
            <w:tcW w:w="1843" w:type="dxa"/>
          </w:tcPr>
          <w:p w:rsidR="00100ECC" w:rsidRPr="00E663E3" w:rsidRDefault="00100ECC" w:rsidP="00C14EEF">
            <w:pPr>
              <w:rPr>
                <w:rFonts w:ascii="Arial" w:hAnsi="Arial" w:cs="Arial"/>
                <w:lang w:val="ru-RU" w:bidi="en-US"/>
              </w:rPr>
            </w:pPr>
          </w:p>
        </w:tc>
      </w:tr>
      <w:tr w:rsidR="00100ECC" w:rsidRPr="00E663E3" w:rsidTr="00084592">
        <w:tc>
          <w:tcPr>
            <w:tcW w:w="3510" w:type="dxa"/>
            <w:vAlign w:val="bottom"/>
          </w:tcPr>
          <w:p w:rsidR="00100ECC" w:rsidRPr="00E663E3" w:rsidRDefault="00100ECC" w:rsidP="00C14EEF">
            <w:pPr>
              <w:rPr>
                <w:rFonts w:ascii="Arial" w:hAnsi="Arial" w:cs="Arial"/>
              </w:rPr>
            </w:pPr>
            <w:r>
              <w:rPr>
                <w:rFonts w:ascii="Arial" w:hAnsi="Arial"/>
              </w:rPr>
              <w:t>Реконструкція КОС м. Луцьк</w:t>
            </w:r>
          </w:p>
        </w:tc>
        <w:tc>
          <w:tcPr>
            <w:tcW w:w="2127" w:type="dxa"/>
            <w:vAlign w:val="bottom"/>
          </w:tcPr>
          <w:p w:rsidR="00100ECC" w:rsidRPr="00E663E3" w:rsidRDefault="00F83543" w:rsidP="00C14EEF">
            <w:pPr>
              <w:jc w:val="right"/>
              <w:rPr>
                <w:rFonts w:ascii="Arial" w:hAnsi="Arial" w:cs="Arial"/>
              </w:rPr>
            </w:pPr>
            <w:r>
              <w:rPr>
                <w:rFonts w:ascii="Arial" w:hAnsi="Arial"/>
              </w:rPr>
              <w:t>8, 431 500</w:t>
            </w:r>
          </w:p>
        </w:tc>
        <w:tc>
          <w:tcPr>
            <w:tcW w:w="2126" w:type="dxa"/>
          </w:tcPr>
          <w:p w:rsidR="00100ECC" w:rsidRPr="00E663E3" w:rsidRDefault="00100ECC" w:rsidP="00C14EEF">
            <w:pPr>
              <w:rPr>
                <w:rFonts w:ascii="Arial" w:hAnsi="Arial" w:cs="Arial"/>
                <w:lang w:val="en-US" w:bidi="en-US"/>
              </w:rPr>
            </w:pPr>
          </w:p>
        </w:tc>
        <w:tc>
          <w:tcPr>
            <w:tcW w:w="1843" w:type="dxa"/>
          </w:tcPr>
          <w:p w:rsidR="00100ECC" w:rsidRPr="00E663E3" w:rsidRDefault="00100ECC" w:rsidP="00C14EEF">
            <w:pPr>
              <w:rPr>
                <w:rFonts w:ascii="Arial" w:hAnsi="Arial" w:cs="Arial"/>
                <w:lang w:val="en-US" w:bidi="en-US"/>
              </w:rPr>
            </w:pPr>
          </w:p>
        </w:tc>
      </w:tr>
      <w:tr w:rsidR="00100ECC" w:rsidRPr="00E663E3" w:rsidTr="00084592">
        <w:tc>
          <w:tcPr>
            <w:tcW w:w="3510" w:type="dxa"/>
          </w:tcPr>
          <w:p w:rsidR="00100ECC" w:rsidRPr="00E663E3" w:rsidRDefault="00100ECC" w:rsidP="00C14EEF">
            <w:pPr>
              <w:rPr>
                <w:rFonts w:ascii="Arial" w:hAnsi="Arial" w:cs="Arial"/>
                <w:b/>
              </w:rPr>
            </w:pPr>
            <w:r>
              <w:rPr>
                <w:rFonts w:ascii="Arial" w:hAnsi="Arial"/>
                <w:b/>
              </w:rPr>
              <w:t>Проміжний підсумок</w:t>
            </w:r>
          </w:p>
        </w:tc>
        <w:tc>
          <w:tcPr>
            <w:tcW w:w="2127" w:type="dxa"/>
          </w:tcPr>
          <w:p w:rsidR="00100ECC" w:rsidRPr="00E663E3" w:rsidRDefault="00F83543" w:rsidP="00C14EEF">
            <w:pPr>
              <w:tabs>
                <w:tab w:val="center" w:pos="955"/>
              </w:tabs>
              <w:jc w:val="right"/>
              <w:rPr>
                <w:rFonts w:ascii="Arial" w:hAnsi="Arial" w:cs="Arial"/>
              </w:rPr>
            </w:pPr>
            <w:r>
              <w:rPr>
                <w:rFonts w:ascii="Arial" w:hAnsi="Arial"/>
                <w:b/>
              </w:rPr>
              <w:t>10 857 500</w:t>
            </w:r>
          </w:p>
        </w:tc>
        <w:tc>
          <w:tcPr>
            <w:tcW w:w="2126" w:type="dxa"/>
          </w:tcPr>
          <w:p w:rsidR="00100ECC" w:rsidRPr="00E663E3" w:rsidRDefault="00100ECC" w:rsidP="00C14EEF">
            <w:pPr>
              <w:rPr>
                <w:rFonts w:ascii="Arial" w:hAnsi="Arial" w:cs="Arial"/>
                <w:lang w:val="ru-RU" w:bidi="en-US"/>
              </w:rPr>
            </w:pPr>
          </w:p>
        </w:tc>
        <w:tc>
          <w:tcPr>
            <w:tcW w:w="1843" w:type="dxa"/>
          </w:tcPr>
          <w:p w:rsidR="00100ECC" w:rsidRPr="00E663E3" w:rsidRDefault="00100ECC" w:rsidP="00C14EEF">
            <w:pPr>
              <w:rPr>
                <w:rFonts w:ascii="Arial" w:hAnsi="Arial" w:cs="Arial"/>
                <w:lang w:val="ru-RU" w:bidi="en-US"/>
              </w:rPr>
            </w:pPr>
          </w:p>
        </w:tc>
      </w:tr>
      <w:tr w:rsidR="00100ECC" w:rsidRPr="00E663E3" w:rsidTr="00084592">
        <w:tc>
          <w:tcPr>
            <w:tcW w:w="3510" w:type="dxa"/>
          </w:tcPr>
          <w:p w:rsidR="00100ECC" w:rsidRPr="00E663E3" w:rsidRDefault="00100ECC" w:rsidP="00C14EEF">
            <w:pPr>
              <w:rPr>
                <w:rFonts w:ascii="Arial" w:hAnsi="Arial" w:cs="Arial"/>
                <w:b/>
              </w:rPr>
            </w:pPr>
            <w:r>
              <w:rPr>
                <w:rFonts w:ascii="Arial" w:hAnsi="Arial"/>
                <w:b/>
              </w:rPr>
              <w:t>ПДВ</w:t>
            </w:r>
          </w:p>
        </w:tc>
        <w:tc>
          <w:tcPr>
            <w:tcW w:w="2127" w:type="dxa"/>
          </w:tcPr>
          <w:p w:rsidR="00100ECC" w:rsidRPr="0042201A" w:rsidRDefault="00F83543" w:rsidP="00C14EEF">
            <w:pPr>
              <w:jc w:val="right"/>
              <w:rPr>
                <w:rFonts w:ascii="Arial" w:hAnsi="Arial" w:cs="Arial"/>
                <w:b/>
              </w:rPr>
            </w:pPr>
            <w:r>
              <w:rPr>
                <w:rFonts w:ascii="Arial" w:hAnsi="Arial"/>
                <w:b/>
              </w:rPr>
              <w:t>1 809 583</w:t>
            </w:r>
          </w:p>
        </w:tc>
        <w:tc>
          <w:tcPr>
            <w:tcW w:w="2126" w:type="dxa"/>
          </w:tcPr>
          <w:p w:rsidR="00100ECC" w:rsidRPr="00E663E3" w:rsidRDefault="00F83543" w:rsidP="00C14EEF">
            <w:pPr>
              <w:jc w:val="right"/>
              <w:rPr>
                <w:rFonts w:ascii="Arial" w:hAnsi="Arial" w:cs="Arial"/>
              </w:rPr>
            </w:pPr>
            <w:r>
              <w:rPr>
                <w:rFonts w:ascii="Arial" w:hAnsi="Arial"/>
              </w:rPr>
              <w:t>1 809 583</w:t>
            </w:r>
          </w:p>
        </w:tc>
        <w:tc>
          <w:tcPr>
            <w:tcW w:w="1843" w:type="dxa"/>
          </w:tcPr>
          <w:p w:rsidR="00100ECC" w:rsidRPr="00E663E3" w:rsidRDefault="00100ECC" w:rsidP="00C14EEF">
            <w:pPr>
              <w:jc w:val="right"/>
              <w:rPr>
                <w:rFonts w:ascii="Arial" w:hAnsi="Arial" w:cs="Arial"/>
                <w:lang w:val="ru-RU" w:bidi="en-US"/>
              </w:rPr>
            </w:pPr>
          </w:p>
        </w:tc>
      </w:tr>
      <w:tr w:rsidR="00100ECC" w:rsidRPr="00E663E3" w:rsidTr="009974FC">
        <w:tc>
          <w:tcPr>
            <w:tcW w:w="3510" w:type="dxa"/>
            <w:shd w:val="clear" w:color="auto" w:fill="D9D9D9" w:themeFill="background1" w:themeFillShade="D9"/>
          </w:tcPr>
          <w:p w:rsidR="00100ECC" w:rsidRPr="00E663E3" w:rsidRDefault="00100ECC" w:rsidP="00C14EEF">
            <w:pPr>
              <w:rPr>
                <w:rFonts w:ascii="Arial" w:hAnsi="Arial" w:cs="Arial"/>
                <w:b/>
              </w:rPr>
            </w:pPr>
            <w:r>
              <w:rPr>
                <w:rFonts w:ascii="Arial" w:hAnsi="Arial"/>
                <w:b/>
              </w:rPr>
              <w:t>Загалом</w:t>
            </w:r>
          </w:p>
        </w:tc>
        <w:tc>
          <w:tcPr>
            <w:tcW w:w="2127" w:type="dxa"/>
            <w:shd w:val="clear" w:color="auto" w:fill="D9D9D9" w:themeFill="background1" w:themeFillShade="D9"/>
          </w:tcPr>
          <w:p w:rsidR="00100ECC" w:rsidRPr="00E663E3" w:rsidRDefault="00F83543" w:rsidP="00C14EEF">
            <w:pPr>
              <w:jc w:val="right"/>
              <w:rPr>
                <w:rFonts w:ascii="Arial" w:hAnsi="Arial" w:cs="Arial"/>
                <w:b/>
              </w:rPr>
            </w:pPr>
            <w:r>
              <w:rPr>
                <w:rFonts w:ascii="Arial" w:hAnsi="Arial"/>
                <w:b/>
              </w:rPr>
              <w:t>12 667 083</w:t>
            </w:r>
          </w:p>
        </w:tc>
        <w:tc>
          <w:tcPr>
            <w:tcW w:w="2126" w:type="dxa"/>
            <w:shd w:val="clear" w:color="auto" w:fill="D9D9D9" w:themeFill="background1" w:themeFillShade="D9"/>
          </w:tcPr>
          <w:p w:rsidR="00100ECC" w:rsidRPr="0042201A" w:rsidRDefault="00F83543" w:rsidP="00C14EEF">
            <w:pPr>
              <w:jc w:val="right"/>
              <w:rPr>
                <w:rFonts w:ascii="Arial" w:hAnsi="Arial" w:cs="Arial"/>
                <w:b/>
              </w:rPr>
            </w:pPr>
            <w:r>
              <w:rPr>
                <w:rFonts w:ascii="Arial" w:hAnsi="Arial"/>
                <w:b/>
              </w:rPr>
              <w:t>1 809 583</w:t>
            </w:r>
          </w:p>
        </w:tc>
        <w:tc>
          <w:tcPr>
            <w:tcW w:w="1843" w:type="dxa"/>
            <w:shd w:val="clear" w:color="auto" w:fill="D9D9D9" w:themeFill="background1" w:themeFillShade="D9"/>
          </w:tcPr>
          <w:p w:rsidR="00100ECC" w:rsidRPr="0042201A" w:rsidRDefault="00F83543" w:rsidP="00C14EEF">
            <w:pPr>
              <w:jc w:val="right"/>
              <w:rPr>
                <w:rFonts w:ascii="Arial" w:hAnsi="Arial" w:cs="Arial"/>
                <w:b/>
              </w:rPr>
            </w:pPr>
            <w:r>
              <w:rPr>
                <w:rFonts w:ascii="Arial" w:hAnsi="Arial"/>
                <w:b/>
              </w:rPr>
              <w:t>10, 857 500</w:t>
            </w:r>
          </w:p>
        </w:tc>
      </w:tr>
    </w:tbl>
    <w:p w:rsidR="00AE561B" w:rsidRDefault="00AE561B" w:rsidP="00C14EEF">
      <w:pPr>
        <w:rPr>
          <w:rFonts w:ascii="Arial" w:hAnsi="Arial" w:cs="Arial"/>
          <w:lang w:val="en-US" w:bidi="en-US"/>
        </w:rPr>
      </w:pPr>
    </w:p>
    <w:p w:rsidR="00AE561B" w:rsidRPr="00AE561B" w:rsidRDefault="00AE561B" w:rsidP="00C14EEF">
      <w:pPr>
        <w:rPr>
          <w:rFonts w:ascii="Arial" w:hAnsi="Arial" w:cs="Arial"/>
          <w:lang w:val="en-US" w:bidi="en-US"/>
        </w:rPr>
      </w:pPr>
    </w:p>
    <w:p w:rsidR="00100ECC" w:rsidRPr="00917CC7" w:rsidRDefault="00100ECC" w:rsidP="00C14EEF">
      <w:pPr>
        <w:autoSpaceDE w:val="0"/>
        <w:autoSpaceDN w:val="0"/>
        <w:adjustRightInd w:val="0"/>
        <w:rPr>
          <w:rFonts w:ascii="Arial" w:hAnsi="Arial" w:cs="Arial"/>
        </w:rPr>
      </w:pPr>
      <w:r>
        <w:rPr>
          <w:rFonts w:ascii="Arial" w:hAnsi="Arial"/>
        </w:rPr>
        <w:t>Усі витрати покриваються кредитом ЄІБ, окрім ПДВ (який може бути відшкодований Бенефіціаром).</w:t>
      </w:r>
    </w:p>
    <w:p w:rsidR="00100ECC" w:rsidRPr="00917CC7" w:rsidRDefault="00100ECC" w:rsidP="00C14EEF">
      <w:pPr>
        <w:autoSpaceDE w:val="0"/>
        <w:autoSpaceDN w:val="0"/>
        <w:adjustRightInd w:val="0"/>
        <w:rPr>
          <w:rFonts w:ascii="Arial" w:hAnsi="Arial" w:cs="Arial"/>
        </w:rPr>
      </w:pPr>
      <w:r>
        <w:rPr>
          <w:rFonts w:ascii="Arial" w:hAnsi="Arial"/>
        </w:rPr>
        <w:t xml:space="preserve">Оскільки через застосування проекту операційні витрати </w:t>
      </w:r>
      <w:proofErr w:type="spellStart"/>
      <w:r>
        <w:rPr>
          <w:rFonts w:ascii="Arial" w:hAnsi="Arial"/>
        </w:rPr>
        <w:t>зменшаться</w:t>
      </w:r>
      <w:proofErr w:type="spellEnd"/>
      <w:r>
        <w:rPr>
          <w:rFonts w:ascii="Arial" w:hAnsi="Arial"/>
        </w:rPr>
        <w:t xml:space="preserve">, для нашого розрахунку ми використовували кошти, що заощаджуються (різниця між поточними витратами на експлуатацію та технічне обслуговування та витрати на експлуатацію та технічне обслуговування після втілення проекту) як заощаджені кошти або "загальний грошовий </w:t>
      </w:r>
      <w:proofErr w:type="spellStart"/>
      <w:r>
        <w:rPr>
          <w:rFonts w:ascii="Arial" w:hAnsi="Arial"/>
        </w:rPr>
        <w:t>приток</w:t>
      </w:r>
      <w:proofErr w:type="spellEnd"/>
      <w:r>
        <w:rPr>
          <w:rFonts w:ascii="Arial" w:hAnsi="Arial"/>
        </w:rPr>
        <w:t>" (надано у Додатку 3).</w:t>
      </w:r>
    </w:p>
    <w:p w:rsidR="00100ECC" w:rsidRDefault="00100ECC" w:rsidP="00C14EEF">
      <w:pPr>
        <w:autoSpaceDE w:val="0"/>
        <w:autoSpaceDN w:val="0"/>
        <w:adjustRightInd w:val="0"/>
        <w:rPr>
          <w:rFonts w:ascii="Arial" w:hAnsi="Arial" w:cs="Arial"/>
        </w:rPr>
      </w:pPr>
      <w:r>
        <w:rPr>
          <w:rFonts w:ascii="Arial" w:hAnsi="Arial"/>
        </w:rPr>
        <w:t>Заміна короткострокових активів (обладнання та механізми на спорудах), а також амортизація довгострокових активів здійснюється відповідно до національних норм.</w:t>
      </w:r>
      <w:r w:rsidR="00CB1B48">
        <w:rPr>
          <w:rFonts w:ascii="Arial" w:hAnsi="Arial"/>
        </w:rPr>
        <w:t xml:space="preserve"> </w:t>
      </w:r>
      <w:r>
        <w:rPr>
          <w:rFonts w:ascii="Arial" w:hAnsi="Arial"/>
        </w:rPr>
        <w:t>Фактичний час амортизації кожної конкретної інвестиційної складової надано у Додатку 2 та узгоджено Консультантом із комунальним підприємством.</w:t>
      </w:r>
      <w:r w:rsidR="00CB1B48">
        <w:rPr>
          <w:rFonts w:ascii="Arial" w:hAnsi="Arial"/>
        </w:rPr>
        <w:t xml:space="preserve"> </w:t>
      </w:r>
      <w:r>
        <w:rPr>
          <w:rFonts w:ascii="Arial" w:hAnsi="Arial"/>
        </w:rPr>
        <w:t xml:space="preserve">Це призводить до загального збільшення амортизаційної ставки в розмірі </w:t>
      </w:r>
      <w:r>
        <w:rPr>
          <w:rFonts w:ascii="Arial" w:hAnsi="Arial"/>
          <w:b/>
        </w:rPr>
        <w:t>13,9 млн. Євро</w:t>
      </w:r>
      <w:r>
        <w:rPr>
          <w:rFonts w:ascii="Arial" w:hAnsi="Arial"/>
        </w:rPr>
        <w:t xml:space="preserve"> протягом тривалості проекту.</w:t>
      </w:r>
    </w:p>
    <w:p w:rsidR="00100ECC" w:rsidRDefault="00100ECC" w:rsidP="00C14EEF">
      <w:pPr>
        <w:autoSpaceDE w:val="0"/>
        <w:autoSpaceDN w:val="0"/>
        <w:adjustRightInd w:val="0"/>
        <w:rPr>
          <w:rFonts w:ascii="Arial" w:hAnsi="Arial" w:cs="Arial"/>
        </w:rPr>
      </w:pPr>
      <w:r>
        <w:rPr>
          <w:rFonts w:ascii="Arial" w:hAnsi="Arial"/>
        </w:rPr>
        <w:t>Додаткові витрати, пов'язані із заміною конкретного обладнання із малим строком експлуатації під час проекту, наведені у Додатку 3.</w:t>
      </w:r>
      <w:r w:rsidR="00CB1B48">
        <w:rPr>
          <w:rFonts w:ascii="Arial" w:hAnsi="Arial"/>
        </w:rPr>
        <w:t xml:space="preserve"> </w:t>
      </w:r>
      <w:r>
        <w:rPr>
          <w:rFonts w:ascii="Arial" w:hAnsi="Arial"/>
        </w:rPr>
        <w:t>Також у Додатку 3 представлені дані щодо загального грошового притоку з інвестицій.</w:t>
      </w:r>
    </w:p>
    <w:p w:rsidR="00100ECC" w:rsidRDefault="00100ECC" w:rsidP="00C14EEF">
      <w:pPr>
        <w:autoSpaceDE w:val="0"/>
        <w:autoSpaceDN w:val="0"/>
        <w:adjustRightInd w:val="0"/>
        <w:rPr>
          <w:rFonts w:ascii="Arial" w:hAnsi="Arial" w:cs="Arial"/>
        </w:rPr>
      </w:pPr>
      <w:r>
        <w:rPr>
          <w:rFonts w:ascii="Arial" w:hAnsi="Arial"/>
        </w:rPr>
        <w:t>Дані з Додатку 3 узагальнені в Таблиці 15.</w:t>
      </w:r>
    </w:p>
    <w:p w:rsidR="00100ECC" w:rsidRPr="003A6B26" w:rsidRDefault="00100ECC" w:rsidP="00C14EEF">
      <w:pPr>
        <w:pStyle w:val="aa"/>
      </w:pPr>
      <w:bookmarkStart w:id="148" w:name="_Toc24044151"/>
      <w:bookmarkStart w:id="149" w:name="_Toc48643455"/>
      <w:r>
        <w:t xml:space="preserve">Таблиця </w:t>
      </w:r>
      <w:r w:rsidRPr="005C71D6">
        <w:fldChar w:fldCharType="begin"/>
      </w:r>
      <w:r w:rsidRPr="005C71D6">
        <w:instrText xml:space="preserve"> SEQ Table \* ARABIC </w:instrText>
      </w:r>
      <w:r w:rsidRPr="005C71D6">
        <w:fldChar w:fldCharType="separate"/>
      </w:r>
      <w:r w:rsidR="00CB1B48">
        <w:t>15</w:t>
      </w:r>
      <w:r w:rsidRPr="005C71D6">
        <w:fldChar w:fldCharType="end"/>
      </w:r>
      <w:r>
        <w:t>: Підсумок приростних витрат та заощаджень</w:t>
      </w:r>
      <w:bookmarkEnd w:id="148"/>
      <w:bookmarkEnd w:id="149"/>
    </w:p>
    <w:tbl>
      <w:tblPr>
        <w:tblStyle w:val="af4"/>
        <w:tblW w:w="0" w:type="auto"/>
        <w:tblLook w:val="04A0" w:firstRow="1" w:lastRow="0" w:firstColumn="1" w:lastColumn="0" w:noHBand="0" w:noVBand="1"/>
      </w:tblPr>
      <w:tblGrid>
        <w:gridCol w:w="6062"/>
        <w:gridCol w:w="2126"/>
      </w:tblGrid>
      <w:tr w:rsidR="00100ECC" w:rsidTr="00084592">
        <w:trPr>
          <w:trHeight w:val="383"/>
        </w:trPr>
        <w:tc>
          <w:tcPr>
            <w:tcW w:w="6062" w:type="dxa"/>
            <w:shd w:val="clear" w:color="auto" w:fill="92D050"/>
          </w:tcPr>
          <w:p w:rsidR="00100ECC" w:rsidRPr="00013580" w:rsidRDefault="00100ECC" w:rsidP="00C14EEF">
            <w:pPr>
              <w:autoSpaceDE w:val="0"/>
              <w:autoSpaceDN w:val="0"/>
              <w:adjustRightInd w:val="0"/>
              <w:jc w:val="center"/>
              <w:rPr>
                <w:rFonts w:ascii="Arial" w:hAnsi="Arial" w:cs="Arial"/>
                <w:b/>
              </w:rPr>
            </w:pPr>
            <w:r>
              <w:rPr>
                <w:rFonts w:ascii="Arial" w:hAnsi="Arial"/>
                <w:b/>
              </w:rPr>
              <w:t>Параметр</w:t>
            </w:r>
          </w:p>
        </w:tc>
        <w:tc>
          <w:tcPr>
            <w:tcW w:w="2126" w:type="dxa"/>
            <w:shd w:val="clear" w:color="auto" w:fill="92D050"/>
          </w:tcPr>
          <w:p w:rsidR="00100ECC" w:rsidRDefault="00100ECC" w:rsidP="00C14EEF">
            <w:pPr>
              <w:autoSpaceDE w:val="0"/>
              <w:autoSpaceDN w:val="0"/>
              <w:adjustRightInd w:val="0"/>
              <w:jc w:val="center"/>
              <w:rPr>
                <w:rFonts w:ascii="Arial" w:hAnsi="Arial" w:cs="Arial"/>
                <w:b/>
              </w:rPr>
            </w:pPr>
            <w:r>
              <w:rPr>
                <w:rFonts w:ascii="Arial" w:hAnsi="Arial"/>
                <w:b/>
              </w:rPr>
              <w:t>Мільйон</w:t>
            </w:r>
          </w:p>
          <w:p w:rsidR="00100ECC" w:rsidRPr="00013580" w:rsidRDefault="00100ECC" w:rsidP="00C14EEF">
            <w:pPr>
              <w:autoSpaceDE w:val="0"/>
              <w:autoSpaceDN w:val="0"/>
              <w:adjustRightInd w:val="0"/>
              <w:jc w:val="center"/>
              <w:rPr>
                <w:rFonts w:ascii="Arial" w:hAnsi="Arial" w:cs="Arial"/>
                <w:b/>
              </w:rPr>
            </w:pPr>
            <w:r>
              <w:rPr>
                <w:rFonts w:ascii="Arial" w:hAnsi="Arial"/>
                <w:b/>
              </w:rPr>
              <w:t>ЄВРО</w:t>
            </w:r>
          </w:p>
        </w:tc>
      </w:tr>
      <w:tr w:rsidR="00100ECC" w:rsidTr="00084592">
        <w:tc>
          <w:tcPr>
            <w:tcW w:w="6062" w:type="dxa"/>
          </w:tcPr>
          <w:p w:rsidR="00100ECC" w:rsidRDefault="00100ECC" w:rsidP="00C14EEF">
            <w:pPr>
              <w:autoSpaceDE w:val="0"/>
              <w:autoSpaceDN w:val="0"/>
              <w:adjustRightInd w:val="0"/>
              <w:rPr>
                <w:rFonts w:ascii="Arial" w:hAnsi="Arial" w:cs="Arial"/>
              </w:rPr>
            </w:pPr>
            <w:r>
              <w:rPr>
                <w:rFonts w:ascii="Arial" w:hAnsi="Arial"/>
              </w:rPr>
              <w:t>Збільшені витрати на заміну короткострокових активів</w:t>
            </w:r>
          </w:p>
        </w:tc>
        <w:tc>
          <w:tcPr>
            <w:tcW w:w="2126" w:type="dxa"/>
          </w:tcPr>
          <w:p w:rsidR="00100ECC" w:rsidRPr="00013580" w:rsidRDefault="00F83543" w:rsidP="00C14EEF">
            <w:pPr>
              <w:autoSpaceDE w:val="0"/>
              <w:autoSpaceDN w:val="0"/>
              <w:adjustRightInd w:val="0"/>
              <w:jc w:val="center"/>
              <w:rPr>
                <w:rFonts w:ascii="Arial" w:hAnsi="Arial" w:cs="Arial"/>
                <w:b/>
              </w:rPr>
            </w:pPr>
            <w:r>
              <w:rPr>
                <w:rFonts w:ascii="Arial" w:hAnsi="Arial"/>
                <w:b/>
              </w:rPr>
              <w:t>4,47</w:t>
            </w:r>
          </w:p>
        </w:tc>
      </w:tr>
      <w:tr w:rsidR="00100ECC" w:rsidTr="00084592">
        <w:tc>
          <w:tcPr>
            <w:tcW w:w="6062" w:type="dxa"/>
          </w:tcPr>
          <w:p w:rsidR="00100ECC" w:rsidRDefault="00100ECC" w:rsidP="00C14EEF">
            <w:pPr>
              <w:autoSpaceDE w:val="0"/>
              <w:autoSpaceDN w:val="0"/>
              <w:adjustRightInd w:val="0"/>
              <w:rPr>
                <w:rFonts w:ascii="Arial" w:hAnsi="Arial" w:cs="Arial"/>
              </w:rPr>
            </w:pPr>
            <w:r>
              <w:rPr>
                <w:rFonts w:ascii="Arial" w:hAnsi="Arial"/>
              </w:rPr>
              <w:t xml:space="preserve">Загальний грошовий </w:t>
            </w:r>
            <w:proofErr w:type="spellStart"/>
            <w:r>
              <w:rPr>
                <w:rFonts w:ascii="Arial" w:hAnsi="Arial"/>
              </w:rPr>
              <w:t>приток</w:t>
            </w:r>
            <w:proofErr w:type="spellEnd"/>
            <w:r>
              <w:rPr>
                <w:rFonts w:ascii="Arial" w:hAnsi="Arial"/>
              </w:rPr>
              <w:t xml:space="preserve"> з інвестицій</w:t>
            </w:r>
          </w:p>
        </w:tc>
        <w:tc>
          <w:tcPr>
            <w:tcW w:w="2126" w:type="dxa"/>
          </w:tcPr>
          <w:p w:rsidR="00100ECC" w:rsidRPr="00013580" w:rsidRDefault="00F83543" w:rsidP="00C14EEF">
            <w:pPr>
              <w:autoSpaceDE w:val="0"/>
              <w:autoSpaceDN w:val="0"/>
              <w:adjustRightInd w:val="0"/>
              <w:jc w:val="center"/>
              <w:rPr>
                <w:rFonts w:ascii="Arial" w:hAnsi="Arial" w:cs="Arial"/>
                <w:b/>
              </w:rPr>
            </w:pPr>
            <w:r>
              <w:rPr>
                <w:rFonts w:ascii="Arial" w:hAnsi="Arial"/>
                <w:b/>
              </w:rPr>
              <w:t>8,72</w:t>
            </w:r>
          </w:p>
        </w:tc>
      </w:tr>
      <w:tr w:rsidR="0027061E" w:rsidTr="00084592">
        <w:tc>
          <w:tcPr>
            <w:tcW w:w="6062" w:type="dxa"/>
          </w:tcPr>
          <w:p w:rsidR="0027061E" w:rsidRDefault="0027061E" w:rsidP="00C14EEF">
            <w:pPr>
              <w:autoSpaceDE w:val="0"/>
              <w:autoSpaceDN w:val="0"/>
              <w:adjustRightInd w:val="0"/>
              <w:rPr>
                <w:rFonts w:ascii="Arial" w:hAnsi="Arial" w:cs="Arial"/>
              </w:rPr>
            </w:pPr>
            <w:r>
              <w:rPr>
                <w:rFonts w:ascii="Arial" w:hAnsi="Arial"/>
              </w:rPr>
              <w:t>збільшення амортизаційної ставки внаслідок реалізації Проекту.</w:t>
            </w:r>
          </w:p>
        </w:tc>
        <w:tc>
          <w:tcPr>
            <w:tcW w:w="2126" w:type="dxa"/>
          </w:tcPr>
          <w:p w:rsidR="0027061E" w:rsidRPr="00013580" w:rsidRDefault="00F83543" w:rsidP="00C14EEF">
            <w:pPr>
              <w:autoSpaceDE w:val="0"/>
              <w:autoSpaceDN w:val="0"/>
              <w:adjustRightInd w:val="0"/>
              <w:jc w:val="center"/>
              <w:rPr>
                <w:rFonts w:ascii="Arial" w:hAnsi="Arial" w:cs="Arial"/>
                <w:b/>
              </w:rPr>
            </w:pPr>
            <w:r>
              <w:rPr>
                <w:rFonts w:ascii="Arial" w:hAnsi="Arial"/>
                <w:b/>
              </w:rPr>
              <w:t>13,9</w:t>
            </w:r>
          </w:p>
        </w:tc>
      </w:tr>
    </w:tbl>
    <w:p w:rsidR="00100ECC" w:rsidRPr="00917CC7" w:rsidRDefault="00100ECC" w:rsidP="00C14EEF">
      <w:pPr>
        <w:autoSpaceDE w:val="0"/>
        <w:autoSpaceDN w:val="0"/>
        <w:adjustRightInd w:val="0"/>
        <w:rPr>
          <w:rFonts w:ascii="Arial" w:hAnsi="Arial" w:cs="Arial"/>
          <w:lang w:val="en-US"/>
        </w:rPr>
      </w:pPr>
    </w:p>
    <w:p w:rsidR="00100ECC" w:rsidRPr="00917CC7" w:rsidRDefault="00100ECC" w:rsidP="00C14EEF">
      <w:pPr>
        <w:autoSpaceDE w:val="0"/>
        <w:autoSpaceDN w:val="0"/>
        <w:adjustRightInd w:val="0"/>
        <w:rPr>
          <w:rFonts w:ascii="Arial" w:hAnsi="Arial" w:cs="Arial"/>
        </w:rPr>
      </w:pPr>
      <w:r>
        <w:rPr>
          <w:rFonts w:ascii="Arial" w:hAnsi="Arial"/>
        </w:rPr>
        <w:t>Державна влада проводить політику стягнення тарифів повного відшкодування витрат, виходячи з операційних витрат, включаючи амортизацію, але насправді це не завжди працює. Слід враховувати міжнародну практику щодо доступності тарифів.</w:t>
      </w:r>
      <w:r w:rsidR="00CB1B48">
        <w:rPr>
          <w:rFonts w:ascii="Arial" w:hAnsi="Arial"/>
        </w:rPr>
        <w:t xml:space="preserve"> </w:t>
      </w:r>
      <w:r>
        <w:rPr>
          <w:rFonts w:ascii="Arial" w:hAnsi="Arial"/>
        </w:rPr>
        <w:t>Для представленого проекту було обрано припущення, що тариф не має перевищувати 4% середнього доходу домогосподарств та має100% покривати витрати. Діючий тариф становить приблизно 0,63 євро за м3 (вода та водовідведення разом) та складає приблизно 1,43 % доходу домогосподарств.</w:t>
      </w:r>
      <w:r w:rsidR="00CB1B48">
        <w:rPr>
          <w:rFonts w:ascii="Arial" w:hAnsi="Arial"/>
        </w:rPr>
        <w:t xml:space="preserve"> </w:t>
      </w:r>
      <w:r>
        <w:rPr>
          <w:rFonts w:ascii="Arial" w:hAnsi="Arial"/>
        </w:rPr>
        <w:t>Довгострокове прогнозування доступності тарифів представлено у Додатку 4.</w:t>
      </w:r>
    </w:p>
    <w:p w:rsidR="00100ECC" w:rsidRPr="00917CC7" w:rsidRDefault="00100ECC" w:rsidP="00C14EEF">
      <w:pPr>
        <w:rPr>
          <w:rFonts w:ascii="Arial" w:hAnsi="Arial" w:cs="Arial"/>
        </w:rPr>
      </w:pPr>
      <w:r>
        <w:rPr>
          <w:rFonts w:ascii="Arial" w:hAnsi="Arial"/>
        </w:rPr>
        <w:t xml:space="preserve">Відповідно до узгодженої тарифної стратегії, тариф буде постійно збільшуватися, щоб 100% покрити збільшені операційні витрати та збільшену частку зносу, але завжди буде залишатися у межах доступного рівня, як цього вимагають національні норми. </w:t>
      </w:r>
    </w:p>
    <w:p w:rsidR="00100ECC" w:rsidRDefault="00100ECC" w:rsidP="00C14EEF">
      <w:pPr>
        <w:rPr>
          <w:rFonts w:ascii="Arial" w:hAnsi="Arial" w:cs="Arial"/>
          <w:lang w:val="en-US" w:bidi="en-US"/>
        </w:rPr>
      </w:pPr>
    </w:p>
    <w:p w:rsidR="00100ECC" w:rsidRPr="00917CC7" w:rsidRDefault="00100ECC" w:rsidP="00C14EEF">
      <w:pPr>
        <w:rPr>
          <w:rFonts w:ascii="Arial" w:hAnsi="Arial" w:cs="Arial"/>
        </w:rPr>
      </w:pPr>
      <w:r>
        <w:rPr>
          <w:rFonts w:ascii="Arial" w:hAnsi="Arial"/>
        </w:rPr>
        <w:t>Згідно з розрахунком прогнозу доступності, вплив проекту на цей параметр буде в межах 4% протягом усього періоду (до 2054 року) при 100% відшкодуванні витрат.</w:t>
      </w:r>
    </w:p>
    <w:p w:rsidR="00100ECC" w:rsidRDefault="00100ECC" w:rsidP="00C14EEF">
      <w:pPr>
        <w:rPr>
          <w:rFonts w:ascii="Arial" w:hAnsi="Arial" w:cs="Arial"/>
          <w:lang w:val="en-US" w:bidi="en-US"/>
        </w:rPr>
      </w:pPr>
    </w:p>
    <w:p w:rsidR="00100ECC" w:rsidRPr="00917CC7" w:rsidRDefault="00100ECC" w:rsidP="00C14EEF">
      <w:pPr>
        <w:rPr>
          <w:rFonts w:ascii="Arial" w:hAnsi="Arial" w:cs="Arial"/>
          <w:lang w:val="en-US" w:bidi="en-US"/>
        </w:rPr>
      </w:pPr>
    </w:p>
    <w:p w:rsidR="00100ECC" w:rsidRPr="00917CC7" w:rsidRDefault="00100ECC" w:rsidP="00C14EEF">
      <w:pPr>
        <w:pStyle w:val="2"/>
        <w:spacing w:before="0" w:after="0"/>
        <w:contextualSpacing w:val="0"/>
      </w:pPr>
      <w:bookmarkStart w:id="150" w:name="_Toc24616730"/>
      <w:bookmarkStart w:id="151" w:name="_Toc24971887"/>
      <w:bookmarkStart w:id="152" w:name="_Toc30518436"/>
      <w:bookmarkStart w:id="153" w:name="_Toc31959651"/>
      <w:bookmarkStart w:id="154" w:name="_Toc43816072"/>
      <w:bookmarkStart w:id="155" w:name="_Toc48392558"/>
      <w:r>
        <w:t>Фінансово-економічний аналіз</w:t>
      </w:r>
      <w:bookmarkEnd w:id="150"/>
      <w:bookmarkEnd w:id="151"/>
      <w:bookmarkEnd w:id="152"/>
      <w:bookmarkEnd w:id="153"/>
      <w:bookmarkEnd w:id="154"/>
      <w:bookmarkEnd w:id="155"/>
    </w:p>
    <w:p w:rsidR="00100ECC" w:rsidRPr="0032352F" w:rsidRDefault="00100ECC" w:rsidP="00C14EEF">
      <w:pPr>
        <w:autoSpaceDE w:val="0"/>
        <w:autoSpaceDN w:val="0"/>
        <w:adjustRightInd w:val="0"/>
        <w:rPr>
          <w:rFonts w:ascii="Arial" w:hAnsi="Arial" w:cs="Arial"/>
          <w:szCs w:val="22"/>
        </w:rPr>
      </w:pPr>
      <w:r>
        <w:rPr>
          <w:rFonts w:ascii="Arial" w:hAnsi="Arial"/>
          <w:szCs w:val="22"/>
        </w:rPr>
        <w:t>Фінансово-економічний аналіз проекту оснований на поступовому підході та наступних припущеннях:</w:t>
      </w:r>
    </w:p>
    <w:p w:rsidR="00100ECC" w:rsidRPr="0032352F" w:rsidRDefault="00100ECC" w:rsidP="00C14EEF">
      <w:pPr>
        <w:numPr>
          <w:ilvl w:val="0"/>
          <w:numId w:val="45"/>
        </w:numPr>
        <w:autoSpaceDE w:val="0"/>
        <w:autoSpaceDN w:val="0"/>
        <w:adjustRightInd w:val="0"/>
        <w:jc w:val="left"/>
        <w:rPr>
          <w:rFonts w:ascii="Arial" w:hAnsi="Arial" w:cs="Arial"/>
          <w:szCs w:val="22"/>
        </w:rPr>
      </w:pPr>
      <w:r>
        <w:rPr>
          <w:rFonts w:ascii="Arial" w:hAnsi="Arial"/>
          <w:szCs w:val="22"/>
        </w:rPr>
        <w:t>всі суми, вказані в євро;</w:t>
      </w:r>
    </w:p>
    <w:p w:rsidR="00100ECC" w:rsidRPr="0032352F" w:rsidRDefault="00A6136D" w:rsidP="00C14EEF">
      <w:pPr>
        <w:numPr>
          <w:ilvl w:val="0"/>
          <w:numId w:val="45"/>
        </w:numPr>
        <w:autoSpaceDE w:val="0"/>
        <w:autoSpaceDN w:val="0"/>
        <w:adjustRightInd w:val="0"/>
        <w:jc w:val="left"/>
        <w:rPr>
          <w:rFonts w:ascii="Arial" w:hAnsi="Arial" w:cs="Arial"/>
          <w:szCs w:val="22"/>
        </w:rPr>
      </w:pPr>
      <w:r>
        <w:rPr>
          <w:rFonts w:ascii="Arial" w:hAnsi="Arial"/>
          <w:szCs w:val="22"/>
        </w:rPr>
        <w:t>реальна ставка дисконтування 1,5% у фінансовому аналізі та 1,9% в економічному аналізі (відповідно до існуючих умов та методології ЄІБ щодо АВВ).</w:t>
      </w:r>
      <w:r w:rsidR="00CB1B48">
        <w:rPr>
          <w:rFonts w:ascii="Arial" w:hAnsi="Arial"/>
          <w:szCs w:val="22"/>
        </w:rPr>
        <w:t xml:space="preserve"> </w:t>
      </w:r>
      <w:r>
        <w:rPr>
          <w:rFonts w:ascii="Arial" w:hAnsi="Arial"/>
          <w:szCs w:val="22"/>
          <w:u w:val="single"/>
        </w:rPr>
        <w:t>Консультант збільшив ставку банківських відсотків (порівняно з параметрами, що наразі існують), враховуючи тенденцію ставки EURIBOR до зростання;</w:t>
      </w:r>
    </w:p>
    <w:p w:rsidR="00100ECC" w:rsidRPr="0032352F" w:rsidRDefault="00100ECC" w:rsidP="00C14EEF">
      <w:pPr>
        <w:numPr>
          <w:ilvl w:val="0"/>
          <w:numId w:val="45"/>
        </w:numPr>
        <w:autoSpaceDE w:val="0"/>
        <w:autoSpaceDN w:val="0"/>
        <w:adjustRightInd w:val="0"/>
        <w:jc w:val="left"/>
        <w:rPr>
          <w:rFonts w:ascii="Arial" w:hAnsi="Arial" w:cs="Arial"/>
          <w:szCs w:val="22"/>
        </w:rPr>
      </w:pPr>
      <w:r>
        <w:rPr>
          <w:rFonts w:ascii="Arial" w:hAnsi="Arial"/>
          <w:szCs w:val="22"/>
        </w:rPr>
        <w:t>звітний період до 30 років;</w:t>
      </w:r>
    </w:p>
    <w:p w:rsidR="00100ECC" w:rsidRPr="0032352F" w:rsidRDefault="00100ECC" w:rsidP="00C14EEF">
      <w:pPr>
        <w:numPr>
          <w:ilvl w:val="0"/>
          <w:numId w:val="45"/>
        </w:numPr>
        <w:autoSpaceDE w:val="0"/>
        <w:autoSpaceDN w:val="0"/>
        <w:adjustRightInd w:val="0"/>
        <w:jc w:val="left"/>
        <w:rPr>
          <w:rFonts w:ascii="Arial" w:hAnsi="Arial" w:cs="Arial"/>
          <w:szCs w:val="22"/>
        </w:rPr>
      </w:pPr>
      <w:r>
        <w:rPr>
          <w:rFonts w:ascii="Arial" w:hAnsi="Arial"/>
          <w:szCs w:val="22"/>
        </w:rPr>
        <w:t>залишкова вартість інвестицій в проект становить 2,3 млн. євро.</w:t>
      </w:r>
    </w:p>
    <w:p w:rsidR="00100ECC" w:rsidRPr="0032352F" w:rsidRDefault="00100ECC" w:rsidP="00C14EEF">
      <w:pPr>
        <w:autoSpaceDE w:val="0"/>
        <w:autoSpaceDN w:val="0"/>
        <w:adjustRightInd w:val="0"/>
        <w:rPr>
          <w:rFonts w:ascii="Arial" w:hAnsi="Arial" w:cs="Arial"/>
          <w:szCs w:val="22"/>
          <w:lang w:val="en-US"/>
        </w:rPr>
      </w:pPr>
    </w:p>
    <w:p w:rsidR="00100ECC" w:rsidRPr="0032352F" w:rsidRDefault="00100ECC" w:rsidP="00C14EEF">
      <w:pPr>
        <w:rPr>
          <w:rFonts w:ascii="Arial" w:hAnsi="Arial" w:cs="Arial"/>
          <w:szCs w:val="22"/>
        </w:rPr>
      </w:pPr>
      <w:r>
        <w:rPr>
          <w:rFonts w:ascii="Arial" w:hAnsi="Arial"/>
          <w:szCs w:val="22"/>
        </w:rPr>
        <w:t>Звітний період у 30 років застосовувався відповідно до умови Контракту на Фінансування (Угоди про позику) та відповідає загальній міжнародній практиці для проектів такого типу.</w:t>
      </w:r>
    </w:p>
    <w:p w:rsidR="00100ECC" w:rsidRPr="0032352F" w:rsidRDefault="00100ECC" w:rsidP="00C14EEF">
      <w:pPr>
        <w:rPr>
          <w:rFonts w:ascii="Arial" w:hAnsi="Arial" w:cs="Arial"/>
          <w:szCs w:val="22"/>
          <w:lang w:val="en-US" w:bidi="en-US"/>
        </w:rPr>
      </w:pPr>
    </w:p>
    <w:p w:rsidR="00100ECC" w:rsidRPr="00CB6356" w:rsidRDefault="00100ECC" w:rsidP="00C14EEF">
      <w:pPr>
        <w:pStyle w:val="30"/>
        <w:spacing w:before="0" w:after="0"/>
        <w:contextualSpacing w:val="0"/>
      </w:pPr>
      <w:bookmarkStart w:id="156" w:name="_Toc24616731"/>
      <w:bookmarkStart w:id="157" w:name="_Toc24971888"/>
      <w:bookmarkStart w:id="158" w:name="_Toc30518437"/>
      <w:bookmarkStart w:id="159" w:name="_Toc31959652"/>
      <w:bookmarkStart w:id="160" w:name="_Toc43816073"/>
      <w:bookmarkStart w:id="161" w:name="_Toc48392559"/>
      <w:r>
        <w:t>Фінансовий аналіз</w:t>
      </w:r>
      <w:bookmarkEnd w:id="156"/>
      <w:bookmarkEnd w:id="157"/>
      <w:bookmarkEnd w:id="158"/>
      <w:bookmarkEnd w:id="159"/>
      <w:bookmarkEnd w:id="160"/>
      <w:bookmarkEnd w:id="161"/>
    </w:p>
    <w:p w:rsidR="00100ECC" w:rsidRPr="0012755B" w:rsidRDefault="00100ECC" w:rsidP="00C14EEF">
      <w:pPr>
        <w:rPr>
          <w:rStyle w:val="A60"/>
          <w:rFonts w:ascii="Arial" w:hAnsi="Arial" w:cs="Arial"/>
          <w:sz w:val="22"/>
          <w:szCs w:val="22"/>
        </w:rPr>
      </w:pPr>
      <w:r>
        <w:rPr>
          <w:rFonts w:ascii="Arial" w:hAnsi="Arial"/>
          <w:szCs w:val="22"/>
        </w:rPr>
        <w:t xml:space="preserve">Буде два основні джерела фінансування проекту: ЄІБ та місцевий внесок (Міська влада та комунальне підприємство). Позика ЄІБ </w:t>
      </w:r>
      <w:proofErr w:type="spellStart"/>
      <w:r>
        <w:rPr>
          <w:rFonts w:ascii="Arial" w:hAnsi="Arial"/>
          <w:szCs w:val="22"/>
        </w:rPr>
        <w:t>покриє</w:t>
      </w:r>
      <w:proofErr w:type="spellEnd"/>
      <w:r>
        <w:rPr>
          <w:rFonts w:ascii="Arial" w:hAnsi="Arial"/>
          <w:szCs w:val="22"/>
        </w:rPr>
        <w:t xml:space="preserve"> 80% витрат, а місцевий внесок - 20% вартості (ПДВ). </w:t>
      </w:r>
      <w:r>
        <w:rPr>
          <w:rStyle w:val="A60"/>
          <w:rFonts w:ascii="Arial" w:hAnsi="Arial"/>
          <w:sz w:val="22"/>
          <w:szCs w:val="22"/>
        </w:rPr>
        <w:t xml:space="preserve">Водоканал підтвердив, що готовий </w:t>
      </w:r>
      <w:proofErr w:type="spellStart"/>
      <w:r>
        <w:rPr>
          <w:rStyle w:val="A60"/>
          <w:rFonts w:ascii="Arial" w:hAnsi="Arial"/>
          <w:sz w:val="22"/>
          <w:szCs w:val="22"/>
        </w:rPr>
        <w:t>співфінансувати</w:t>
      </w:r>
      <w:proofErr w:type="spellEnd"/>
      <w:r>
        <w:rPr>
          <w:rStyle w:val="A60"/>
          <w:rFonts w:ascii="Arial" w:hAnsi="Arial"/>
          <w:sz w:val="22"/>
          <w:szCs w:val="22"/>
        </w:rPr>
        <w:t xml:space="preserve"> проект та може дозволити собі цей внесок (впродовж п'яти років), не порушуючи встановлених законодавством обмежень боргу.</w:t>
      </w:r>
      <w:r w:rsidR="00CB1B48">
        <w:rPr>
          <w:rStyle w:val="A60"/>
          <w:rFonts w:ascii="Arial" w:hAnsi="Arial"/>
          <w:sz w:val="22"/>
          <w:szCs w:val="22"/>
        </w:rPr>
        <w:t xml:space="preserve"> </w:t>
      </w:r>
      <w:r>
        <w:rPr>
          <w:rStyle w:val="A60"/>
          <w:rFonts w:ascii="Arial" w:hAnsi="Arial"/>
          <w:sz w:val="22"/>
          <w:szCs w:val="22"/>
        </w:rPr>
        <w:t>Крім того, завдяки зниженню операційних витрат (в основному -</w:t>
      </w:r>
      <w:r w:rsidR="00CB1B48">
        <w:rPr>
          <w:rStyle w:val="A60"/>
          <w:rFonts w:ascii="Arial" w:hAnsi="Arial"/>
          <w:sz w:val="22"/>
          <w:szCs w:val="22"/>
        </w:rPr>
        <w:t xml:space="preserve"> </w:t>
      </w:r>
      <w:r>
        <w:rPr>
          <w:rStyle w:val="A60"/>
          <w:rFonts w:ascii="Arial" w:hAnsi="Arial"/>
          <w:sz w:val="22"/>
          <w:szCs w:val="22"/>
        </w:rPr>
        <w:t>зменшенню втрат води) теоретично ці кошти можуть бути спрямовані на співфінансування Проекту.</w:t>
      </w:r>
    </w:p>
    <w:p w:rsidR="00100ECC" w:rsidRPr="00917CC7" w:rsidRDefault="00100ECC" w:rsidP="00C14EEF">
      <w:pPr>
        <w:rPr>
          <w:rStyle w:val="A60"/>
          <w:rFonts w:ascii="Arial" w:hAnsi="Arial" w:cs="Arial"/>
          <w:szCs w:val="22"/>
          <w:lang w:val="en-US"/>
        </w:rPr>
      </w:pPr>
    </w:p>
    <w:p w:rsidR="00100ECC" w:rsidRPr="00917CC7" w:rsidRDefault="00100ECC" w:rsidP="00C14EEF">
      <w:pPr>
        <w:rPr>
          <w:rStyle w:val="A60"/>
          <w:rFonts w:ascii="Arial" w:hAnsi="Arial" w:cs="Arial"/>
          <w:szCs w:val="22"/>
        </w:rPr>
      </w:pPr>
      <w:r>
        <w:rPr>
          <w:rFonts w:ascii="Arial" w:hAnsi="Arial"/>
        </w:rPr>
        <w:t>План фінансування проекту представлений у Таблиці 16 у млн. Євро:</w:t>
      </w:r>
    </w:p>
    <w:p w:rsidR="00100ECC" w:rsidRDefault="00100ECC" w:rsidP="00C14EEF">
      <w:pPr>
        <w:rPr>
          <w:rFonts w:ascii="Arial" w:hAnsi="Arial" w:cs="Arial"/>
          <w:lang w:val="en-US" w:bidi="en-US"/>
        </w:rPr>
      </w:pPr>
    </w:p>
    <w:p w:rsidR="00100ECC" w:rsidRPr="007833FB" w:rsidRDefault="00100ECC" w:rsidP="00C14EEF">
      <w:pPr>
        <w:pStyle w:val="aa"/>
      </w:pPr>
      <w:bookmarkStart w:id="162" w:name="_Toc24044152"/>
      <w:bookmarkStart w:id="163" w:name="_Toc48643456"/>
      <w:r>
        <w:t xml:space="preserve">Таблиця </w:t>
      </w:r>
      <w:r w:rsidRPr="00B970C0">
        <w:fldChar w:fldCharType="begin"/>
      </w:r>
      <w:r w:rsidRPr="00B970C0">
        <w:instrText xml:space="preserve"> SEQ Table \* ARABIC </w:instrText>
      </w:r>
      <w:r w:rsidRPr="00B970C0">
        <w:fldChar w:fldCharType="separate"/>
      </w:r>
      <w:r w:rsidR="00CB1B48">
        <w:t>16</w:t>
      </w:r>
      <w:r w:rsidRPr="00B970C0">
        <w:fldChar w:fldCharType="end"/>
      </w:r>
      <w:r>
        <w:t>: Фінансовий план проекту</w:t>
      </w:r>
      <w:bookmarkEnd w:id="162"/>
      <w:bookmarkEnd w:id="163"/>
    </w:p>
    <w:tbl>
      <w:tblPr>
        <w:tblStyle w:val="af4"/>
        <w:tblW w:w="0" w:type="auto"/>
        <w:tblLook w:val="04A0" w:firstRow="1" w:lastRow="0" w:firstColumn="1" w:lastColumn="0" w:noHBand="0" w:noVBand="1"/>
      </w:tblPr>
      <w:tblGrid>
        <w:gridCol w:w="6062"/>
        <w:gridCol w:w="1843"/>
        <w:gridCol w:w="1701"/>
      </w:tblGrid>
      <w:tr w:rsidR="00100ECC" w:rsidRPr="00917CC7" w:rsidTr="00084592">
        <w:tc>
          <w:tcPr>
            <w:tcW w:w="6062" w:type="dxa"/>
            <w:shd w:val="clear" w:color="auto" w:fill="92D050"/>
          </w:tcPr>
          <w:p w:rsidR="00100ECC" w:rsidRPr="00917CC7" w:rsidRDefault="00100ECC" w:rsidP="00C14EEF">
            <w:pPr>
              <w:jc w:val="center"/>
              <w:rPr>
                <w:rFonts w:ascii="Arial" w:hAnsi="Arial" w:cs="Arial"/>
              </w:rPr>
            </w:pPr>
            <w:r>
              <w:rPr>
                <w:rFonts w:ascii="Arial" w:hAnsi="Arial"/>
              </w:rPr>
              <w:t>Джерела фінансування</w:t>
            </w:r>
          </w:p>
        </w:tc>
        <w:tc>
          <w:tcPr>
            <w:tcW w:w="1843" w:type="dxa"/>
            <w:shd w:val="clear" w:color="auto" w:fill="92D050"/>
          </w:tcPr>
          <w:p w:rsidR="00100ECC" w:rsidRPr="00917CC7" w:rsidRDefault="00100ECC" w:rsidP="00C14EEF">
            <w:pPr>
              <w:jc w:val="center"/>
              <w:rPr>
                <w:rFonts w:ascii="Arial" w:hAnsi="Arial" w:cs="Arial"/>
              </w:rPr>
            </w:pPr>
            <w:r>
              <w:rPr>
                <w:rFonts w:ascii="Arial" w:hAnsi="Arial"/>
              </w:rPr>
              <w:t>Мільйонів євро</w:t>
            </w:r>
          </w:p>
        </w:tc>
        <w:tc>
          <w:tcPr>
            <w:tcW w:w="1701" w:type="dxa"/>
            <w:shd w:val="clear" w:color="auto" w:fill="92D050"/>
          </w:tcPr>
          <w:p w:rsidR="00100ECC" w:rsidRPr="00917CC7" w:rsidRDefault="00100ECC" w:rsidP="00C14EEF">
            <w:pPr>
              <w:jc w:val="center"/>
              <w:rPr>
                <w:rFonts w:ascii="Arial" w:hAnsi="Arial" w:cs="Arial"/>
              </w:rPr>
            </w:pPr>
            <w:r>
              <w:rPr>
                <w:rFonts w:ascii="Arial" w:hAnsi="Arial"/>
              </w:rPr>
              <w:t>% частки</w:t>
            </w:r>
          </w:p>
        </w:tc>
      </w:tr>
      <w:tr w:rsidR="00100ECC" w:rsidRPr="00917CC7" w:rsidTr="00084592">
        <w:tc>
          <w:tcPr>
            <w:tcW w:w="6062" w:type="dxa"/>
          </w:tcPr>
          <w:p w:rsidR="00100ECC" w:rsidRPr="00917CC7" w:rsidRDefault="00100ECC" w:rsidP="00C14EEF">
            <w:pPr>
              <w:rPr>
                <w:rFonts w:ascii="Arial" w:hAnsi="Arial" w:cs="Arial"/>
              </w:rPr>
            </w:pPr>
            <w:r>
              <w:rPr>
                <w:rFonts w:ascii="Arial" w:hAnsi="Arial"/>
              </w:rPr>
              <w:t xml:space="preserve">Позика </w:t>
            </w:r>
            <w:proofErr w:type="spellStart"/>
            <w:r>
              <w:rPr>
                <w:rFonts w:ascii="Arial" w:hAnsi="Arial"/>
              </w:rPr>
              <w:t>ЄіБ</w:t>
            </w:r>
            <w:proofErr w:type="spellEnd"/>
          </w:p>
        </w:tc>
        <w:tc>
          <w:tcPr>
            <w:tcW w:w="1843" w:type="dxa"/>
          </w:tcPr>
          <w:p w:rsidR="00100ECC" w:rsidRPr="00917CC7" w:rsidRDefault="00C45C9E" w:rsidP="00C14EEF">
            <w:pPr>
              <w:jc w:val="center"/>
              <w:rPr>
                <w:rFonts w:ascii="Arial" w:hAnsi="Arial" w:cs="Arial"/>
              </w:rPr>
            </w:pPr>
            <w:r>
              <w:rPr>
                <w:rFonts w:ascii="Arial" w:hAnsi="Arial"/>
              </w:rPr>
              <w:t>10857500</w:t>
            </w:r>
          </w:p>
        </w:tc>
        <w:tc>
          <w:tcPr>
            <w:tcW w:w="1701" w:type="dxa"/>
          </w:tcPr>
          <w:p w:rsidR="00100ECC" w:rsidRPr="00917CC7" w:rsidRDefault="00100ECC" w:rsidP="00C14EEF">
            <w:pPr>
              <w:jc w:val="center"/>
              <w:rPr>
                <w:rFonts w:ascii="Arial" w:hAnsi="Arial" w:cs="Arial"/>
              </w:rPr>
            </w:pPr>
            <w:r>
              <w:rPr>
                <w:rFonts w:ascii="Arial" w:hAnsi="Arial"/>
              </w:rPr>
              <w:t>80%</w:t>
            </w:r>
          </w:p>
        </w:tc>
      </w:tr>
      <w:tr w:rsidR="00100ECC" w:rsidRPr="00917CC7" w:rsidTr="00084592">
        <w:tc>
          <w:tcPr>
            <w:tcW w:w="6062" w:type="dxa"/>
          </w:tcPr>
          <w:p w:rsidR="00100ECC" w:rsidRPr="00917CC7" w:rsidRDefault="008978D3" w:rsidP="00C14EEF">
            <w:pPr>
              <w:rPr>
                <w:rFonts w:ascii="Arial" w:hAnsi="Arial" w:cs="Arial"/>
              </w:rPr>
            </w:pPr>
            <w:r>
              <w:rPr>
                <w:rFonts w:ascii="Arial" w:hAnsi="Arial"/>
              </w:rPr>
              <w:t>Внесок Міських органів влади та водоканалу (недозволені інвестиції, ПДВ)</w:t>
            </w:r>
          </w:p>
        </w:tc>
        <w:tc>
          <w:tcPr>
            <w:tcW w:w="1843" w:type="dxa"/>
          </w:tcPr>
          <w:p w:rsidR="00100ECC" w:rsidRPr="00917CC7" w:rsidRDefault="00C45C9E" w:rsidP="00C14EEF">
            <w:pPr>
              <w:jc w:val="center"/>
              <w:rPr>
                <w:rFonts w:ascii="Arial" w:hAnsi="Arial" w:cs="Arial"/>
              </w:rPr>
            </w:pPr>
            <w:r>
              <w:rPr>
                <w:rFonts w:ascii="Arial" w:hAnsi="Arial"/>
              </w:rPr>
              <w:t>1 809 583</w:t>
            </w:r>
          </w:p>
        </w:tc>
        <w:tc>
          <w:tcPr>
            <w:tcW w:w="1701" w:type="dxa"/>
          </w:tcPr>
          <w:p w:rsidR="00100ECC" w:rsidRPr="00917CC7" w:rsidRDefault="00100ECC" w:rsidP="00C14EEF">
            <w:pPr>
              <w:jc w:val="center"/>
              <w:rPr>
                <w:rFonts w:ascii="Arial" w:hAnsi="Arial" w:cs="Arial"/>
              </w:rPr>
            </w:pPr>
            <w:r>
              <w:rPr>
                <w:rFonts w:ascii="Arial" w:hAnsi="Arial"/>
              </w:rPr>
              <w:t>20%</w:t>
            </w:r>
          </w:p>
        </w:tc>
      </w:tr>
      <w:tr w:rsidR="00100ECC" w:rsidRPr="00917CC7" w:rsidTr="00084592">
        <w:tc>
          <w:tcPr>
            <w:tcW w:w="6062" w:type="dxa"/>
            <w:shd w:val="clear" w:color="auto" w:fill="D9D9D9" w:themeFill="background1" w:themeFillShade="D9"/>
          </w:tcPr>
          <w:p w:rsidR="00100ECC" w:rsidRPr="00917CC7" w:rsidRDefault="00100ECC" w:rsidP="00C14EEF">
            <w:pPr>
              <w:rPr>
                <w:rFonts w:ascii="Arial" w:hAnsi="Arial" w:cs="Arial"/>
                <w:b/>
              </w:rPr>
            </w:pPr>
            <w:r>
              <w:rPr>
                <w:rFonts w:ascii="Arial" w:hAnsi="Arial"/>
                <w:b/>
              </w:rPr>
              <w:t>ЗАГАЛОМ Фінансування</w:t>
            </w:r>
          </w:p>
        </w:tc>
        <w:tc>
          <w:tcPr>
            <w:tcW w:w="1843" w:type="dxa"/>
            <w:shd w:val="clear" w:color="auto" w:fill="D9D9D9" w:themeFill="background1" w:themeFillShade="D9"/>
          </w:tcPr>
          <w:p w:rsidR="00100ECC" w:rsidRPr="00917CC7" w:rsidRDefault="00C45C9E" w:rsidP="00C14EEF">
            <w:pPr>
              <w:jc w:val="center"/>
              <w:rPr>
                <w:rFonts w:ascii="Arial" w:hAnsi="Arial" w:cs="Arial"/>
                <w:b/>
              </w:rPr>
            </w:pPr>
            <w:r>
              <w:rPr>
                <w:rFonts w:ascii="Arial" w:hAnsi="Arial"/>
                <w:b/>
              </w:rPr>
              <w:t>12 667 083</w:t>
            </w:r>
          </w:p>
        </w:tc>
        <w:tc>
          <w:tcPr>
            <w:tcW w:w="1701" w:type="dxa"/>
            <w:shd w:val="clear" w:color="auto" w:fill="D9D9D9" w:themeFill="background1" w:themeFillShade="D9"/>
          </w:tcPr>
          <w:p w:rsidR="00100ECC" w:rsidRPr="00917CC7" w:rsidRDefault="00100ECC" w:rsidP="00C14EEF">
            <w:pPr>
              <w:jc w:val="center"/>
              <w:rPr>
                <w:rFonts w:ascii="Arial" w:hAnsi="Arial" w:cs="Arial"/>
                <w:b/>
              </w:rPr>
            </w:pPr>
            <w:r>
              <w:rPr>
                <w:rFonts w:ascii="Arial" w:hAnsi="Arial"/>
                <w:b/>
              </w:rPr>
              <w:t>100%</w:t>
            </w:r>
          </w:p>
        </w:tc>
      </w:tr>
    </w:tbl>
    <w:p w:rsidR="00100ECC" w:rsidRPr="00917CC7" w:rsidRDefault="00100ECC" w:rsidP="00C14EEF">
      <w:pPr>
        <w:rPr>
          <w:rFonts w:ascii="Arial" w:hAnsi="Arial" w:cs="Arial"/>
          <w:lang w:val="en-US" w:bidi="en-US"/>
        </w:rPr>
      </w:pPr>
    </w:p>
    <w:p w:rsidR="00100ECC" w:rsidRPr="00917CC7" w:rsidRDefault="00100ECC" w:rsidP="00C14EEF">
      <w:pPr>
        <w:autoSpaceDE w:val="0"/>
        <w:autoSpaceDN w:val="0"/>
        <w:adjustRightInd w:val="0"/>
        <w:rPr>
          <w:rFonts w:ascii="Arial" w:hAnsi="Arial" w:cs="Arial"/>
        </w:rPr>
      </w:pPr>
      <w:r>
        <w:rPr>
          <w:rFonts w:ascii="Arial" w:hAnsi="Arial"/>
        </w:rPr>
        <w:t xml:space="preserve">Перевищення вартості через сплату ПДВ </w:t>
      </w:r>
      <w:proofErr w:type="spellStart"/>
      <w:r>
        <w:rPr>
          <w:rFonts w:ascii="Arial" w:hAnsi="Arial"/>
        </w:rPr>
        <w:t>покриють</w:t>
      </w:r>
      <w:proofErr w:type="spellEnd"/>
      <w:r>
        <w:rPr>
          <w:rFonts w:ascii="Arial" w:hAnsi="Arial"/>
        </w:rPr>
        <w:t xml:space="preserve"> Міські органи влади та КП Луцькводоканал, використовуючи внесок з міського бюджету та власні ресурси водоканалу, у разі погашення ПДВ шляхом звичайних рахункових операцій, що не матиме негативного впливу на грошовий потік або фінансову стійкість.</w:t>
      </w:r>
      <w:r w:rsidR="00CB1B48">
        <w:rPr>
          <w:rFonts w:ascii="Arial" w:hAnsi="Arial"/>
        </w:rPr>
        <w:t xml:space="preserve"> </w:t>
      </w:r>
    </w:p>
    <w:p w:rsidR="00100ECC" w:rsidRPr="00917CC7" w:rsidRDefault="00100ECC" w:rsidP="00C14EEF">
      <w:pPr>
        <w:autoSpaceDE w:val="0"/>
        <w:autoSpaceDN w:val="0"/>
        <w:adjustRightInd w:val="0"/>
        <w:rPr>
          <w:rFonts w:ascii="Arial" w:hAnsi="Arial" w:cs="Arial"/>
          <w:lang w:val="en-US"/>
        </w:rPr>
      </w:pPr>
    </w:p>
    <w:p w:rsidR="00100ECC" w:rsidRPr="00917CC7" w:rsidRDefault="00100ECC" w:rsidP="00C14EEF">
      <w:pPr>
        <w:autoSpaceDE w:val="0"/>
        <w:autoSpaceDN w:val="0"/>
        <w:adjustRightInd w:val="0"/>
        <w:rPr>
          <w:rFonts w:ascii="Arial" w:hAnsi="Arial" w:cs="Arial"/>
        </w:rPr>
      </w:pPr>
      <w:r>
        <w:rPr>
          <w:rFonts w:ascii="Arial" w:hAnsi="Arial"/>
        </w:rPr>
        <w:t>Показники фінансової прибутковості проекту будуть обчислюватися без FRR (K), оскільки компенсація ПДВ не повинна розглядатися як реальна інвестиція.</w:t>
      </w:r>
      <w:r w:rsidR="00CB1B48">
        <w:rPr>
          <w:rFonts w:ascii="Arial" w:hAnsi="Arial"/>
        </w:rPr>
        <w:t xml:space="preserve"> </w:t>
      </w:r>
      <w:r>
        <w:rPr>
          <w:rFonts w:ascii="Arial" w:hAnsi="Arial"/>
        </w:rPr>
        <w:t>У цьому випадку буде обчислено FRR (C).</w:t>
      </w:r>
      <w:r w:rsidR="00CB1B48">
        <w:rPr>
          <w:rFonts w:ascii="Arial" w:hAnsi="Arial"/>
        </w:rPr>
        <w:t xml:space="preserve"> </w:t>
      </w:r>
      <w:r>
        <w:rPr>
          <w:rFonts w:ascii="Arial" w:hAnsi="Arial"/>
        </w:rPr>
        <w:t>Відповідні розрахунки представлені в Додатку 5.</w:t>
      </w:r>
    </w:p>
    <w:p w:rsidR="00100ECC" w:rsidRPr="00917CC7" w:rsidRDefault="00100ECC" w:rsidP="00C14EEF">
      <w:pPr>
        <w:autoSpaceDE w:val="0"/>
        <w:autoSpaceDN w:val="0"/>
        <w:adjustRightInd w:val="0"/>
        <w:rPr>
          <w:rFonts w:ascii="Arial" w:hAnsi="Arial" w:cs="Arial"/>
          <w:lang w:val="en-US"/>
        </w:rPr>
      </w:pPr>
    </w:p>
    <w:p w:rsidR="00100ECC" w:rsidRPr="00917CC7" w:rsidRDefault="00823DC4" w:rsidP="00C14EEF">
      <w:pPr>
        <w:autoSpaceDE w:val="0"/>
        <w:autoSpaceDN w:val="0"/>
        <w:adjustRightInd w:val="0"/>
        <w:rPr>
          <w:rFonts w:ascii="Arial" w:hAnsi="Arial" w:cs="Arial"/>
        </w:rPr>
      </w:pPr>
      <w:r>
        <w:rPr>
          <w:rFonts w:ascii="Arial" w:hAnsi="Arial"/>
        </w:rPr>
        <w:t xml:space="preserve">За розрахунками FRR(C) складає </w:t>
      </w:r>
      <w:r>
        <w:rPr>
          <w:rFonts w:ascii="Arial" w:hAnsi="Arial"/>
          <w:b/>
        </w:rPr>
        <w:t>3,19 %</w:t>
      </w:r>
      <w:r>
        <w:rPr>
          <w:rFonts w:ascii="Arial" w:hAnsi="Arial"/>
        </w:rPr>
        <w:t xml:space="preserve"> що майже у 2 рази перевищує реальну ставку дисконтування (0,3).</w:t>
      </w:r>
      <w:r w:rsidR="00CB1B48">
        <w:rPr>
          <w:rFonts w:ascii="Arial" w:hAnsi="Arial"/>
        </w:rPr>
        <w:t xml:space="preserve"> </w:t>
      </w:r>
      <w:r>
        <w:rPr>
          <w:rFonts w:ascii="Arial" w:hAnsi="Arial"/>
        </w:rPr>
        <w:t>FNPV сягнув 2,5 мільйонів євро. Це вказує на те, що проект принесе КП Луцькводоканал додатковий прибуток.</w:t>
      </w:r>
      <w:r w:rsidR="00CB1B48">
        <w:rPr>
          <w:rFonts w:ascii="Arial" w:hAnsi="Arial"/>
        </w:rPr>
        <w:t xml:space="preserve"> </w:t>
      </w:r>
      <w:r>
        <w:rPr>
          <w:rFonts w:ascii="Arial" w:hAnsi="Arial"/>
        </w:rPr>
        <w:t>Таким чином, з фінансової точки зору, цей проект є досить прибутковим, якщо ми розглядаємо комунальне підприємство.</w:t>
      </w:r>
      <w:r w:rsidR="00CB1B48">
        <w:rPr>
          <w:rFonts w:ascii="Arial" w:hAnsi="Arial"/>
        </w:rPr>
        <w:t xml:space="preserve"> </w:t>
      </w:r>
      <w:r>
        <w:rPr>
          <w:rFonts w:ascii="Arial" w:hAnsi="Arial"/>
        </w:rPr>
        <w:t>Особливу увагу слід приділити економічним результатам проекту (буде розглянуто далі).</w:t>
      </w:r>
    </w:p>
    <w:p w:rsidR="00100ECC" w:rsidRPr="00917CC7" w:rsidRDefault="00100ECC" w:rsidP="00C14EEF">
      <w:pPr>
        <w:autoSpaceDE w:val="0"/>
        <w:autoSpaceDN w:val="0"/>
        <w:adjustRightInd w:val="0"/>
        <w:rPr>
          <w:rFonts w:ascii="Arial" w:hAnsi="Arial" w:cs="Arial"/>
        </w:rPr>
      </w:pPr>
      <w:r>
        <w:rPr>
          <w:rFonts w:ascii="Arial" w:hAnsi="Arial"/>
        </w:rPr>
        <w:t>Стосовно довгострокової фінансової стійкості, сам проект принесе достатнє збільшення доходу із кумулятивною прибутковістю і після завершення реалізації проекту (за винятком років коли необхідна заміна зношеного обладнання).</w:t>
      </w:r>
      <w:r w:rsidR="00CB1B48">
        <w:rPr>
          <w:rFonts w:ascii="Arial" w:hAnsi="Arial"/>
        </w:rPr>
        <w:t xml:space="preserve"> </w:t>
      </w:r>
      <w:r>
        <w:rPr>
          <w:rFonts w:ascii="Arial" w:hAnsi="Arial"/>
        </w:rPr>
        <w:t>Таким чином, стійкість комунального підприємства в цілому (тобто в сценарії "за застосування проекту") потрібно буде контролювати, враховуючі поточний (тобто "без проекту") рівень тарифів та операційні витрати, а також додаткові витрати та обслуговування будь-якого поточного чи майбутнього боргу, що може знадобитися. Це особливо важливо з огляду на те, що тарифи на даний момент не покривають 100% витрат. Для КП Луцькводоканал у сценарії "із застосуванням Проекту", грошовий потік підсумовано у Додатку 7, який демонструє (кумулятивний грошовий потік зазвичай позитивний впродовж 2026-2054 після реалізації Проекту, за кількома виключеннями - 2032, 2041-2044 рр, коли ЛВК буде проводити заміну зношеного обладнання).</w:t>
      </w:r>
    </w:p>
    <w:p w:rsidR="00100ECC" w:rsidRDefault="00100ECC" w:rsidP="00C14EEF">
      <w:pPr>
        <w:autoSpaceDE w:val="0"/>
        <w:autoSpaceDN w:val="0"/>
        <w:adjustRightInd w:val="0"/>
        <w:rPr>
          <w:rFonts w:ascii="Arial" w:hAnsi="Arial" w:cs="Arial"/>
          <w:lang w:val="en-US"/>
        </w:rPr>
      </w:pPr>
    </w:p>
    <w:p w:rsidR="00100ECC" w:rsidRDefault="00100ECC" w:rsidP="00C14EEF">
      <w:pPr>
        <w:autoSpaceDE w:val="0"/>
        <w:autoSpaceDN w:val="0"/>
        <w:adjustRightInd w:val="0"/>
        <w:rPr>
          <w:rFonts w:ascii="Arial" w:hAnsi="Arial" w:cs="Arial"/>
          <w:lang w:val="en-US"/>
        </w:rPr>
      </w:pPr>
    </w:p>
    <w:p w:rsidR="00100ECC" w:rsidRPr="00C40B9D" w:rsidRDefault="00100ECC" w:rsidP="00C14EEF">
      <w:pPr>
        <w:pStyle w:val="30"/>
        <w:spacing w:before="0" w:after="0"/>
        <w:contextualSpacing w:val="0"/>
      </w:pPr>
      <w:bookmarkStart w:id="164" w:name="_Toc24616732"/>
      <w:bookmarkStart w:id="165" w:name="_Toc24971889"/>
      <w:bookmarkStart w:id="166" w:name="_Toc30518438"/>
      <w:bookmarkStart w:id="167" w:name="_Toc31959653"/>
      <w:bookmarkStart w:id="168" w:name="_Toc43816074"/>
      <w:bookmarkStart w:id="169" w:name="_Toc48392560"/>
      <w:r>
        <w:t>Коефіцієнт покриття платежів за позикою</w:t>
      </w:r>
      <w:bookmarkEnd w:id="164"/>
      <w:bookmarkEnd w:id="165"/>
      <w:bookmarkEnd w:id="166"/>
      <w:bookmarkEnd w:id="167"/>
      <w:bookmarkEnd w:id="168"/>
      <w:bookmarkEnd w:id="169"/>
    </w:p>
    <w:p w:rsidR="00100ECC" w:rsidRPr="00FD02F2" w:rsidRDefault="00100ECC" w:rsidP="00C14EEF">
      <w:pPr>
        <w:autoSpaceDE w:val="0"/>
        <w:autoSpaceDN w:val="0"/>
        <w:adjustRightInd w:val="0"/>
        <w:rPr>
          <w:rFonts w:asciiTheme="minorHAnsi" w:eastAsiaTheme="minorHAnsi" w:hAnsiTheme="minorHAnsi" w:cstheme="minorHAnsi"/>
          <w:szCs w:val="22"/>
        </w:rPr>
      </w:pPr>
      <w:r>
        <w:rPr>
          <w:rFonts w:asciiTheme="minorHAnsi" w:hAnsiTheme="minorHAnsi"/>
          <w:color w:val="111111"/>
          <w:szCs w:val="22"/>
          <w:shd w:val="clear" w:color="auto" w:fill="FFFFFF"/>
        </w:rPr>
        <w:t>Коефіцієнт покриття платежів за позикою (DSCR) - це вимірювання грошового потоку, доступного для сплати поточних боргових зобов'язань.</w:t>
      </w:r>
      <w:r w:rsidR="00CB1B48">
        <w:rPr>
          <w:rFonts w:asciiTheme="minorHAnsi" w:hAnsiTheme="minorHAnsi"/>
          <w:color w:val="111111"/>
          <w:szCs w:val="22"/>
          <w:shd w:val="clear" w:color="auto" w:fill="FFFFFF"/>
        </w:rPr>
        <w:t xml:space="preserve"> </w:t>
      </w:r>
      <w:r>
        <w:rPr>
          <w:rFonts w:asciiTheme="minorHAnsi" w:hAnsiTheme="minorHAnsi"/>
          <w:szCs w:val="22"/>
        </w:rPr>
        <w:t>Коефіцієнт покриття платежів за позикою (DSCR) показує, скільки разів наявний грошовий потік може покрити необхідне обслуговування боргу (тобто повернення позик). Цей показник демонструє кредиторам рівень безпеки погашення, якщо компанія не зможе виконати фінансові плани у фінансовій моделі.</w:t>
      </w:r>
    </w:p>
    <w:p w:rsidR="00100ECC" w:rsidRDefault="00100ECC" w:rsidP="00C14EEF">
      <w:pPr>
        <w:autoSpaceDE w:val="0"/>
        <w:autoSpaceDN w:val="0"/>
        <w:adjustRightInd w:val="0"/>
        <w:rPr>
          <w:rFonts w:asciiTheme="minorHAnsi" w:eastAsiaTheme="minorHAnsi" w:hAnsiTheme="minorHAnsi" w:cstheme="minorHAnsi"/>
          <w:szCs w:val="22"/>
          <w:lang w:val="en-US" w:eastAsia="en-US"/>
        </w:rPr>
      </w:pPr>
    </w:p>
    <w:p w:rsidR="00100ECC" w:rsidRDefault="00100ECC" w:rsidP="00C14EEF">
      <w:pPr>
        <w:autoSpaceDE w:val="0"/>
        <w:autoSpaceDN w:val="0"/>
        <w:adjustRightInd w:val="0"/>
        <w:rPr>
          <w:rFonts w:asciiTheme="minorHAnsi" w:eastAsiaTheme="minorHAnsi" w:hAnsiTheme="minorHAnsi" w:cstheme="minorHAnsi"/>
          <w:szCs w:val="22"/>
        </w:rPr>
      </w:pPr>
      <w:r>
        <w:rPr>
          <w:rFonts w:asciiTheme="minorHAnsi" w:hAnsiTheme="minorHAnsi"/>
          <w:szCs w:val="22"/>
        </w:rPr>
        <w:t>Дані DSCR представлені на Малюнку 10 (на основі розрахунків у Додатку 9).</w:t>
      </w:r>
      <w:r w:rsidR="00CB1B48">
        <w:rPr>
          <w:rFonts w:asciiTheme="minorHAnsi" w:hAnsiTheme="minorHAnsi"/>
          <w:szCs w:val="22"/>
        </w:rPr>
        <w:t xml:space="preserve"> </w:t>
      </w:r>
      <w:r>
        <w:rPr>
          <w:rFonts w:asciiTheme="minorHAnsi" w:hAnsiTheme="minorHAnsi"/>
          <w:szCs w:val="22"/>
        </w:rPr>
        <w:t>Перший рік (горизонтальна лінія) цієї діаграми - 2026 рік (перший після введення складових проекту в експлуатацію).</w:t>
      </w:r>
      <w:r w:rsidR="00CB1B48">
        <w:rPr>
          <w:rFonts w:asciiTheme="minorHAnsi" w:hAnsiTheme="minorHAnsi"/>
          <w:szCs w:val="22"/>
        </w:rPr>
        <w:t xml:space="preserve"> </w:t>
      </w:r>
      <w:r>
        <w:rPr>
          <w:rFonts w:asciiTheme="minorHAnsi" w:hAnsiTheme="minorHAnsi"/>
          <w:szCs w:val="22"/>
        </w:rPr>
        <w:t>Вертикальна лінія - DSCR.</w:t>
      </w:r>
    </w:p>
    <w:p w:rsidR="00100ECC" w:rsidRPr="00FD02F2" w:rsidRDefault="00100ECC" w:rsidP="00C14EEF">
      <w:pPr>
        <w:autoSpaceDE w:val="0"/>
        <w:autoSpaceDN w:val="0"/>
        <w:adjustRightInd w:val="0"/>
        <w:rPr>
          <w:rFonts w:asciiTheme="minorHAnsi" w:eastAsiaTheme="minorHAnsi" w:hAnsiTheme="minorHAnsi" w:cstheme="minorHAnsi"/>
          <w:szCs w:val="22"/>
          <w:lang w:val="en-US" w:eastAsia="en-US"/>
        </w:rPr>
      </w:pPr>
    </w:p>
    <w:p w:rsidR="00100ECC" w:rsidRPr="00FD02F2" w:rsidRDefault="00100ECC" w:rsidP="00C14EEF">
      <w:pPr>
        <w:autoSpaceDE w:val="0"/>
        <w:autoSpaceDN w:val="0"/>
        <w:adjustRightInd w:val="0"/>
        <w:rPr>
          <w:rFonts w:asciiTheme="minorHAnsi" w:eastAsiaTheme="minorHAnsi" w:hAnsiTheme="minorHAnsi" w:cstheme="minorHAnsi"/>
          <w:szCs w:val="22"/>
        </w:rPr>
      </w:pPr>
      <w:r>
        <w:rPr>
          <w:rFonts w:asciiTheme="minorHAnsi" w:hAnsiTheme="minorHAnsi"/>
          <w:szCs w:val="22"/>
        </w:rPr>
        <w:t>Як показано на Малюнку 10 нижче, DSCR не завжди залишатиметься нижче 1,0 протягом усього звітного періоду проекту. Це означає, що КП Луцькводоканал не буде мати достатній чистий операційний дохід для покриття 100% своїх щорічних зобов'язань з виплати боргів за постійних тарифів на послуги водопостачання/ водовідведення.</w:t>
      </w:r>
      <w:r w:rsidR="00CB1B48">
        <w:rPr>
          <w:rFonts w:asciiTheme="minorHAnsi" w:hAnsiTheme="minorHAnsi"/>
          <w:szCs w:val="22"/>
        </w:rPr>
        <w:t xml:space="preserve"> </w:t>
      </w:r>
      <w:r>
        <w:rPr>
          <w:rFonts w:asciiTheme="minorHAnsi" w:hAnsiTheme="minorHAnsi"/>
          <w:szCs w:val="22"/>
        </w:rPr>
        <w:t xml:space="preserve">Однак відповідно до представленої фінансової моделі проекту, тарифи </w:t>
      </w:r>
      <w:proofErr w:type="spellStart"/>
      <w:r>
        <w:rPr>
          <w:rFonts w:asciiTheme="minorHAnsi" w:hAnsiTheme="minorHAnsi"/>
          <w:szCs w:val="22"/>
        </w:rPr>
        <w:t>нна</w:t>
      </w:r>
      <w:proofErr w:type="spellEnd"/>
      <w:r>
        <w:rPr>
          <w:rFonts w:asciiTheme="minorHAnsi" w:hAnsiTheme="minorHAnsi"/>
          <w:szCs w:val="22"/>
        </w:rPr>
        <w:t xml:space="preserve"> послуги водопостачання/ водовідведення будуть коригуватися відповідно до фактичних потреб, щоб покрити всі витрати, пов'язані з виплатами за кредитом.</w:t>
      </w:r>
      <w:r w:rsidR="00CB1B48">
        <w:rPr>
          <w:rFonts w:asciiTheme="minorHAnsi" w:hAnsiTheme="minorHAnsi"/>
          <w:szCs w:val="22"/>
        </w:rPr>
        <w:t xml:space="preserve"> </w:t>
      </w:r>
      <w:r>
        <w:rPr>
          <w:rFonts w:asciiTheme="minorHAnsi" w:hAnsiTheme="minorHAnsi"/>
          <w:szCs w:val="22"/>
        </w:rPr>
        <w:t>Це означає, що КП Луцькводоканал завжди матиме достатній грошовий потік (принаймні 100%) для покриття своїх боргових послуг.</w:t>
      </w:r>
      <w:r w:rsidR="00CB1B48">
        <w:rPr>
          <w:rFonts w:asciiTheme="minorHAnsi" w:hAnsiTheme="minorHAnsi"/>
          <w:szCs w:val="22"/>
        </w:rPr>
        <w:t xml:space="preserve"> </w:t>
      </w:r>
      <w:r>
        <w:rPr>
          <w:rFonts w:asciiTheme="minorHAnsi" w:hAnsiTheme="minorHAnsi"/>
          <w:szCs w:val="22"/>
        </w:rPr>
        <w:t>Крім того, як було зазначено раніше, це не матиме негативного впливу на доступність тарифів водопостачання та водовідведення для домогосподарств протягом періоду реалізації проекту.</w:t>
      </w:r>
    </w:p>
    <w:p w:rsidR="00621CC9" w:rsidRDefault="00621CC9" w:rsidP="00C14EEF">
      <w:pPr>
        <w:pStyle w:val="aa"/>
        <w:rPr>
          <w:rFonts w:ascii="Arial" w:hAnsi="Arial" w:cs="Arial"/>
          <w:b w:val="0"/>
          <w:bCs w:val="0"/>
          <w:noProof w:val="0"/>
          <w:szCs w:val="20"/>
        </w:rPr>
      </w:pPr>
    </w:p>
    <w:p w:rsidR="00100ECC" w:rsidRDefault="00100ECC" w:rsidP="00C14EEF">
      <w:pPr>
        <w:pStyle w:val="aa"/>
        <w:rPr>
          <w:rFonts w:ascii="Arial" w:hAnsi="Arial" w:cs="Arial"/>
        </w:rPr>
      </w:pPr>
      <w:bookmarkStart w:id="170" w:name="_Toc48643470"/>
      <w:r>
        <w:t xml:space="preserve">Малюнок </w:t>
      </w:r>
      <w:r w:rsidRPr="00666C15">
        <w:fldChar w:fldCharType="begin"/>
      </w:r>
      <w:r w:rsidRPr="00666C15">
        <w:instrText xml:space="preserve"> SEQ Figure \* ARABIC </w:instrText>
      </w:r>
      <w:r w:rsidRPr="00666C15">
        <w:fldChar w:fldCharType="separate"/>
      </w:r>
      <w:r w:rsidR="00CB1B48">
        <w:t>10</w:t>
      </w:r>
      <w:r w:rsidRPr="00666C15">
        <w:fldChar w:fldCharType="end"/>
      </w:r>
      <w:r>
        <w:t>: Коефіцієнт покриття платежів за позикою</w:t>
      </w:r>
      <w:bookmarkEnd w:id="170"/>
    </w:p>
    <w:p w:rsidR="00100ECC" w:rsidRDefault="00A6136D" w:rsidP="00C14EEF">
      <w:pPr>
        <w:rPr>
          <w:rFonts w:ascii="Arial" w:hAnsi="Arial" w:cs="Arial"/>
        </w:rPr>
      </w:pPr>
      <w:r>
        <w:rPr>
          <w:rFonts w:ascii="Arial" w:hAnsi="Arial" w:cs="Arial"/>
          <w:noProof/>
          <w:lang w:eastAsia="uk-UA"/>
        </w:rPr>
        <w:drawing>
          <wp:inline distT="0" distB="0" distL="0" distR="0" wp14:anchorId="068131F5" wp14:editId="2566305D">
            <wp:extent cx="4584700" cy="2755900"/>
            <wp:effectExtent l="0" t="0" r="6350" b="635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rsidR="00100ECC" w:rsidRDefault="00100ECC" w:rsidP="00C14EEF">
      <w:pPr>
        <w:rPr>
          <w:rFonts w:ascii="Arial" w:hAnsi="Arial" w:cs="Arial"/>
          <w:lang w:val="en-US" w:bidi="en-US"/>
        </w:rPr>
      </w:pPr>
    </w:p>
    <w:p w:rsidR="00100ECC" w:rsidRPr="00917CC7" w:rsidRDefault="00100ECC" w:rsidP="00C14EEF">
      <w:pPr>
        <w:pStyle w:val="30"/>
        <w:spacing w:before="0" w:after="0"/>
        <w:contextualSpacing w:val="0"/>
      </w:pPr>
      <w:bookmarkStart w:id="171" w:name="_Toc24616733"/>
      <w:bookmarkStart w:id="172" w:name="_Toc24971890"/>
      <w:bookmarkStart w:id="173" w:name="_Toc30518439"/>
      <w:bookmarkStart w:id="174" w:name="_Toc31959654"/>
      <w:bookmarkStart w:id="175" w:name="_Toc43816075"/>
      <w:bookmarkStart w:id="176" w:name="_Toc48392561"/>
      <w:r>
        <w:t>Економічний аналіз</w:t>
      </w:r>
      <w:bookmarkEnd w:id="171"/>
      <w:bookmarkEnd w:id="172"/>
      <w:bookmarkEnd w:id="173"/>
      <w:bookmarkEnd w:id="174"/>
      <w:bookmarkEnd w:id="175"/>
      <w:bookmarkEnd w:id="176"/>
    </w:p>
    <w:p w:rsidR="00100ECC" w:rsidRPr="00917CC7" w:rsidRDefault="00100ECC" w:rsidP="00C14EEF">
      <w:pPr>
        <w:rPr>
          <w:rFonts w:ascii="Arial" w:hAnsi="Arial" w:cs="Arial"/>
          <w:lang w:val="en-US" w:bidi="en-US"/>
        </w:rPr>
      </w:pPr>
    </w:p>
    <w:p w:rsidR="00100ECC" w:rsidRPr="00917CC7" w:rsidRDefault="00100ECC" w:rsidP="00C14EEF">
      <w:pPr>
        <w:autoSpaceDE w:val="0"/>
        <w:autoSpaceDN w:val="0"/>
        <w:adjustRightInd w:val="0"/>
        <w:rPr>
          <w:rFonts w:ascii="Arial" w:hAnsi="Arial" w:cs="Arial"/>
        </w:rPr>
      </w:pPr>
      <w:r>
        <w:rPr>
          <w:rFonts w:ascii="Arial" w:hAnsi="Arial"/>
        </w:rPr>
        <w:t xml:space="preserve">Економічний аналіз проводився за допомогою </w:t>
      </w:r>
      <w:proofErr w:type="spellStart"/>
      <w:r>
        <w:rPr>
          <w:rFonts w:ascii="Arial" w:hAnsi="Arial"/>
        </w:rPr>
        <w:t>інкрементального</w:t>
      </w:r>
      <w:proofErr w:type="spellEnd"/>
      <w:r>
        <w:rPr>
          <w:rFonts w:ascii="Arial" w:hAnsi="Arial"/>
        </w:rPr>
        <w:t xml:space="preserve"> методу, шляхом порівняння економічних витрат та </w:t>
      </w:r>
      <w:r w:rsidR="00CB1B48">
        <w:rPr>
          <w:rFonts w:ascii="Arial" w:hAnsi="Arial"/>
        </w:rPr>
        <w:t xml:space="preserve">вигід </w:t>
      </w:r>
      <w:r>
        <w:rPr>
          <w:rFonts w:ascii="Arial" w:hAnsi="Arial"/>
        </w:rPr>
        <w:t>від проекту впродовж 30-річного періоду аналізу, який співпадає з тим, що наданий у фінансовому аналізі. Він здійснювався при постійних цінах та використовував соціальну ставку дисконтування у розмірі 0,38%.</w:t>
      </w:r>
    </w:p>
    <w:p w:rsidR="00100ECC" w:rsidRDefault="00100ECC" w:rsidP="00C14EEF">
      <w:pPr>
        <w:rPr>
          <w:rFonts w:ascii="Arial" w:hAnsi="Arial" w:cs="Arial"/>
          <w:b/>
        </w:rPr>
      </w:pPr>
      <w:r>
        <w:rPr>
          <w:rFonts w:ascii="Arial" w:hAnsi="Arial"/>
        </w:rPr>
        <w:t>За основу для оцінювання економічних витрат використані фінансові витрати за проектом, шляхом коригування із коефіцієнтом перерахунку у 0,8948.</w:t>
      </w:r>
    </w:p>
    <w:p w:rsidR="00100ECC" w:rsidRDefault="00100ECC" w:rsidP="00C14EEF">
      <w:pPr>
        <w:rPr>
          <w:rFonts w:ascii="Arial" w:hAnsi="Arial" w:cs="Arial"/>
          <w:b/>
          <w:lang w:val="en-US"/>
        </w:rPr>
      </w:pPr>
    </w:p>
    <w:p w:rsidR="00100ECC" w:rsidRPr="00D93F52" w:rsidRDefault="00100ECC" w:rsidP="00C14EEF">
      <w:pPr>
        <w:pStyle w:val="Pa24"/>
        <w:spacing w:line="240" w:lineRule="auto"/>
        <w:ind w:right="280"/>
        <w:rPr>
          <w:rFonts w:ascii="Arial" w:hAnsi="Arial" w:cs="Arial"/>
          <w:sz w:val="22"/>
          <w:szCs w:val="22"/>
        </w:rPr>
      </w:pPr>
      <w:r>
        <w:rPr>
          <w:rFonts w:ascii="Arial" w:hAnsi="Arial"/>
          <w:sz w:val="22"/>
          <w:szCs w:val="22"/>
        </w:rPr>
        <w:t>Для цього, до обчислення стандартного конверсійного фактору (SCF) застосовано наступний підхід .</w:t>
      </w:r>
      <w:r w:rsidR="00CB1B48">
        <w:rPr>
          <w:rFonts w:ascii="Arial" w:hAnsi="Arial"/>
          <w:sz w:val="22"/>
          <w:szCs w:val="22"/>
        </w:rPr>
        <w:t xml:space="preserve"> </w:t>
      </w:r>
      <w:r>
        <w:rPr>
          <w:rFonts w:ascii="Arial" w:hAnsi="Arial"/>
          <w:sz w:val="22"/>
          <w:szCs w:val="22"/>
        </w:rPr>
        <w:t>Спрощена формула для оцінки SCF:</w:t>
      </w:r>
    </w:p>
    <w:p w:rsidR="00100ECC" w:rsidRPr="00D93F52" w:rsidRDefault="00100ECC" w:rsidP="00C14EEF">
      <w:pPr>
        <w:pStyle w:val="Pa39"/>
        <w:spacing w:line="240" w:lineRule="auto"/>
        <w:ind w:left="280" w:right="280"/>
        <w:jc w:val="center"/>
        <w:rPr>
          <w:rFonts w:ascii="Arial" w:hAnsi="Arial" w:cs="Arial"/>
          <w:sz w:val="22"/>
          <w:szCs w:val="22"/>
        </w:rPr>
      </w:pPr>
      <w:r>
        <w:rPr>
          <w:rFonts w:ascii="Arial" w:hAnsi="Arial"/>
          <w:i/>
          <w:iCs/>
          <w:sz w:val="22"/>
          <w:szCs w:val="22"/>
        </w:rPr>
        <w:t xml:space="preserve">SCF </w:t>
      </w:r>
      <w:r>
        <w:rPr>
          <w:rFonts w:ascii="Arial" w:hAnsi="Arial"/>
          <w:sz w:val="22"/>
          <w:szCs w:val="22"/>
        </w:rPr>
        <w:t>= (M+X)/ (M+X+TM)</w:t>
      </w:r>
    </w:p>
    <w:p w:rsidR="00100ECC" w:rsidRPr="00D93F52" w:rsidRDefault="00100ECC" w:rsidP="00C14EEF">
      <w:pPr>
        <w:rPr>
          <w:rFonts w:ascii="Arial" w:hAnsi="Arial" w:cs="Arial"/>
        </w:rPr>
      </w:pPr>
      <w:r>
        <w:rPr>
          <w:rFonts w:ascii="Arial" w:hAnsi="Arial"/>
        </w:rPr>
        <w:t>де: M - загальна вартість імпорту за розрахунковими цінами, тобто цінами на умовах CIF; X - загальна вартість експорту за розрахунковими цінами, тобто цінами на умовах FOB; ТМ - загальна вартість імпортного мита.</w:t>
      </w:r>
    </w:p>
    <w:p w:rsidR="00100ECC" w:rsidRDefault="00100ECC" w:rsidP="00C14EEF">
      <w:pPr>
        <w:rPr>
          <w:rFonts w:ascii="Arial" w:hAnsi="Arial" w:cs="Arial"/>
          <w:lang w:val="en-US" w:bidi="en-US"/>
        </w:rPr>
      </w:pPr>
    </w:p>
    <w:p w:rsidR="00100ECC" w:rsidRDefault="00100ECC" w:rsidP="00C14EEF">
      <w:pPr>
        <w:rPr>
          <w:rFonts w:ascii="Arial" w:hAnsi="Arial" w:cs="Arial"/>
        </w:rPr>
      </w:pPr>
      <w:r>
        <w:rPr>
          <w:rFonts w:ascii="Arial" w:hAnsi="Arial"/>
        </w:rPr>
        <w:t>За</w:t>
      </w:r>
      <w:r w:rsidR="00CB1B48">
        <w:rPr>
          <w:rFonts w:ascii="Arial" w:hAnsi="Arial"/>
        </w:rPr>
        <w:t xml:space="preserve"> </w:t>
      </w:r>
      <w:r>
        <w:rPr>
          <w:rFonts w:ascii="Arial" w:hAnsi="Arial"/>
        </w:rPr>
        <w:t>офіційними статистичними даними щодо обсягів експорту</w:t>
      </w:r>
      <w:r w:rsidR="00BF4AE7">
        <w:rPr>
          <w:rFonts w:ascii="Arial" w:hAnsi="Arial"/>
        </w:rPr>
        <w:t>/</w:t>
      </w:r>
      <w:r>
        <w:rPr>
          <w:rFonts w:ascii="Arial" w:hAnsi="Arial"/>
        </w:rPr>
        <w:t xml:space="preserve">імпорту та сплаченого імпортного мита, представлених у Звіті Державної фіскальної служби України за 2008 рік, загальний обсяг імпортних товарів становив 56,9 млрд. </w:t>
      </w:r>
      <w:proofErr w:type="spellStart"/>
      <w:r>
        <w:rPr>
          <w:rFonts w:ascii="Arial" w:hAnsi="Arial"/>
        </w:rPr>
        <w:t>Дол</w:t>
      </w:r>
      <w:proofErr w:type="spellEnd"/>
      <w:r>
        <w:rPr>
          <w:rFonts w:ascii="Arial" w:hAnsi="Arial"/>
        </w:rPr>
        <w:t xml:space="preserve">. США, а експортованих товарів - 47,3 млрд. </w:t>
      </w:r>
      <w:proofErr w:type="spellStart"/>
      <w:r>
        <w:rPr>
          <w:rFonts w:ascii="Arial" w:hAnsi="Arial"/>
        </w:rPr>
        <w:t>Дол</w:t>
      </w:r>
      <w:proofErr w:type="spellEnd"/>
      <w:r>
        <w:rPr>
          <w:rFonts w:ascii="Arial" w:hAnsi="Arial"/>
        </w:rPr>
        <w:t>.</w:t>
      </w:r>
      <w:r w:rsidR="00CB1B48">
        <w:rPr>
          <w:rFonts w:ascii="Arial" w:hAnsi="Arial"/>
        </w:rPr>
        <w:t xml:space="preserve"> </w:t>
      </w:r>
      <w:r>
        <w:rPr>
          <w:rFonts w:ascii="Arial" w:hAnsi="Arial"/>
        </w:rPr>
        <w:t>Загальний обсяг імпортного мита становив 338,8 млрд. Грн., Або бл. 12,24 млрд грн.</w:t>
      </w:r>
      <w:r w:rsidR="00CB1B48">
        <w:rPr>
          <w:rFonts w:ascii="Arial" w:hAnsi="Arial"/>
        </w:rPr>
        <w:t xml:space="preserve"> </w:t>
      </w:r>
      <w:r>
        <w:rPr>
          <w:rFonts w:ascii="Arial" w:hAnsi="Arial"/>
        </w:rPr>
        <w:t>Відповідно до зазначеної нижче формули, SCF становить (56,9 + 47,3)</w:t>
      </w:r>
      <w:r w:rsidR="00BF4AE7">
        <w:rPr>
          <w:rFonts w:ascii="Arial" w:hAnsi="Arial"/>
        </w:rPr>
        <w:t>/</w:t>
      </w:r>
      <w:r>
        <w:rPr>
          <w:rFonts w:ascii="Arial" w:hAnsi="Arial"/>
        </w:rPr>
        <w:t xml:space="preserve">(56,9 + 47,3 + 12,24) = 0,8948. </w:t>
      </w:r>
    </w:p>
    <w:p w:rsidR="00100ECC" w:rsidRPr="00917CC7" w:rsidRDefault="00100ECC" w:rsidP="00C14EEF">
      <w:pPr>
        <w:rPr>
          <w:rFonts w:ascii="Arial" w:hAnsi="Arial" w:cs="Arial"/>
          <w:lang w:val="en-US" w:bidi="en-US"/>
        </w:rPr>
      </w:pPr>
    </w:p>
    <w:p w:rsidR="00100ECC" w:rsidRPr="00917CC7" w:rsidRDefault="00100ECC" w:rsidP="00C14EEF">
      <w:pPr>
        <w:rPr>
          <w:rFonts w:ascii="Arial" w:hAnsi="Arial" w:cs="Arial"/>
        </w:rPr>
      </w:pPr>
      <w:r>
        <w:rPr>
          <w:rFonts w:ascii="Arial" w:hAnsi="Arial"/>
        </w:rPr>
        <w:t xml:space="preserve">Доходи, отримані через підвищений тариф за проектом, були виключені з економічного аналізу на тій підставі, що вони не розглядаються як гарний показник для монетизації прямих </w:t>
      </w:r>
      <w:r w:rsidR="00CB1B48">
        <w:rPr>
          <w:rFonts w:ascii="Arial" w:hAnsi="Arial"/>
        </w:rPr>
        <w:t xml:space="preserve">вигід </w:t>
      </w:r>
      <w:r>
        <w:rPr>
          <w:rFonts w:ascii="Arial" w:hAnsi="Arial"/>
        </w:rPr>
        <w:t>за проектом та його позитивних зовнішніх факторів. Натомість були враховані основні очікувані соціально-економічні вигоди від проекту, як показано у наступній Таблиці 17:</w:t>
      </w:r>
    </w:p>
    <w:p w:rsidR="00100ECC" w:rsidRDefault="00100ECC" w:rsidP="00C14EEF">
      <w:pPr>
        <w:rPr>
          <w:rFonts w:ascii="Arial" w:hAnsi="Arial" w:cs="Arial"/>
          <w:lang w:val="en-US"/>
        </w:rPr>
      </w:pPr>
    </w:p>
    <w:p w:rsidR="00BC23C5" w:rsidRDefault="00BC23C5" w:rsidP="00C14EEF">
      <w:pPr>
        <w:rPr>
          <w:rFonts w:ascii="Arial" w:hAnsi="Arial" w:cs="Arial"/>
        </w:rPr>
      </w:pPr>
      <w:r>
        <w:br w:type="page"/>
      </w:r>
    </w:p>
    <w:p w:rsidR="00BC23C5" w:rsidRDefault="00BC23C5" w:rsidP="00C14EEF">
      <w:pPr>
        <w:rPr>
          <w:rFonts w:ascii="Arial" w:hAnsi="Arial" w:cs="Arial"/>
          <w:lang w:val="en-US"/>
        </w:rPr>
      </w:pPr>
    </w:p>
    <w:p w:rsidR="00C078B1" w:rsidRPr="00F91CC3" w:rsidRDefault="00C078B1" w:rsidP="00C14EEF">
      <w:pPr>
        <w:rPr>
          <w:rFonts w:ascii="Arial" w:hAnsi="Arial" w:cs="Arial"/>
          <w:lang w:val="en-US"/>
        </w:rPr>
      </w:pPr>
    </w:p>
    <w:p w:rsidR="00100ECC" w:rsidRPr="007833FB" w:rsidRDefault="00100ECC" w:rsidP="00C14EEF">
      <w:pPr>
        <w:pStyle w:val="aa"/>
      </w:pPr>
      <w:bookmarkStart w:id="177" w:name="_Toc24044153"/>
      <w:bookmarkStart w:id="178" w:name="_Toc48643457"/>
      <w:r>
        <w:t xml:space="preserve">Таблиця </w:t>
      </w:r>
      <w:r w:rsidRPr="00002BA7">
        <w:fldChar w:fldCharType="begin"/>
      </w:r>
      <w:r w:rsidRPr="00002BA7">
        <w:instrText xml:space="preserve"> SEQ Table \* ARABIC </w:instrText>
      </w:r>
      <w:r w:rsidRPr="00002BA7">
        <w:fldChar w:fldCharType="separate"/>
      </w:r>
      <w:r w:rsidR="00CB1B48">
        <w:t>17</w:t>
      </w:r>
      <w:r w:rsidRPr="00002BA7">
        <w:fldChar w:fldCharType="end"/>
      </w:r>
      <w:r>
        <w:t xml:space="preserve">: </w:t>
      </w:r>
      <w:r>
        <w:rPr>
          <w:rFonts w:ascii="Arial" w:hAnsi="Arial"/>
          <w:szCs w:val="22"/>
        </w:rPr>
        <w:t>Вигоди за проектом</w:t>
      </w:r>
      <w:bookmarkEnd w:id="177"/>
      <w:bookmarkEnd w:id="178"/>
    </w:p>
    <w:tbl>
      <w:tblPr>
        <w:tblStyle w:val="af4"/>
        <w:tblW w:w="0" w:type="auto"/>
        <w:tblLook w:val="04A0" w:firstRow="1" w:lastRow="0" w:firstColumn="1" w:lastColumn="0" w:noHBand="0" w:noVBand="1"/>
      </w:tblPr>
      <w:tblGrid>
        <w:gridCol w:w="8518"/>
        <w:gridCol w:w="1335"/>
      </w:tblGrid>
      <w:tr w:rsidR="00100ECC" w:rsidRPr="00917CC7" w:rsidTr="00084592">
        <w:tc>
          <w:tcPr>
            <w:tcW w:w="8613" w:type="dxa"/>
            <w:shd w:val="clear" w:color="auto" w:fill="92D050"/>
          </w:tcPr>
          <w:p w:rsidR="00100ECC" w:rsidRPr="00FA49E2" w:rsidRDefault="00100ECC" w:rsidP="00C14EEF">
            <w:pPr>
              <w:jc w:val="center"/>
              <w:rPr>
                <w:rFonts w:ascii="Arial" w:hAnsi="Arial" w:cs="Arial"/>
                <w:b/>
              </w:rPr>
            </w:pPr>
            <w:r>
              <w:rPr>
                <w:rFonts w:ascii="Arial" w:hAnsi="Arial"/>
                <w:b/>
              </w:rPr>
              <w:t>Монетизація вигід за проектом</w:t>
            </w:r>
          </w:p>
        </w:tc>
        <w:tc>
          <w:tcPr>
            <w:tcW w:w="1240" w:type="dxa"/>
            <w:shd w:val="clear" w:color="auto" w:fill="92D050"/>
          </w:tcPr>
          <w:p w:rsidR="00100ECC" w:rsidRPr="00A07EE7" w:rsidRDefault="00100ECC" w:rsidP="00C14EEF">
            <w:pPr>
              <w:jc w:val="center"/>
              <w:rPr>
                <w:rFonts w:ascii="Arial" w:hAnsi="Arial" w:cs="Arial"/>
                <w:b/>
              </w:rPr>
            </w:pPr>
            <w:r>
              <w:rPr>
                <w:rFonts w:ascii="Arial" w:hAnsi="Arial"/>
                <w:b/>
              </w:rPr>
              <w:t>Мільйонів євро</w:t>
            </w:r>
          </w:p>
        </w:tc>
      </w:tr>
      <w:tr w:rsidR="00100ECC" w:rsidRPr="00F91CC3" w:rsidTr="00084592">
        <w:tc>
          <w:tcPr>
            <w:tcW w:w="8613" w:type="dxa"/>
          </w:tcPr>
          <w:p w:rsidR="00100ECC" w:rsidRPr="007B0082" w:rsidRDefault="00100ECC" w:rsidP="00C14EEF">
            <w:pPr>
              <w:pStyle w:val="Pa30"/>
              <w:spacing w:line="240" w:lineRule="auto"/>
              <w:jc w:val="both"/>
              <w:rPr>
                <w:rFonts w:ascii="Arial" w:hAnsi="Arial" w:cs="Arial"/>
                <w:b/>
                <w:color w:val="000000"/>
                <w:sz w:val="22"/>
                <w:szCs w:val="22"/>
              </w:rPr>
            </w:pPr>
            <w:r>
              <w:rPr>
                <w:rFonts w:ascii="Arial" w:hAnsi="Arial"/>
                <w:b/>
                <w:color w:val="000000"/>
                <w:sz w:val="22"/>
                <w:szCs w:val="22"/>
              </w:rPr>
              <w:t>Позитивний вплив на місцеву екологію та здоров'я населення.</w:t>
            </w:r>
          </w:p>
          <w:p w:rsidR="00100ECC" w:rsidRPr="007B0082" w:rsidRDefault="00100ECC" w:rsidP="00C14EEF">
            <w:pPr>
              <w:pStyle w:val="Pa30"/>
              <w:spacing w:line="240" w:lineRule="auto"/>
              <w:jc w:val="both"/>
              <w:rPr>
                <w:rFonts w:ascii="Arial" w:hAnsi="Arial" w:cs="Arial"/>
                <w:color w:val="000000"/>
                <w:sz w:val="22"/>
                <w:szCs w:val="22"/>
              </w:rPr>
            </w:pPr>
            <w:r>
              <w:rPr>
                <w:rFonts w:ascii="Arial" w:hAnsi="Arial"/>
                <w:color w:val="000000"/>
                <w:sz w:val="22"/>
                <w:szCs w:val="22"/>
              </w:rPr>
              <w:t xml:space="preserve">Реалізація проекту дозволить значно покращити якість послуг з водопостачання та очищення стічних вод, що дуже добре вплине на місцеву екологію та здоров'я населення. </w:t>
            </w:r>
          </w:p>
          <w:p w:rsidR="00100ECC" w:rsidRDefault="00100ECC" w:rsidP="00C14EEF">
            <w:pPr>
              <w:pStyle w:val="Default"/>
              <w:rPr>
                <w:rFonts w:ascii="Arial" w:hAnsi="Arial" w:cs="Arial"/>
                <w:sz w:val="22"/>
                <w:szCs w:val="22"/>
              </w:rPr>
            </w:pPr>
            <w:r>
              <w:rPr>
                <w:rFonts w:ascii="Arial" w:hAnsi="Arial"/>
                <w:sz w:val="22"/>
                <w:szCs w:val="22"/>
              </w:rPr>
              <w:t>Згідно з аналізом ВООЗ (Всесвітня організація охорони здоров'я) досягнення Цілей розвитку тисячоліття у галузі водопостачання та водовідведення (яких стосується цей проект), безумовно, принесе пряму та опосередковану економічну користь для сфери охорони здоров'я, населення, для домогосподарств, сільського господарства та промисловості, сягнувши не менше 3</w:t>
            </w:r>
            <w:r>
              <w:rPr>
                <w:rFonts w:ascii="Arial" w:hAnsi="Arial"/>
                <w:b/>
                <w:sz w:val="22"/>
                <w:szCs w:val="22"/>
              </w:rPr>
              <w:t xml:space="preserve"> доларів США (або євро) на 1 інвестований долар (або євро).</w:t>
            </w:r>
          </w:p>
          <w:p w:rsidR="00100ECC" w:rsidRPr="00002BA7" w:rsidRDefault="00100ECC" w:rsidP="00C14EEF">
            <w:pPr>
              <w:pStyle w:val="Default"/>
              <w:rPr>
                <w:rFonts w:ascii="Arial" w:hAnsi="Arial" w:cs="Arial"/>
                <w:sz w:val="22"/>
                <w:szCs w:val="22"/>
              </w:rPr>
            </w:pPr>
            <w:r>
              <w:rPr>
                <w:rFonts w:ascii="Arial" w:hAnsi="Arial"/>
                <w:sz w:val="22"/>
                <w:szCs w:val="22"/>
              </w:rPr>
              <w:t xml:space="preserve">У випадку Проекту в м. Рівне це означає, що орієнтовний рівень економічних </w:t>
            </w:r>
            <w:r w:rsidR="00CB1B48">
              <w:rPr>
                <w:rFonts w:ascii="Arial" w:hAnsi="Arial"/>
                <w:sz w:val="22"/>
                <w:szCs w:val="22"/>
              </w:rPr>
              <w:t xml:space="preserve">вигід </w:t>
            </w:r>
            <w:r>
              <w:rPr>
                <w:rFonts w:ascii="Arial" w:hAnsi="Arial"/>
                <w:sz w:val="22"/>
                <w:szCs w:val="22"/>
              </w:rPr>
              <w:t>можна обчислити таким чином: 10 857 500,00x3=</w:t>
            </w:r>
            <w:r>
              <w:rPr>
                <w:rFonts w:ascii="Arial" w:hAnsi="Arial"/>
                <w:b/>
                <w:sz w:val="22"/>
                <w:szCs w:val="22"/>
              </w:rPr>
              <w:t>32 572 500,0 Євро.</w:t>
            </w:r>
          </w:p>
        </w:tc>
        <w:tc>
          <w:tcPr>
            <w:tcW w:w="1240" w:type="dxa"/>
          </w:tcPr>
          <w:p w:rsidR="00100ECC" w:rsidRPr="00A07EE7" w:rsidRDefault="00C078B1" w:rsidP="00C14EEF">
            <w:pPr>
              <w:jc w:val="center"/>
              <w:rPr>
                <w:rFonts w:ascii="Arial" w:hAnsi="Arial" w:cs="Arial"/>
                <w:b/>
              </w:rPr>
            </w:pPr>
            <w:r>
              <w:rPr>
                <w:rFonts w:ascii="Arial" w:hAnsi="Arial"/>
                <w:b/>
              </w:rPr>
              <w:t>32,57</w:t>
            </w:r>
          </w:p>
        </w:tc>
      </w:tr>
      <w:tr w:rsidR="00100ECC" w:rsidRPr="00917CC7" w:rsidTr="00084592">
        <w:tc>
          <w:tcPr>
            <w:tcW w:w="8613" w:type="dxa"/>
          </w:tcPr>
          <w:p w:rsidR="00100ECC" w:rsidRPr="00BB6321" w:rsidRDefault="00100ECC" w:rsidP="00C14EEF">
            <w:pPr>
              <w:rPr>
                <w:rFonts w:ascii="Arial" w:hAnsi="Arial" w:cs="Arial"/>
                <w:b/>
              </w:rPr>
            </w:pPr>
            <w:r>
              <w:rPr>
                <w:rFonts w:ascii="Arial" w:hAnsi="Arial"/>
                <w:b/>
              </w:rPr>
              <w:t>Скорочення викидів CO2.</w:t>
            </w:r>
          </w:p>
          <w:p w:rsidR="00100ECC" w:rsidRDefault="00100ECC" w:rsidP="00C14EEF">
            <w:pPr>
              <w:rPr>
                <w:rFonts w:ascii="Arial" w:hAnsi="Arial" w:cs="Arial"/>
              </w:rPr>
            </w:pPr>
            <w:r>
              <w:rPr>
                <w:rFonts w:ascii="Arial" w:hAnsi="Arial"/>
              </w:rPr>
              <w:t xml:space="preserve">Проект матиме позитивний вплив на скорочення споживання електроенергії </w:t>
            </w:r>
            <w:proofErr w:type="spellStart"/>
            <w:r>
              <w:rPr>
                <w:rFonts w:ascii="Arial" w:hAnsi="Arial"/>
              </w:rPr>
              <w:t>водонасосними</w:t>
            </w:r>
            <w:proofErr w:type="spellEnd"/>
            <w:r>
              <w:rPr>
                <w:rFonts w:ascii="Arial" w:hAnsi="Arial"/>
              </w:rPr>
              <w:t xml:space="preserve"> станціями КП Луцькводоканал за рахунок зменшення фізичних втрат води до </w:t>
            </w:r>
            <w:r>
              <w:rPr>
                <w:rFonts w:ascii="Arial" w:hAnsi="Arial"/>
                <w:b/>
              </w:rPr>
              <w:t>140 684 м</w:t>
            </w:r>
            <w:r w:rsidRPr="005904FB">
              <w:rPr>
                <w:rFonts w:ascii="Arial" w:hAnsi="Arial"/>
                <w:b/>
                <w:vertAlign w:val="superscript"/>
              </w:rPr>
              <w:t>3</w:t>
            </w:r>
            <w:r w:rsidR="00BF4AE7">
              <w:rPr>
                <w:rFonts w:ascii="Arial" w:hAnsi="Arial"/>
                <w:b/>
              </w:rPr>
              <w:t>/</w:t>
            </w:r>
            <w:r>
              <w:rPr>
                <w:rFonts w:ascii="Arial" w:hAnsi="Arial"/>
                <w:b/>
              </w:rPr>
              <w:t>рік.</w:t>
            </w:r>
            <w:r w:rsidR="00CB1B48">
              <w:rPr>
                <w:rFonts w:ascii="Arial" w:hAnsi="Arial"/>
              </w:rPr>
              <w:t xml:space="preserve"> </w:t>
            </w:r>
            <w:r>
              <w:rPr>
                <w:rFonts w:ascii="Arial" w:hAnsi="Arial"/>
              </w:rPr>
              <w:t>Витрата електроенергії на 1м</w:t>
            </w:r>
            <w:r w:rsidRPr="005904FB">
              <w:rPr>
                <w:rFonts w:ascii="Arial" w:hAnsi="Arial"/>
                <w:vertAlign w:val="superscript"/>
              </w:rPr>
              <w:t>3</w:t>
            </w:r>
            <w:r>
              <w:rPr>
                <w:rFonts w:ascii="Arial" w:hAnsi="Arial"/>
              </w:rPr>
              <w:t xml:space="preserve"> </w:t>
            </w:r>
            <w:proofErr w:type="spellStart"/>
            <w:r>
              <w:rPr>
                <w:rFonts w:ascii="Arial" w:hAnsi="Arial"/>
              </w:rPr>
              <w:t>перекачуваної</w:t>
            </w:r>
            <w:proofErr w:type="spellEnd"/>
            <w:r>
              <w:rPr>
                <w:rFonts w:ascii="Arial" w:hAnsi="Arial"/>
              </w:rPr>
              <w:t xml:space="preserve"> води становить </w:t>
            </w:r>
            <w:r>
              <w:rPr>
                <w:rFonts w:ascii="Arial" w:hAnsi="Arial"/>
                <w:b/>
              </w:rPr>
              <w:t>0,37 кВт/г.</w:t>
            </w:r>
            <w:r w:rsidR="00CB1B48">
              <w:rPr>
                <w:rFonts w:ascii="Arial" w:hAnsi="Arial"/>
              </w:rPr>
              <w:t xml:space="preserve"> </w:t>
            </w:r>
            <w:r>
              <w:rPr>
                <w:rFonts w:ascii="Arial" w:hAnsi="Arial"/>
              </w:rPr>
              <w:t>Це означає, що загальний обсяг економії електроенергії за рахунок зменшення втрат води становить 140 684x0,37 = 52053,08 кВт</w:t>
            </w:r>
            <w:r w:rsidR="00BF4AE7">
              <w:rPr>
                <w:rFonts w:ascii="Arial" w:hAnsi="Arial"/>
              </w:rPr>
              <w:t>/</w:t>
            </w:r>
            <w:r>
              <w:rPr>
                <w:rFonts w:ascii="Arial" w:hAnsi="Arial"/>
              </w:rPr>
              <w:t>рік.</w:t>
            </w:r>
            <w:r w:rsidR="00CB1B48">
              <w:rPr>
                <w:rFonts w:ascii="Arial" w:hAnsi="Arial"/>
              </w:rPr>
              <w:t xml:space="preserve"> </w:t>
            </w:r>
            <w:r>
              <w:rPr>
                <w:rFonts w:ascii="Arial" w:hAnsi="Arial"/>
              </w:rPr>
              <w:t xml:space="preserve">Заощаджену електроенергію можна </w:t>
            </w:r>
            <w:proofErr w:type="spellStart"/>
            <w:r>
              <w:rPr>
                <w:rFonts w:ascii="Arial" w:hAnsi="Arial"/>
              </w:rPr>
              <w:t>монетизувати</w:t>
            </w:r>
            <w:proofErr w:type="spellEnd"/>
            <w:r>
              <w:rPr>
                <w:rFonts w:ascii="Arial" w:hAnsi="Arial"/>
              </w:rPr>
              <w:t xml:space="preserve"> з економічною вигодою через значення питомого викиду CO</w:t>
            </w:r>
            <w:r w:rsidRPr="005904FB">
              <w:rPr>
                <w:rFonts w:ascii="Arial" w:hAnsi="Arial"/>
                <w:vertAlign w:val="subscript"/>
              </w:rPr>
              <w:t>2</w:t>
            </w:r>
            <w:r>
              <w:rPr>
                <w:rFonts w:ascii="Arial" w:hAnsi="Arial"/>
              </w:rPr>
              <w:t>.</w:t>
            </w:r>
          </w:p>
          <w:p w:rsidR="00100ECC" w:rsidRDefault="00100ECC" w:rsidP="00C14EEF">
            <w:pPr>
              <w:rPr>
                <w:rFonts w:ascii="Arial" w:hAnsi="Arial" w:cs="Arial"/>
              </w:rPr>
            </w:pPr>
            <w:r>
              <w:rPr>
                <w:rFonts w:ascii="Arial" w:hAnsi="Arial"/>
              </w:rPr>
              <w:t>Теперішня вартість CO</w:t>
            </w:r>
            <w:r w:rsidRPr="005904FB">
              <w:rPr>
                <w:rFonts w:ascii="Arial" w:hAnsi="Arial"/>
                <w:vertAlign w:val="subscript"/>
              </w:rPr>
              <w:t>2</w:t>
            </w:r>
            <w:r>
              <w:rPr>
                <w:rFonts w:ascii="Arial" w:hAnsi="Arial"/>
              </w:rPr>
              <w:t xml:space="preserve"> (за квотами ЄС) становить 25,4 Євро/т CO</w:t>
            </w:r>
            <w:r w:rsidRPr="005904FB">
              <w:rPr>
                <w:rFonts w:ascii="Arial" w:hAnsi="Arial"/>
                <w:vertAlign w:val="subscript"/>
              </w:rPr>
              <w:t>2</w:t>
            </w:r>
            <w:r>
              <w:rPr>
                <w:rFonts w:ascii="Arial" w:hAnsi="Arial"/>
              </w:rPr>
              <w:t>.</w:t>
            </w:r>
          </w:p>
          <w:p w:rsidR="00100ECC" w:rsidRPr="00917CC7" w:rsidRDefault="00100ECC" w:rsidP="00C14EEF">
            <w:pPr>
              <w:rPr>
                <w:rFonts w:ascii="Arial" w:hAnsi="Arial" w:cs="Arial"/>
              </w:rPr>
            </w:pPr>
            <w:r>
              <w:rPr>
                <w:rFonts w:ascii="Arial" w:hAnsi="Arial"/>
              </w:rPr>
              <w:t>Потенційне скорочення споживання електроенергії після втілення Проекту може досягти 52,05 МВт</w:t>
            </w:r>
            <w:r w:rsidR="00BF4AE7">
              <w:rPr>
                <w:rFonts w:ascii="Arial" w:hAnsi="Arial"/>
              </w:rPr>
              <w:t>/</w:t>
            </w:r>
            <w:r>
              <w:rPr>
                <w:rFonts w:ascii="Arial" w:hAnsi="Arial"/>
              </w:rPr>
              <w:t>год на рік (на основі даних Технічного звіту Консультанта).</w:t>
            </w:r>
            <w:r w:rsidR="00CB1B48">
              <w:rPr>
                <w:rFonts w:ascii="Arial" w:hAnsi="Arial"/>
              </w:rPr>
              <w:t xml:space="preserve"> </w:t>
            </w:r>
            <w:r>
              <w:rPr>
                <w:rFonts w:ascii="Arial" w:hAnsi="Arial"/>
              </w:rPr>
              <w:t>Значення питомого викиду CO</w:t>
            </w:r>
            <w:r w:rsidRPr="005904FB">
              <w:rPr>
                <w:rFonts w:ascii="Arial" w:hAnsi="Arial"/>
                <w:vertAlign w:val="subscript"/>
              </w:rPr>
              <w:t>2</w:t>
            </w:r>
            <w:r>
              <w:rPr>
                <w:rFonts w:ascii="Arial" w:hAnsi="Arial"/>
              </w:rPr>
              <w:t xml:space="preserve"> для України становить 0,941 т</w:t>
            </w:r>
            <w:r w:rsidR="00BF4AE7">
              <w:rPr>
                <w:rFonts w:ascii="Arial" w:hAnsi="Arial"/>
              </w:rPr>
              <w:t>/</w:t>
            </w:r>
            <w:r>
              <w:rPr>
                <w:rFonts w:ascii="Arial" w:hAnsi="Arial"/>
              </w:rPr>
              <w:t>CO</w:t>
            </w:r>
            <w:r w:rsidRPr="005904FB">
              <w:rPr>
                <w:rFonts w:ascii="Arial" w:hAnsi="Arial"/>
                <w:vertAlign w:val="subscript"/>
              </w:rPr>
              <w:t>2</w:t>
            </w:r>
            <w:r w:rsidR="00BF4AE7">
              <w:rPr>
                <w:rFonts w:ascii="Arial" w:hAnsi="Arial"/>
              </w:rPr>
              <w:t>/</w:t>
            </w:r>
            <w:r>
              <w:rPr>
                <w:rFonts w:ascii="Arial" w:hAnsi="Arial"/>
              </w:rPr>
              <w:t>МВт</w:t>
            </w:r>
            <w:r w:rsidR="00BF4AE7">
              <w:rPr>
                <w:rFonts w:ascii="Arial" w:hAnsi="Arial"/>
              </w:rPr>
              <w:t>/</w:t>
            </w:r>
            <w:r>
              <w:rPr>
                <w:rFonts w:ascii="Arial" w:hAnsi="Arial"/>
              </w:rPr>
              <w:t>год.</w:t>
            </w:r>
            <w:r w:rsidR="00CB1B48">
              <w:rPr>
                <w:rFonts w:ascii="Arial" w:hAnsi="Arial"/>
              </w:rPr>
              <w:t xml:space="preserve"> </w:t>
            </w:r>
            <w:r>
              <w:rPr>
                <w:rFonts w:ascii="Arial" w:hAnsi="Arial"/>
              </w:rPr>
              <w:t>52,05x0,941=48,97 т CO</w:t>
            </w:r>
            <w:r w:rsidRPr="005904FB">
              <w:rPr>
                <w:rFonts w:ascii="Arial" w:hAnsi="Arial"/>
                <w:vertAlign w:val="subscript"/>
              </w:rPr>
              <w:t>2</w:t>
            </w:r>
            <w:r>
              <w:rPr>
                <w:rFonts w:ascii="Arial" w:hAnsi="Arial"/>
              </w:rPr>
              <w:t>.</w:t>
            </w:r>
            <w:r w:rsidR="00CB1B48">
              <w:rPr>
                <w:rFonts w:ascii="Arial" w:hAnsi="Arial"/>
              </w:rPr>
              <w:t xml:space="preserve"> </w:t>
            </w:r>
            <w:r>
              <w:rPr>
                <w:rFonts w:ascii="Arial" w:hAnsi="Arial"/>
              </w:rPr>
              <w:t xml:space="preserve">48,97x25,4=1243,83 Євро/рік або </w:t>
            </w:r>
            <w:r>
              <w:rPr>
                <w:rFonts w:ascii="Arial" w:hAnsi="Arial"/>
                <w:b/>
              </w:rPr>
              <w:t>36071,07 Євро</w:t>
            </w:r>
            <w:r>
              <w:rPr>
                <w:rFonts w:ascii="Arial" w:hAnsi="Arial"/>
              </w:rPr>
              <w:t xml:space="preserve"> за 29 років.</w:t>
            </w:r>
          </w:p>
        </w:tc>
        <w:tc>
          <w:tcPr>
            <w:tcW w:w="1240" w:type="dxa"/>
          </w:tcPr>
          <w:p w:rsidR="00100ECC" w:rsidRPr="00A07EE7" w:rsidRDefault="001A3710" w:rsidP="00C14EEF">
            <w:pPr>
              <w:jc w:val="center"/>
              <w:rPr>
                <w:rFonts w:ascii="Arial" w:hAnsi="Arial" w:cs="Arial"/>
                <w:b/>
              </w:rPr>
            </w:pPr>
            <w:r>
              <w:rPr>
                <w:rFonts w:ascii="Arial" w:hAnsi="Arial"/>
                <w:b/>
              </w:rPr>
              <w:t>0 036</w:t>
            </w:r>
          </w:p>
        </w:tc>
      </w:tr>
      <w:tr w:rsidR="00100ECC" w:rsidRPr="00917CC7" w:rsidTr="00084592">
        <w:tc>
          <w:tcPr>
            <w:tcW w:w="8613" w:type="dxa"/>
            <w:shd w:val="clear" w:color="auto" w:fill="D9D9D9" w:themeFill="background1" w:themeFillShade="D9"/>
          </w:tcPr>
          <w:p w:rsidR="00100ECC" w:rsidRPr="00A07EE7" w:rsidRDefault="00100ECC" w:rsidP="00C14EEF">
            <w:pPr>
              <w:rPr>
                <w:rFonts w:ascii="Arial" w:hAnsi="Arial" w:cs="Arial"/>
                <w:b/>
              </w:rPr>
            </w:pPr>
            <w:r>
              <w:rPr>
                <w:rFonts w:ascii="Arial" w:hAnsi="Arial"/>
                <w:b/>
              </w:rPr>
              <w:t>ЗАГАЛОМ, економічна вигода</w:t>
            </w:r>
          </w:p>
        </w:tc>
        <w:tc>
          <w:tcPr>
            <w:tcW w:w="1240" w:type="dxa"/>
            <w:shd w:val="clear" w:color="auto" w:fill="D9D9D9" w:themeFill="background1" w:themeFillShade="D9"/>
          </w:tcPr>
          <w:p w:rsidR="00100ECC" w:rsidRPr="00A07EE7" w:rsidRDefault="00C078B1" w:rsidP="00C14EEF">
            <w:pPr>
              <w:jc w:val="center"/>
              <w:rPr>
                <w:rFonts w:ascii="Arial" w:hAnsi="Arial" w:cs="Arial"/>
                <w:b/>
              </w:rPr>
            </w:pPr>
            <w:r>
              <w:rPr>
                <w:rFonts w:ascii="Arial" w:hAnsi="Arial"/>
                <w:b/>
              </w:rPr>
              <w:t>32,61</w:t>
            </w:r>
          </w:p>
        </w:tc>
      </w:tr>
    </w:tbl>
    <w:p w:rsidR="00100ECC" w:rsidRPr="00917CC7" w:rsidRDefault="00100ECC" w:rsidP="00C14EEF">
      <w:pPr>
        <w:autoSpaceDE w:val="0"/>
        <w:autoSpaceDN w:val="0"/>
        <w:adjustRightInd w:val="0"/>
        <w:rPr>
          <w:rFonts w:ascii="Arial" w:hAnsi="Arial" w:cs="Arial"/>
          <w:lang w:val="en-US"/>
        </w:rPr>
      </w:pPr>
    </w:p>
    <w:p w:rsidR="00100ECC" w:rsidRDefault="00100ECC" w:rsidP="00C14EEF">
      <w:pPr>
        <w:rPr>
          <w:rFonts w:ascii="Arial" w:hAnsi="Arial" w:cs="Arial"/>
        </w:rPr>
      </w:pPr>
      <w:r>
        <w:rPr>
          <w:rFonts w:ascii="Arial" w:hAnsi="Arial"/>
        </w:rPr>
        <w:t>Виходячи з цих припущень, проект продемонстрував задовільні економічні показники із економічними вигодами, що перевищують економічні витрати.</w:t>
      </w:r>
      <w:r w:rsidR="00CB1B48">
        <w:rPr>
          <w:rFonts w:ascii="Arial" w:hAnsi="Arial"/>
        </w:rPr>
        <w:t xml:space="preserve"> </w:t>
      </w:r>
      <w:r>
        <w:rPr>
          <w:rFonts w:ascii="Arial" w:hAnsi="Arial"/>
        </w:rPr>
        <w:t>Розрахунок</w:t>
      </w:r>
      <w:r w:rsidR="00CB1B48">
        <w:rPr>
          <w:rFonts w:ascii="Arial" w:hAnsi="Arial"/>
        </w:rPr>
        <w:t xml:space="preserve"> </w:t>
      </w:r>
      <w:r>
        <w:rPr>
          <w:rFonts w:ascii="Arial" w:hAnsi="Arial"/>
        </w:rPr>
        <w:t xml:space="preserve">ERR, ENPV та Співвідношення </w:t>
      </w:r>
      <w:r w:rsidR="00CB1B48">
        <w:rPr>
          <w:rFonts w:ascii="Arial" w:hAnsi="Arial"/>
        </w:rPr>
        <w:t>вигід</w:t>
      </w:r>
      <w:r w:rsidR="00BF4AE7">
        <w:rPr>
          <w:rFonts w:ascii="Arial" w:hAnsi="Arial"/>
        </w:rPr>
        <w:t>/</w:t>
      </w:r>
      <w:r>
        <w:rPr>
          <w:rFonts w:ascii="Arial" w:hAnsi="Arial"/>
        </w:rPr>
        <w:t>витрат надано у Додатку 6.</w:t>
      </w:r>
      <w:r w:rsidR="00CB1B48">
        <w:rPr>
          <w:rFonts w:ascii="Arial" w:hAnsi="Arial"/>
        </w:rPr>
        <w:t xml:space="preserve"> </w:t>
      </w:r>
      <w:r>
        <w:rPr>
          <w:rFonts w:ascii="Arial" w:hAnsi="Arial"/>
        </w:rPr>
        <w:t>Відповідно до розрахунків, зазначені параметри підсумовані у Таблиці 18:</w:t>
      </w:r>
    </w:p>
    <w:p w:rsidR="00100ECC" w:rsidRDefault="00100ECC" w:rsidP="00C14EEF">
      <w:pPr>
        <w:pStyle w:val="aa"/>
      </w:pPr>
    </w:p>
    <w:p w:rsidR="00100ECC" w:rsidRPr="007833FB" w:rsidRDefault="00100ECC" w:rsidP="00C14EEF">
      <w:pPr>
        <w:pStyle w:val="aa"/>
      </w:pPr>
      <w:bookmarkStart w:id="179" w:name="_Toc24044154"/>
      <w:bookmarkStart w:id="180" w:name="_Toc48643458"/>
      <w:r>
        <w:t xml:space="preserve">Таблиця </w:t>
      </w:r>
      <w:r w:rsidRPr="009E423C">
        <w:fldChar w:fldCharType="begin"/>
      </w:r>
      <w:r w:rsidRPr="009E423C">
        <w:instrText xml:space="preserve"> SEQ Table \* ARABIC </w:instrText>
      </w:r>
      <w:r w:rsidRPr="009E423C">
        <w:fldChar w:fldCharType="separate"/>
      </w:r>
      <w:r w:rsidR="00CB1B48">
        <w:t>18</w:t>
      </w:r>
      <w:r w:rsidRPr="009E423C">
        <w:fldChar w:fldCharType="end"/>
      </w:r>
      <w:r>
        <w:t>: Економічні показники</w:t>
      </w:r>
      <w:bookmarkEnd w:id="179"/>
      <w:bookmarkEnd w:id="180"/>
    </w:p>
    <w:tbl>
      <w:tblPr>
        <w:tblStyle w:val="af4"/>
        <w:tblW w:w="0" w:type="auto"/>
        <w:tblLook w:val="04A0" w:firstRow="1" w:lastRow="0" w:firstColumn="1" w:lastColumn="0" w:noHBand="0" w:noVBand="1"/>
      </w:tblPr>
      <w:tblGrid>
        <w:gridCol w:w="6629"/>
        <w:gridCol w:w="3224"/>
      </w:tblGrid>
      <w:tr w:rsidR="00100ECC" w:rsidRPr="00917CC7" w:rsidTr="00084592">
        <w:tc>
          <w:tcPr>
            <w:tcW w:w="6629" w:type="dxa"/>
            <w:shd w:val="clear" w:color="auto" w:fill="92D050"/>
          </w:tcPr>
          <w:p w:rsidR="00100ECC" w:rsidRPr="000F7471" w:rsidRDefault="00100ECC" w:rsidP="00C14EEF">
            <w:pPr>
              <w:jc w:val="center"/>
              <w:rPr>
                <w:rFonts w:ascii="Arial" w:hAnsi="Arial" w:cs="Arial"/>
                <w:b/>
              </w:rPr>
            </w:pPr>
            <w:r>
              <w:rPr>
                <w:rFonts w:ascii="Arial" w:hAnsi="Arial"/>
                <w:b/>
              </w:rPr>
              <w:t>Економічний показник</w:t>
            </w:r>
          </w:p>
        </w:tc>
        <w:tc>
          <w:tcPr>
            <w:tcW w:w="3224" w:type="dxa"/>
            <w:shd w:val="clear" w:color="auto" w:fill="92D050"/>
          </w:tcPr>
          <w:p w:rsidR="00100ECC" w:rsidRPr="000F7471" w:rsidRDefault="00100ECC" w:rsidP="00C14EEF">
            <w:pPr>
              <w:jc w:val="center"/>
              <w:rPr>
                <w:rFonts w:ascii="Arial" w:hAnsi="Arial" w:cs="Arial"/>
                <w:b/>
              </w:rPr>
            </w:pPr>
            <w:r>
              <w:rPr>
                <w:rFonts w:ascii="Arial" w:hAnsi="Arial"/>
                <w:b/>
              </w:rPr>
              <w:t>Значення</w:t>
            </w:r>
          </w:p>
        </w:tc>
      </w:tr>
      <w:tr w:rsidR="00100ECC" w:rsidRPr="00917CC7" w:rsidTr="00084592">
        <w:tc>
          <w:tcPr>
            <w:tcW w:w="6629" w:type="dxa"/>
          </w:tcPr>
          <w:p w:rsidR="00100ECC" w:rsidRPr="00917CC7" w:rsidRDefault="00100ECC" w:rsidP="00C14EEF">
            <w:pPr>
              <w:rPr>
                <w:rFonts w:ascii="Arial" w:hAnsi="Arial" w:cs="Arial"/>
              </w:rPr>
            </w:pPr>
            <w:r>
              <w:rPr>
                <w:rFonts w:ascii="Arial" w:hAnsi="Arial"/>
              </w:rPr>
              <w:t>Економічна норма прибутку</w:t>
            </w:r>
            <w:r w:rsidR="00CB1B48">
              <w:rPr>
                <w:rFonts w:ascii="Arial" w:hAnsi="Arial"/>
              </w:rPr>
              <w:t xml:space="preserve"> </w:t>
            </w:r>
            <w:r>
              <w:rPr>
                <w:rFonts w:ascii="Arial" w:hAnsi="Arial"/>
              </w:rPr>
              <w:t>(ERR)</w:t>
            </w:r>
          </w:p>
        </w:tc>
        <w:tc>
          <w:tcPr>
            <w:tcW w:w="3224" w:type="dxa"/>
          </w:tcPr>
          <w:p w:rsidR="00100ECC" w:rsidRPr="000F7471" w:rsidRDefault="00F26AC0" w:rsidP="00C14EEF">
            <w:pPr>
              <w:jc w:val="center"/>
              <w:rPr>
                <w:rFonts w:ascii="Arial" w:hAnsi="Arial" w:cs="Arial"/>
                <w:b/>
              </w:rPr>
            </w:pPr>
            <w:r>
              <w:rPr>
                <w:rFonts w:ascii="Arial" w:hAnsi="Arial"/>
                <w:b/>
              </w:rPr>
              <w:t>7,51%</w:t>
            </w:r>
          </w:p>
        </w:tc>
      </w:tr>
      <w:tr w:rsidR="00100ECC" w:rsidRPr="00917CC7" w:rsidTr="00084592">
        <w:tc>
          <w:tcPr>
            <w:tcW w:w="6629" w:type="dxa"/>
          </w:tcPr>
          <w:p w:rsidR="00100ECC" w:rsidRPr="00917CC7" w:rsidRDefault="00100ECC" w:rsidP="00C14EEF">
            <w:pPr>
              <w:rPr>
                <w:rFonts w:ascii="Arial" w:hAnsi="Arial" w:cs="Arial"/>
              </w:rPr>
            </w:pPr>
            <w:r>
              <w:rPr>
                <w:rFonts w:ascii="Arial" w:hAnsi="Arial"/>
              </w:rPr>
              <w:t>Економічна чиста поточна вартість</w:t>
            </w:r>
            <w:r w:rsidR="00CB1B48">
              <w:rPr>
                <w:rFonts w:ascii="Arial" w:hAnsi="Arial"/>
              </w:rPr>
              <w:t xml:space="preserve"> </w:t>
            </w:r>
            <w:r>
              <w:rPr>
                <w:rFonts w:ascii="Arial" w:hAnsi="Arial"/>
              </w:rPr>
              <w:t>(ENPV)</w:t>
            </w:r>
          </w:p>
        </w:tc>
        <w:tc>
          <w:tcPr>
            <w:tcW w:w="3224" w:type="dxa"/>
          </w:tcPr>
          <w:p w:rsidR="00100ECC" w:rsidRPr="000F7471" w:rsidRDefault="00E667A1" w:rsidP="00C14EEF">
            <w:pPr>
              <w:jc w:val="center"/>
              <w:rPr>
                <w:rFonts w:ascii="Arial" w:hAnsi="Arial" w:cs="Arial"/>
                <w:b/>
              </w:rPr>
            </w:pPr>
            <w:r>
              <w:rPr>
                <w:rFonts w:ascii="Arial" w:hAnsi="Arial"/>
                <w:b/>
              </w:rPr>
              <w:t>15,3 мільйонів євро</w:t>
            </w:r>
          </w:p>
        </w:tc>
      </w:tr>
      <w:tr w:rsidR="00100ECC" w:rsidRPr="00917CC7" w:rsidTr="00084592">
        <w:tc>
          <w:tcPr>
            <w:tcW w:w="6629" w:type="dxa"/>
          </w:tcPr>
          <w:p w:rsidR="00100ECC" w:rsidRPr="00917CC7" w:rsidRDefault="00100ECC" w:rsidP="00C14EEF">
            <w:pPr>
              <w:rPr>
                <w:rFonts w:ascii="Arial" w:hAnsi="Arial" w:cs="Arial"/>
              </w:rPr>
            </w:pPr>
            <w:r>
              <w:rPr>
                <w:rFonts w:ascii="Arial" w:hAnsi="Arial"/>
              </w:rPr>
              <w:t xml:space="preserve">Співвідношення </w:t>
            </w:r>
            <w:r w:rsidR="00CB1B48">
              <w:rPr>
                <w:rFonts w:ascii="Arial" w:hAnsi="Arial"/>
              </w:rPr>
              <w:t xml:space="preserve">вигід </w:t>
            </w:r>
            <w:r>
              <w:rPr>
                <w:rFonts w:ascii="Arial" w:hAnsi="Arial"/>
              </w:rPr>
              <w:t>та витрат</w:t>
            </w:r>
          </w:p>
        </w:tc>
        <w:tc>
          <w:tcPr>
            <w:tcW w:w="3224" w:type="dxa"/>
          </w:tcPr>
          <w:p w:rsidR="00100ECC" w:rsidRPr="000F7471" w:rsidRDefault="00E667A1" w:rsidP="00C14EEF">
            <w:pPr>
              <w:jc w:val="center"/>
              <w:rPr>
                <w:rFonts w:ascii="Arial" w:hAnsi="Arial" w:cs="Arial"/>
                <w:b/>
              </w:rPr>
            </w:pPr>
            <w:r>
              <w:rPr>
                <w:rFonts w:ascii="Arial" w:hAnsi="Arial"/>
                <w:b/>
              </w:rPr>
              <w:t>3,05</w:t>
            </w:r>
          </w:p>
        </w:tc>
      </w:tr>
    </w:tbl>
    <w:p w:rsidR="00100ECC" w:rsidRPr="00917CC7" w:rsidRDefault="00100ECC" w:rsidP="00C14EEF">
      <w:pPr>
        <w:rPr>
          <w:rFonts w:ascii="Arial" w:hAnsi="Arial" w:cs="Arial"/>
          <w:lang w:val="en-US" w:bidi="en-US"/>
        </w:rPr>
      </w:pPr>
    </w:p>
    <w:p w:rsidR="00100ECC" w:rsidRPr="00917CC7" w:rsidRDefault="00100ECC" w:rsidP="00C14EEF">
      <w:pPr>
        <w:rPr>
          <w:rFonts w:ascii="Arial" w:hAnsi="Arial" w:cs="Arial"/>
        </w:rPr>
      </w:pPr>
      <w:r>
        <w:rPr>
          <w:rFonts w:ascii="Arial" w:hAnsi="Arial"/>
        </w:rPr>
        <w:t>Виходячи економічних показників, отриманих в результаті аналізу, від реалізації проекту очікується позитивний соціальний та екологічний вплив. Це також сприятиме дотриманню національних стандартів щодо скидів очищених стічних вод та відповідності Директиві про очищення міських стічних вод (та дозволить уникнути можливих фінансових стягнень).</w:t>
      </w:r>
    </w:p>
    <w:p w:rsidR="00100ECC" w:rsidRDefault="00100ECC" w:rsidP="00C14EEF">
      <w:pPr>
        <w:pStyle w:val="HydrophilStandard"/>
        <w:spacing w:after="0"/>
        <w:contextualSpacing w:val="0"/>
      </w:pPr>
    </w:p>
    <w:p w:rsidR="00100ECC" w:rsidRDefault="00100ECC" w:rsidP="00C14EEF">
      <w:pPr>
        <w:pStyle w:val="HydrophilStandard"/>
        <w:spacing w:after="0"/>
        <w:contextualSpacing w:val="0"/>
      </w:pPr>
    </w:p>
    <w:p w:rsidR="00BC23C5" w:rsidRDefault="00BC23C5" w:rsidP="00C14EEF">
      <w:pPr>
        <w:pStyle w:val="2"/>
        <w:spacing w:before="0" w:after="0"/>
        <w:contextualSpacing w:val="0"/>
        <w:sectPr w:rsidR="00BC23C5" w:rsidSect="00EB5D32">
          <w:pgSz w:w="11906" w:h="16838" w:code="9"/>
          <w:pgMar w:top="1418" w:right="851" w:bottom="851" w:left="1418" w:header="567" w:footer="454" w:gutter="0"/>
          <w:cols w:space="720"/>
          <w:docGrid w:linePitch="299"/>
        </w:sectPr>
      </w:pPr>
      <w:bookmarkStart w:id="181" w:name="_Toc24616734"/>
      <w:bookmarkStart w:id="182" w:name="_Toc24971891"/>
      <w:bookmarkStart w:id="183" w:name="_Toc30518440"/>
      <w:bookmarkStart w:id="184" w:name="_Toc31959655"/>
    </w:p>
    <w:p w:rsidR="00100ECC" w:rsidRPr="00917CC7" w:rsidRDefault="00100ECC" w:rsidP="00C14EEF">
      <w:pPr>
        <w:pStyle w:val="2"/>
        <w:spacing w:before="0" w:after="0"/>
        <w:contextualSpacing w:val="0"/>
      </w:pPr>
      <w:bookmarkStart w:id="185" w:name="_Toc43816076"/>
      <w:bookmarkStart w:id="186" w:name="_Toc48392562"/>
      <w:r>
        <w:t>Оцінка ризику</w:t>
      </w:r>
      <w:bookmarkEnd w:id="181"/>
      <w:bookmarkEnd w:id="182"/>
      <w:bookmarkEnd w:id="183"/>
      <w:bookmarkEnd w:id="184"/>
      <w:bookmarkEnd w:id="185"/>
      <w:bookmarkEnd w:id="186"/>
    </w:p>
    <w:p w:rsidR="00100ECC" w:rsidRPr="004605D2" w:rsidRDefault="00100ECC" w:rsidP="00C14EEF">
      <w:pPr>
        <w:pStyle w:val="30"/>
        <w:spacing w:before="0" w:after="0"/>
        <w:contextualSpacing w:val="0"/>
      </w:pPr>
      <w:bookmarkStart w:id="187" w:name="_Toc24616735"/>
      <w:bookmarkStart w:id="188" w:name="_Toc24971892"/>
      <w:bookmarkStart w:id="189" w:name="_Toc30518441"/>
      <w:bookmarkStart w:id="190" w:name="_Toc31959656"/>
      <w:bookmarkStart w:id="191" w:name="_Toc43816077"/>
      <w:bookmarkStart w:id="192" w:name="_Toc48392563"/>
      <w:r>
        <w:t>Аналіз чутливості</w:t>
      </w:r>
      <w:bookmarkEnd w:id="187"/>
      <w:bookmarkEnd w:id="188"/>
      <w:bookmarkEnd w:id="189"/>
      <w:bookmarkEnd w:id="190"/>
      <w:bookmarkEnd w:id="191"/>
      <w:bookmarkEnd w:id="192"/>
    </w:p>
    <w:p w:rsidR="00100ECC" w:rsidRDefault="00100ECC" w:rsidP="00C14EEF">
      <w:pPr>
        <w:pStyle w:val="27"/>
        <w:shd w:val="clear" w:color="auto" w:fill="auto"/>
        <w:spacing w:before="0" w:after="0" w:line="240" w:lineRule="auto"/>
        <w:ind w:firstLine="0"/>
        <w:jc w:val="both"/>
        <w:rPr>
          <w:rFonts w:ascii="Arial" w:eastAsia="Calibri" w:hAnsi="Arial" w:cs="Arial"/>
          <w:sz w:val="22"/>
          <w:szCs w:val="22"/>
        </w:rPr>
      </w:pPr>
      <w:r>
        <w:rPr>
          <w:rFonts w:ascii="Arial" w:hAnsi="Arial"/>
          <w:sz w:val="22"/>
          <w:szCs w:val="22"/>
        </w:rPr>
        <w:t xml:space="preserve">Аналіз чутливості оцінює вплив можливих коригувань ключових змінних проекту на фінансово-економічні показники проекту. </w:t>
      </w:r>
    </w:p>
    <w:p w:rsidR="00100ECC" w:rsidRDefault="00100ECC" w:rsidP="00C14EEF">
      <w:pPr>
        <w:pStyle w:val="27"/>
        <w:shd w:val="clear" w:color="auto" w:fill="auto"/>
        <w:spacing w:before="0" w:after="0" w:line="240" w:lineRule="auto"/>
        <w:ind w:firstLine="0"/>
        <w:jc w:val="both"/>
        <w:rPr>
          <w:rFonts w:ascii="Arial" w:eastAsia="Calibri" w:hAnsi="Arial" w:cs="Arial"/>
          <w:sz w:val="22"/>
          <w:szCs w:val="22"/>
          <w:lang w:val="en-US"/>
        </w:rPr>
      </w:pPr>
    </w:p>
    <w:p w:rsidR="00100ECC" w:rsidRDefault="00100ECC" w:rsidP="00C14EEF">
      <w:pPr>
        <w:pStyle w:val="27"/>
        <w:shd w:val="clear" w:color="auto" w:fill="auto"/>
        <w:spacing w:before="0" w:after="0" w:line="240" w:lineRule="auto"/>
        <w:ind w:firstLine="0"/>
        <w:jc w:val="both"/>
        <w:rPr>
          <w:rFonts w:ascii="Arial" w:eastAsia="Calibri" w:hAnsi="Arial" w:cs="Arial"/>
          <w:sz w:val="22"/>
          <w:szCs w:val="22"/>
        </w:rPr>
      </w:pPr>
      <w:r>
        <w:rPr>
          <w:rFonts w:ascii="Arial" w:hAnsi="Arial"/>
          <w:sz w:val="22"/>
          <w:szCs w:val="22"/>
        </w:rPr>
        <w:t>Відповідно до ТЗ Консультанта, слід провести аналіз чутливості щодо перевищення вартості проекту на 20%.</w:t>
      </w:r>
      <w:r w:rsidR="00CB1B48">
        <w:rPr>
          <w:rFonts w:ascii="Arial" w:hAnsi="Arial"/>
          <w:sz w:val="22"/>
          <w:szCs w:val="22"/>
        </w:rPr>
        <w:t xml:space="preserve"> </w:t>
      </w:r>
      <w:r>
        <w:rPr>
          <w:rFonts w:ascii="Arial" w:hAnsi="Arial"/>
          <w:sz w:val="22"/>
          <w:szCs w:val="22"/>
        </w:rPr>
        <w:t xml:space="preserve">Також, для представленого аналізу чутливості були застосовані дві додаткові змінні (зменшення оцінених економічних </w:t>
      </w:r>
      <w:r w:rsidR="00CB1B48">
        <w:rPr>
          <w:rFonts w:ascii="Arial" w:hAnsi="Arial"/>
          <w:sz w:val="22"/>
          <w:szCs w:val="22"/>
        </w:rPr>
        <w:t xml:space="preserve">вигід </w:t>
      </w:r>
      <w:r>
        <w:rPr>
          <w:rFonts w:ascii="Arial" w:hAnsi="Arial"/>
          <w:sz w:val="22"/>
          <w:szCs w:val="22"/>
        </w:rPr>
        <w:t>та зменшення вхідних грошових потоків, отриманих за Проектом).</w:t>
      </w:r>
    </w:p>
    <w:p w:rsidR="00100ECC" w:rsidRPr="00917CC7" w:rsidRDefault="00100ECC" w:rsidP="00C14EEF">
      <w:pPr>
        <w:pStyle w:val="27"/>
        <w:shd w:val="clear" w:color="auto" w:fill="auto"/>
        <w:spacing w:before="0" w:after="0" w:line="240" w:lineRule="auto"/>
        <w:ind w:firstLine="0"/>
        <w:jc w:val="both"/>
        <w:rPr>
          <w:rFonts w:ascii="Arial" w:eastAsia="Calibri" w:hAnsi="Arial" w:cs="Arial"/>
          <w:sz w:val="22"/>
          <w:szCs w:val="22"/>
          <w:lang w:val="en-US"/>
        </w:rPr>
      </w:pPr>
    </w:p>
    <w:p w:rsidR="00100ECC" w:rsidRDefault="00100ECC" w:rsidP="00C14EEF">
      <w:pPr>
        <w:pStyle w:val="27"/>
        <w:shd w:val="clear" w:color="auto" w:fill="auto"/>
        <w:spacing w:before="0" w:after="0" w:line="240" w:lineRule="auto"/>
        <w:ind w:firstLine="0"/>
        <w:jc w:val="both"/>
        <w:rPr>
          <w:rFonts w:ascii="Arial" w:eastAsia="Calibri" w:hAnsi="Arial" w:cs="Arial"/>
          <w:sz w:val="22"/>
          <w:szCs w:val="22"/>
        </w:rPr>
      </w:pPr>
      <w:r>
        <w:rPr>
          <w:rFonts w:ascii="Arial" w:hAnsi="Arial"/>
          <w:sz w:val="22"/>
          <w:szCs w:val="22"/>
        </w:rPr>
        <w:t>Розрахунок ENPV та FNPV</w:t>
      </w:r>
      <w:r w:rsidR="00BF4AE7">
        <w:rPr>
          <w:rFonts w:ascii="Arial" w:hAnsi="Arial"/>
          <w:sz w:val="22"/>
          <w:szCs w:val="22"/>
        </w:rPr>
        <w:t>/</w:t>
      </w:r>
      <w:r>
        <w:rPr>
          <w:rFonts w:ascii="Arial" w:hAnsi="Arial"/>
          <w:sz w:val="22"/>
          <w:szCs w:val="22"/>
        </w:rPr>
        <w:t>(C) за різними вхідними змінними, а також їхні критичні значення наведені в Таблиці 19.</w:t>
      </w:r>
    </w:p>
    <w:p w:rsidR="00166B17" w:rsidRPr="003B455B" w:rsidRDefault="00166B17" w:rsidP="00C14EEF">
      <w:pPr>
        <w:pStyle w:val="27"/>
        <w:shd w:val="clear" w:color="auto" w:fill="auto"/>
        <w:spacing w:before="0" w:after="0" w:line="240" w:lineRule="auto"/>
        <w:ind w:firstLine="0"/>
        <w:jc w:val="both"/>
        <w:rPr>
          <w:rFonts w:ascii="Arial" w:hAnsi="Arial" w:cs="Arial"/>
          <w:sz w:val="22"/>
          <w:szCs w:val="22"/>
          <w:lang w:val="en-US"/>
        </w:rPr>
      </w:pPr>
    </w:p>
    <w:p w:rsidR="00100ECC" w:rsidRPr="007833FB" w:rsidRDefault="00100ECC" w:rsidP="00C14EEF">
      <w:pPr>
        <w:pStyle w:val="aa"/>
      </w:pPr>
      <w:bookmarkStart w:id="193" w:name="_Toc24044155"/>
      <w:bookmarkStart w:id="194" w:name="_Toc48643459"/>
      <w:r>
        <w:t xml:space="preserve">Таблиця </w:t>
      </w:r>
      <w:r w:rsidRPr="006C0C67">
        <w:fldChar w:fldCharType="begin"/>
      </w:r>
      <w:r w:rsidRPr="006C0C67">
        <w:instrText xml:space="preserve"> SEQ Table \* ARABIC </w:instrText>
      </w:r>
      <w:r w:rsidRPr="006C0C67">
        <w:fldChar w:fldCharType="separate"/>
      </w:r>
      <w:r w:rsidR="00CB1B48">
        <w:t>19</w:t>
      </w:r>
      <w:r w:rsidRPr="006C0C67">
        <w:fldChar w:fldCharType="end"/>
      </w:r>
      <w:r>
        <w:t>: Аналіз чутливості</w:t>
      </w:r>
      <w:bookmarkEnd w:id="193"/>
      <w:bookmarkEnd w:id="194"/>
    </w:p>
    <w:tbl>
      <w:tblPr>
        <w:tblW w:w="9648" w:type="dxa"/>
        <w:tblInd w:w="10" w:type="dxa"/>
        <w:tblLayout w:type="fixed"/>
        <w:tblCellMar>
          <w:left w:w="10" w:type="dxa"/>
          <w:right w:w="10" w:type="dxa"/>
        </w:tblCellMar>
        <w:tblLook w:val="0000" w:firstRow="0" w:lastRow="0" w:firstColumn="0" w:lastColumn="0" w:noHBand="0" w:noVBand="0"/>
      </w:tblPr>
      <w:tblGrid>
        <w:gridCol w:w="5245"/>
        <w:gridCol w:w="992"/>
        <w:gridCol w:w="1134"/>
        <w:gridCol w:w="1134"/>
        <w:gridCol w:w="1143"/>
      </w:tblGrid>
      <w:tr w:rsidR="00100ECC" w:rsidRPr="00C26B50" w:rsidTr="00084592">
        <w:trPr>
          <w:trHeight w:hRule="exact" w:val="754"/>
        </w:trPr>
        <w:tc>
          <w:tcPr>
            <w:tcW w:w="5245" w:type="dxa"/>
            <w:tcBorders>
              <w:top w:val="single" w:sz="4" w:space="0" w:color="auto"/>
              <w:left w:val="single" w:sz="4" w:space="0" w:color="auto"/>
            </w:tcBorders>
            <w:shd w:val="clear" w:color="auto" w:fill="92D050"/>
            <w:vAlign w:val="center"/>
          </w:tcPr>
          <w:p w:rsidR="00100ECC" w:rsidRPr="00C26B50" w:rsidRDefault="00100ECC" w:rsidP="00C14EEF">
            <w:pPr>
              <w:pStyle w:val="27"/>
              <w:shd w:val="clear" w:color="auto" w:fill="auto"/>
              <w:spacing w:before="0" w:after="0" w:line="240" w:lineRule="auto"/>
              <w:ind w:firstLine="0"/>
              <w:rPr>
                <w:rFonts w:ascii="Arial" w:hAnsi="Arial" w:cs="Arial"/>
                <w:b/>
                <w:sz w:val="22"/>
                <w:szCs w:val="22"/>
              </w:rPr>
            </w:pPr>
            <w:r>
              <w:rPr>
                <w:rFonts w:ascii="Arial" w:hAnsi="Arial"/>
                <w:b/>
                <w:sz w:val="22"/>
                <w:szCs w:val="22"/>
              </w:rPr>
              <w:t>Змінна</w:t>
            </w:r>
          </w:p>
        </w:tc>
        <w:tc>
          <w:tcPr>
            <w:tcW w:w="992" w:type="dxa"/>
            <w:tcBorders>
              <w:top w:val="single" w:sz="4" w:space="0" w:color="auto"/>
              <w:left w:val="single" w:sz="4" w:space="0" w:color="auto"/>
            </w:tcBorders>
            <w:shd w:val="clear" w:color="auto" w:fill="92D050"/>
            <w:vAlign w:val="bottom"/>
          </w:tcPr>
          <w:p w:rsidR="00100ECC" w:rsidRDefault="00100ECC" w:rsidP="00C14EEF">
            <w:pPr>
              <w:pStyle w:val="27"/>
              <w:shd w:val="clear" w:color="auto" w:fill="auto"/>
              <w:spacing w:before="0" w:after="0" w:line="240" w:lineRule="auto"/>
              <w:ind w:left="57" w:right="57" w:firstLine="0"/>
              <w:rPr>
                <w:rFonts w:ascii="Arial" w:hAnsi="Arial" w:cs="Arial"/>
                <w:sz w:val="22"/>
                <w:szCs w:val="22"/>
              </w:rPr>
            </w:pPr>
            <w:r>
              <w:rPr>
                <w:rFonts w:ascii="Arial" w:hAnsi="Arial"/>
                <w:sz w:val="22"/>
                <w:szCs w:val="22"/>
              </w:rPr>
              <w:t>ENPV</w:t>
            </w:r>
          </w:p>
          <w:p w:rsidR="00100ECC" w:rsidRPr="00C26B50" w:rsidRDefault="00100ECC" w:rsidP="00C14EEF">
            <w:pPr>
              <w:pStyle w:val="27"/>
              <w:shd w:val="clear" w:color="auto" w:fill="auto"/>
              <w:spacing w:before="0" w:after="0" w:line="240" w:lineRule="auto"/>
              <w:ind w:left="57" w:right="57" w:firstLine="0"/>
              <w:rPr>
                <w:rFonts w:ascii="Arial" w:hAnsi="Arial" w:cs="Arial"/>
                <w:sz w:val="22"/>
                <w:szCs w:val="22"/>
              </w:rPr>
            </w:pPr>
            <w:r>
              <w:rPr>
                <w:rFonts w:ascii="Arial" w:hAnsi="Arial"/>
                <w:sz w:val="22"/>
                <w:szCs w:val="22"/>
              </w:rPr>
              <w:t>м ЄВРО</w:t>
            </w:r>
          </w:p>
        </w:tc>
        <w:tc>
          <w:tcPr>
            <w:tcW w:w="1134" w:type="dxa"/>
            <w:tcBorders>
              <w:top w:val="single" w:sz="4" w:space="0" w:color="auto"/>
              <w:left w:val="single" w:sz="4" w:space="0" w:color="auto"/>
            </w:tcBorders>
            <w:shd w:val="clear" w:color="auto" w:fill="92D050"/>
            <w:vAlign w:val="bottom"/>
          </w:tcPr>
          <w:p w:rsidR="00100ECC" w:rsidRPr="00C26B50" w:rsidRDefault="00100ECC" w:rsidP="00C14EEF">
            <w:pPr>
              <w:pStyle w:val="27"/>
              <w:shd w:val="clear" w:color="auto" w:fill="auto"/>
              <w:spacing w:before="0" w:after="0" w:line="240" w:lineRule="auto"/>
              <w:ind w:left="57" w:right="57" w:firstLine="0"/>
              <w:rPr>
                <w:rFonts w:ascii="Arial" w:hAnsi="Arial" w:cs="Arial"/>
                <w:sz w:val="22"/>
                <w:szCs w:val="22"/>
              </w:rPr>
            </w:pPr>
            <w:r>
              <w:rPr>
                <w:rFonts w:ascii="Arial" w:hAnsi="Arial"/>
                <w:sz w:val="22"/>
                <w:szCs w:val="22"/>
              </w:rPr>
              <w:t>Критичне значення (%)</w:t>
            </w:r>
          </w:p>
        </w:tc>
        <w:tc>
          <w:tcPr>
            <w:tcW w:w="1134" w:type="dxa"/>
            <w:tcBorders>
              <w:top w:val="single" w:sz="4" w:space="0" w:color="auto"/>
              <w:left w:val="single" w:sz="4" w:space="0" w:color="auto"/>
            </w:tcBorders>
            <w:shd w:val="clear" w:color="auto" w:fill="92D050"/>
            <w:vAlign w:val="bottom"/>
          </w:tcPr>
          <w:p w:rsidR="00100ECC" w:rsidRDefault="00100ECC" w:rsidP="00C14EEF">
            <w:pPr>
              <w:pStyle w:val="27"/>
              <w:shd w:val="clear" w:color="auto" w:fill="auto"/>
              <w:spacing w:before="0" w:after="0" w:line="240" w:lineRule="auto"/>
              <w:ind w:left="57" w:right="57" w:firstLine="0"/>
              <w:rPr>
                <w:rFonts w:ascii="Arial" w:hAnsi="Arial" w:cs="Arial"/>
                <w:sz w:val="22"/>
                <w:szCs w:val="22"/>
              </w:rPr>
            </w:pPr>
            <w:r>
              <w:rPr>
                <w:rFonts w:ascii="Arial" w:hAnsi="Arial"/>
                <w:sz w:val="22"/>
                <w:szCs w:val="22"/>
              </w:rPr>
              <w:t>FNPV(C)</w:t>
            </w:r>
          </w:p>
          <w:p w:rsidR="00100ECC" w:rsidRPr="00C26B50" w:rsidRDefault="00100ECC" w:rsidP="00C14EEF">
            <w:pPr>
              <w:pStyle w:val="27"/>
              <w:shd w:val="clear" w:color="auto" w:fill="auto"/>
              <w:spacing w:before="0" w:after="0" w:line="240" w:lineRule="auto"/>
              <w:ind w:left="57" w:right="57" w:firstLine="0"/>
              <w:rPr>
                <w:rFonts w:ascii="Arial" w:hAnsi="Arial" w:cs="Arial"/>
                <w:sz w:val="22"/>
                <w:szCs w:val="22"/>
              </w:rPr>
            </w:pPr>
            <w:r>
              <w:rPr>
                <w:rFonts w:ascii="Arial" w:hAnsi="Arial"/>
                <w:sz w:val="22"/>
                <w:szCs w:val="22"/>
              </w:rPr>
              <w:t>м ЄВРО</w:t>
            </w:r>
          </w:p>
        </w:tc>
        <w:tc>
          <w:tcPr>
            <w:tcW w:w="1143" w:type="dxa"/>
            <w:tcBorders>
              <w:top w:val="single" w:sz="4" w:space="0" w:color="auto"/>
              <w:left w:val="single" w:sz="4" w:space="0" w:color="auto"/>
              <w:right w:val="single" w:sz="4" w:space="0" w:color="auto"/>
            </w:tcBorders>
            <w:shd w:val="clear" w:color="auto" w:fill="92D050"/>
            <w:vAlign w:val="bottom"/>
          </w:tcPr>
          <w:p w:rsidR="00100ECC" w:rsidRPr="00C26B50" w:rsidRDefault="00100ECC" w:rsidP="00C14EEF">
            <w:pPr>
              <w:pStyle w:val="27"/>
              <w:shd w:val="clear" w:color="auto" w:fill="auto"/>
              <w:spacing w:before="0" w:after="0" w:line="240" w:lineRule="auto"/>
              <w:ind w:left="57" w:right="57" w:firstLine="0"/>
              <w:rPr>
                <w:rFonts w:ascii="Arial" w:hAnsi="Arial" w:cs="Arial"/>
                <w:sz w:val="22"/>
                <w:szCs w:val="22"/>
              </w:rPr>
            </w:pPr>
            <w:r>
              <w:rPr>
                <w:rFonts w:ascii="Arial" w:hAnsi="Arial"/>
                <w:sz w:val="22"/>
                <w:szCs w:val="22"/>
              </w:rPr>
              <w:t>Критичне значення (%)</w:t>
            </w:r>
          </w:p>
        </w:tc>
      </w:tr>
      <w:tr w:rsidR="00100ECC" w:rsidRPr="00C26B50" w:rsidTr="00084592">
        <w:trPr>
          <w:trHeight w:hRule="exact" w:val="564"/>
        </w:trPr>
        <w:tc>
          <w:tcPr>
            <w:tcW w:w="5245" w:type="dxa"/>
            <w:tcBorders>
              <w:top w:val="single" w:sz="4" w:space="0" w:color="auto"/>
              <w:left w:val="single" w:sz="4" w:space="0" w:color="auto"/>
            </w:tcBorders>
            <w:shd w:val="clear" w:color="auto" w:fill="FFFFFF"/>
            <w:vAlign w:val="center"/>
          </w:tcPr>
          <w:p w:rsidR="00100ECC" w:rsidRPr="00C26B50" w:rsidRDefault="00100ECC" w:rsidP="00C14EEF">
            <w:pPr>
              <w:pStyle w:val="27"/>
              <w:shd w:val="clear" w:color="auto" w:fill="auto"/>
              <w:spacing w:before="0" w:after="0" w:line="240" w:lineRule="auto"/>
              <w:ind w:right="57" w:firstLine="0"/>
              <w:jc w:val="left"/>
              <w:rPr>
                <w:rFonts w:ascii="Arial" w:hAnsi="Arial" w:cs="Arial"/>
                <w:sz w:val="22"/>
                <w:szCs w:val="22"/>
              </w:rPr>
            </w:pPr>
            <w:r>
              <w:rPr>
                <w:rFonts w:ascii="Arial" w:hAnsi="Arial"/>
                <w:sz w:val="22"/>
                <w:szCs w:val="22"/>
              </w:rPr>
              <w:t>Збільшення інвестиційних витрат (20%)</w:t>
            </w:r>
          </w:p>
        </w:tc>
        <w:tc>
          <w:tcPr>
            <w:tcW w:w="992" w:type="dxa"/>
            <w:tcBorders>
              <w:top w:val="single" w:sz="4" w:space="0" w:color="auto"/>
              <w:left w:val="single" w:sz="4" w:space="0" w:color="auto"/>
            </w:tcBorders>
            <w:shd w:val="clear" w:color="auto" w:fill="FFFFFF"/>
            <w:vAlign w:val="center"/>
          </w:tcPr>
          <w:p w:rsidR="00100ECC" w:rsidRPr="00384F48" w:rsidRDefault="00384F48" w:rsidP="00C14EEF">
            <w:pPr>
              <w:pStyle w:val="27"/>
              <w:shd w:val="clear" w:color="auto" w:fill="auto"/>
              <w:spacing w:before="0" w:after="0" w:line="240" w:lineRule="auto"/>
              <w:ind w:left="57" w:right="57" w:firstLine="0"/>
              <w:rPr>
                <w:rFonts w:ascii="Arial" w:hAnsi="Arial" w:cs="Arial"/>
                <w:sz w:val="22"/>
                <w:szCs w:val="22"/>
              </w:rPr>
            </w:pPr>
            <w:r>
              <w:rPr>
                <w:rFonts w:ascii="Arial" w:hAnsi="Arial"/>
                <w:sz w:val="22"/>
                <w:szCs w:val="22"/>
              </w:rPr>
              <w:t>13,34</w:t>
            </w:r>
          </w:p>
        </w:tc>
        <w:tc>
          <w:tcPr>
            <w:tcW w:w="1134" w:type="dxa"/>
            <w:tcBorders>
              <w:top w:val="single" w:sz="4" w:space="0" w:color="auto"/>
              <w:left w:val="single" w:sz="4" w:space="0" w:color="auto"/>
            </w:tcBorders>
            <w:shd w:val="clear" w:color="auto" w:fill="FFFFFF"/>
            <w:vAlign w:val="center"/>
          </w:tcPr>
          <w:p w:rsidR="00913515" w:rsidRPr="00913515" w:rsidRDefault="00B23A64" w:rsidP="00C14EEF">
            <w:pPr>
              <w:pStyle w:val="27"/>
              <w:shd w:val="clear" w:color="auto" w:fill="auto"/>
              <w:spacing w:before="0" w:after="0" w:line="240" w:lineRule="auto"/>
              <w:ind w:left="57" w:right="57" w:firstLine="0"/>
              <w:rPr>
                <w:rFonts w:ascii="Arial" w:hAnsi="Arial" w:cs="Arial"/>
                <w:sz w:val="22"/>
                <w:szCs w:val="22"/>
              </w:rPr>
            </w:pPr>
            <w:r>
              <w:rPr>
                <w:rFonts w:ascii="Arial" w:hAnsi="Arial"/>
                <w:sz w:val="22"/>
                <w:szCs w:val="22"/>
              </w:rPr>
              <w:t>157,2</w:t>
            </w:r>
          </w:p>
        </w:tc>
        <w:tc>
          <w:tcPr>
            <w:tcW w:w="1134" w:type="dxa"/>
            <w:tcBorders>
              <w:top w:val="single" w:sz="4" w:space="0" w:color="auto"/>
              <w:left w:val="single" w:sz="4" w:space="0" w:color="auto"/>
            </w:tcBorders>
            <w:shd w:val="clear" w:color="auto" w:fill="FFFFFF"/>
            <w:vAlign w:val="center"/>
          </w:tcPr>
          <w:p w:rsidR="00100ECC" w:rsidRPr="00384F48" w:rsidRDefault="00F255FF" w:rsidP="00C14EEF">
            <w:pPr>
              <w:pStyle w:val="27"/>
              <w:shd w:val="clear" w:color="auto" w:fill="auto"/>
              <w:spacing w:before="0" w:after="0" w:line="240" w:lineRule="auto"/>
              <w:ind w:left="57" w:right="57" w:firstLine="0"/>
              <w:rPr>
                <w:rFonts w:ascii="Arial" w:hAnsi="Arial" w:cs="Arial"/>
                <w:sz w:val="22"/>
                <w:szCs w:val="22"/>
              </w:rPr>
            </w:pPr>
            <w:r>
              <w:rPr>
                <w:rFonts w:ascii="Arial" w:hAnsi="Arial"/>
                <w:sz w:val="22"/>
                <w:szCs w:val="22"/>
              </w:rPr>
              <w:t>0 458</w:t>
            </w:r>
          </w:p>
        </w:tc>
        <w:tc>
          <w:tcPr>
            <w:tcW w:w="1143" w:type="dxa"/>
            <w:tcBorders>
              <w:top w:val="single" w:sz="4" w:space="0" w:color="auto"/>
              <w:left w:val="single" w:sz="4" w:space="0" w:color="auto"/>
              <w:right w:val="single" w:sz="4" w:space="0" w:color="auto"/>
            </w:tcBorders>
            <w:shd w:val="clear" w:color="auto" w:fill="FFFFFF"/>
            <w:vAlign w:val="center"/>
          </w:tcPr>
          <w:p w:rsidR="00100ECC" w:rsidRPr="00913515" w:rsidRDefault="00B23A64" w:rsidP="00C14EEF">
            <w:pPr>
              <w:pStyle w:val="27"/>
              <w:shd w:val="clear" w:color="auto" w:fill="auto"/>
              <w:spacing w:before="0" w:after="0" w:line="240" w:lineRule="auto"/>
              <w:ind w:left="57" w:right="57" w:firstLine="0"/>
              <w:rPr>
                <w:rFonts w:ascii="Arial" w:hAnsi="Arial" w:cs="Arial"/>
                <w:sz w:val="22"/>
                <w:szCs w:val="22"/>
              </w:rPr>
            </w:pPr>
            <w:r>
              <w:rPr>
                <w:rFonts w:ascii="Arial" w:hAnsi="Arial"/>
                <w:sz w:val="22"/>
                <w:szCs w:val="22"/>
              </w:rPr>
              <w:t>23,65</w:t>
            </w:r>
          </w:p>
        </w:tc>
      </w:tr>
      <w:tr w:rsidR="00100ECC" w:rsidRPr="00C26B50" w:rsidTr="002A6EDA">
        <w:trPr>
          <w:trHeight w:hRule="exact" w:val="457"/>
        </w:trPr>
        <w:tc>
          <w:tcPr>
            <w:tcW w:w="5245" w:type="dxa"/>
            <w:tcBorders>
              <w:top w:val="single" w:sz="4" w:space="0" w:color="auto"/>
              <w:left w:val="single" w:sz="4" w:space="0" w:color="auto"/>
              <w:bottom w:val="single" w:sz="4" w:space="0" w:color="auto"/>
            </w:tcBorders>
            <w:shd w:val="clear" w:color="auto" w:fill="FFFFFF"/>
            <w:vAlign w:val="center"/>
          </w:tcPr>
          <w:p w:rsidR="00100ECC" w:rsidRPr="002A6EDA" w:rsidRDefault="00100ECC" w:rsidP="00C14EEF">
            <w:pPr>
              <w:pStyle w:val="27"/>
              <w:shd w:val="clear" w:color="auto" w:fill="auto"/>
              <w:spacing w:before="0" w:after="0" w:line="240" w:lineRule="auto"/>
              <w:ind w:right="57" w:firstLine="0"/>
              <w:jc w:val="left"/>
              <w:rPr>
                <w:rFonts w:ascii="Arial" w:hAnsi="Arial" w:cs="Arial"/>
                <w:sz w:val="22"/>
                <w:szCs w:val="22"/>
              </w:rPr>
            </w:pPr>
            <w:r>
              <w:rPr>
                <w:rFonts w:ascii="Arial" w:hAnsi="Arial"/>
                <w:sz w:val="22"/>
                <w:szCs w:val="22"/>
              </w:rPr>
              <w:t xml:space="preserve">Зменшення оцінених економічних </w:t>
            </w:r>
            <w:r w:rsidR="00CB1B48">
              <w:rPr>
                <w:rFonts w:ascii="Arial" w:hAnsi="Arial"/>
                <w:sz w:val="22"/>
                <w:szCs w:val="22"/>
              </w:rPr>
              <w:t xml:space="preserve">вигід </w:t>
            </w:r>
            <w:r>
              <w:rPr>
                <w:rFonts w:ascii="Arial" w:hAnsi="Arial"/>
                <w:sz w:val="22"/>
                <w:szCs w:val="22"/>
              </w:rPr>
              <w:t>(20%)</w:t>
            </w:r>
          </w:p>
        </w:tc>
        <w:tc>
          <w:tcPr>
            <w:tcW w:w="992" w:type="dxa"/>
            <w:tcBorders>
              <w:top w:val="single" w:sz="4" w:space="0" w:color="auto"/>
              <w:left w:val="single" w:sz="4" w:space="0" w:color="auto"/>
              <w:bottom w:val="single" w:sz="4" w:space="0" w:color="auto"/>
            </w:tcBorders>
            <w:shd w:val="clear" w:color="auto" w:fill="FFFFFF"/>
            <w:vAlign w:val="center"/>
          </w:tcPr>
          <w:p w:rsidR="00100ECC" w:rsidRPr="003B455B" w:rsidRDefault="00136DD8" w:rsidP="00C14EEF">
            <w:pPr>
              <w:pStyle w:val="27"/>
              <w:shd w:val="clear" w:color="auto" w:fill="auto"/>
              <w:spacing w:before="0" w:after="0" w:line="240" w:lineRule="auto"/>
              <w:ind w:left="57" w:right="57" w:firstLine="0"/>
              <w:rPr>
                <w:rFonts w:ascii="Arial" w:hAnsi="Arial" w:cs="Arial"/>
                <w:sz w:val="22"/>
                <w:szCs w:val="22"/>
              </w:rPr>
            </w:pPr>
            <w:r>
              <w:rPr>
                <w:rFonts w:ascii="Arial" w:hAnsi="Arial"/>
                <w:sz w:val="22"/>
                <w:szCs w:val="22"/>
              </w:rPr>
              <w:t>9,68</w:t>
            </w:r>
          </w:p>
        </w:tc>
        <w:tc>
          <w:tcPr>
            <w:tcW w:w="1134" w:type="dxa"/>
            <w:tcBorders>
              <w:top w:val="single" w:sz="4" w:space="0" w:color="auto"/>
              <w:left w:val="single" w:sz="4" w:space="0" w:color="auto"/>
              <w:bottom w:val="single" w:sz="4" w:space="0" w:color="auto"/>
            </w:tcBorders>
            <w:shd w:val="clear" w:color="auto" w:fill="FFFFFF"/>
            <w:vAlign w:val="center"/>
          </w:tcPr>
          <w:p w:rsidR="00100ECC" w:rsidRPr="003B455B" w:rsidRDefault="00C35548" w:rsidP="00C14EEF">
            <w:pPr>
              <w:pStyle w:val="27"/>
              <w:shd w:val="clear" w:color="auto" w:fill="auto"/>
              <w:spacing w:before="0" w:after="0" w:line="240" w:lineRule="auto"/>
              <w:ind w:left="57" w:right="57" w:firstLine="0"/>
              <w:rPr>
                <w:rFonts w:ascii="Arial" w:hAnsi="Arial" w:cs="Arial"/>
                <w:sz w:val="22"/>
                <w:szCs w:val="22"/>
              </w:rPr>
            </w:pPr>
            <w:r>
              <w:rPr>
                <w:rFonts w:ascii="Arial" w:hAnsi="Arial"/>
                <w:sz w:val="22"/>
                <w:szCs w:val="22"/>
              </w:rPr>
              <w:t>55</w:t>
            </w:r>
          </w:p>
        </w:tc>
        <w:tc>
          <w:tcPr>
            <w:tcW w:w="1134" w:type="dxa"/>
            <w:tcBorders>
              <w:top w:val="single" w:sz="4" w:space="0" w:color="auto"/>
              <w:left w:val="single" w:sz="4" w:space="0" w:color="auto"/>
              <w:bottom w:val="single" w:sz="4" w:space="0" w:color="auto"/>
            </w:tcBorders>
            <w:shd w:val="clear" w:color="auto" w:fill="FFFFFF"/>
            <w:vAlign w:val="center"/>
          </w:tcPr>
          <w:p w:rsidR="00100ECC" w:rsidRPr="00C26B50" w:rsidRDefault="00100ECC" w:rsidP="00C14EEF">
            <w:pPr>
              <w:pStyle w:val="27"/>
              <w:shd w:val="clear" w:color="auto" w:fill="auto"/>
              <w:spacing w:before="0" w:after="0" w:line="240" w:lineRule="auto"/>
              <w:ind w:left="57" w:right="57" w:firstLine="0"/>
              <w:rPr>
                <w:rFonts w:ascii="Arial" w:hAnsi="Arial" w:cs="Arial"/>
                <w:sz w:val="22"/>
                <w:szCs w:val="22"/>
              </w:rPr>
            </w:pPr>
            <w:r>
              <w:rPr>
                <w:rFonts w:ascii="Arial" w:hAnsi="Arial"/>
                <w:sz w:val="22"/>
                <w:szCs w:val="22"/>
              </w:rPr>
              <w:t>-</w:t>
            </w:r>
          </w:p>
        </w:tc>
        <w:tc>
          <w:tcPr>
            <w:tcW w:w="1143" w:type="dxa"/>
            <w:tcBorders>
              <w:top w:val="single" w:sz="4" w:space="0" w:color="auto"/>
              <w:left w:val="single" w:sz="4" w:space="0" w:color="auto"/>
              <w:bottom w:val="single" w:sz="4" w:space="0" w:color="auto"/>
              <w:right w:val="single" w:sz="4" w:space="0" w:color="auto"/>
            </w:tcBorders>
            <w:shd w:val="clear" w:color="auto" w:fill="FFFFFF"/>
            <w:vAlign w:val="center"/>
          </w:tcPr>
          <w:p w:rsidR="00100ECC" w:rsidRPr="00C26B50" w:rsidRDefault="00100ECC" w:rsidP="00C14EEF">
            <w:pPr>
              <w:pStyle w:val="27"/>
              <w:shd w:val="clear" w:color="auto" w:fill="auto"/>
              <w:spacing w:before="0" w:after="0" w:line="240" w:lineRule="auto"/>
              <w:ind w:left="57" w:right="57" w:firstLine="0"/>
              <w:rPr>
                <w:rFonts w:ascii="Arial" w:hAnsi="Arial" w:cs="Arial"/>
                <w:sz w:val="22"/>
                <w:szCs w:val="22"/>
              </w:rPr>
            </w:pPr>
            <w:r>
              <w:rPr>
                <w:rFonts w:ascii="Arial" w:hAnsi="Arial"/>
                <w:sz w:val="22"/>
                <w:szCs w:val="22"/>
              </w:rPr>
              <w:t>-</w:t>
            </w:r>
          </w:p>
        </w:tc>
      </w:tr>
      <w:tr w:rsidR="003B455B" w:rsidRPr="00C26B50" w:rsidTr="005904FB">
        <w:trPr>
          <w:trHeight w:hRule="exact" w:val="595"/>
        </w:trPr>
        <w:tc>
          <w:tcPr>
            <w:tcW w:w="5245" w:type="dxa"/>
            <w:tcBorders>
              <w:top w:val="single" w:sz="4" w:space="0" w:color="auto"/>
              <w:left w:val="single" w:sz="4" w:space="0" w:color="auto"/>
              <w:bottom w:val="single" w:sz="4" w:space="0" w:color="auto"/>
            </w:tcBorders>
            <w:shd w:val="clear" w:color="auto" w:fill="FFFFFF"/>
            <w:vAlign w:val="center"/>
          </w:tcPr>
          <w:p w:rsidR="003B455B" w:rsidRPr="00C26B50" w:rsidRDefault="003B455B" w:rsidP="00C14EEF">
            <w:pPr>
              <w:pStyle w:val="27"/>
              <w:shd w:val="clear" w:color="auto" w:fill="auto"/>
              <w:spacing w:before="0" w:after="0" w:line="240" w:lineRule="auto"/>
              <w:ind w:right="57" w:firstLine="0"/>
              <w:jc w:val="left"/>
              <w:rPr>
                <w:rFonts w:ascii="Arial" w:hAnsi="Arial" w:cs="Arial"/>
                <w:sz w:val="22"/>
                <w:szCs w:val="22"/>
              </w:rPr>
            </w:pPr>
            <w:r>
              <w:rPr>
                <w:rFonts w:ascii="Arial" w:hAnsi="Arial"/>
                <w:sz w:val="22"/>
                <w:szCs w:val="22"/>
              </w:rPr>
              <w:t>Зменшення вхідних грошових потоків, отриманих за Проектом (20%)</w:t>
            </w:r>
          </w:p>
        </w:tc>
        <w:tc>
          <w:tcPr>
            <w:tcW w:w="992" w:type="dxa"/>
            <w:tcBorders>
              <w:top w:val="single" w:sz="4" w:space="0" w:color="auto"/>
              <w:left w:val="single" w:sz="4" w:space="0" w:color="auto"/>
              <w:bottom w:val="single" w:sz="4" w:space="0" w:color="auto"/>
            </w:tcBorders>
            <w:shd w:val="clear" w:color="auto" w:fill="FFFFFF"/>
            <w:vAlign w:val="center"/>
          </w:tcPr>
          <w:p w:rsidR="003B455B" w:rsidRPr="00C26B50" w:rsidRDefault="003B455B" w:rsidP="00C14EEF">
            <w:pPr>
              <w:pStyle w:val="27"/>
              <w:shd w:val="clear" w:color="auto" w:fill="auto"/>
              <w:spacing w:before="0" w:after="0" w:line="240" w:lineRule="auto"/>
              <w:ind w:left="57" w:right="57" w:firstLine="0"/>
              <w:rPr>
                <w:rFonts w:ascii="Arial" w:hAnsi="Arial" w:cs="Arial"/>
                <w:sz w:val="22"/>
                <w:szCs w:val="22"/>
              </w:rPr>
            </w:pPr>
            <w:r>
              <w:rPr>
                <w:rFonts w:ascii="Arial" w:hAnsi="Arial"/>
                <w:sz w:val="22"/>
                <w:szCs w:val="22"/>
              </w:rPr>
              <w:t>-</w:t>
            </w:r>
          </w:p>
        </w:tc>
        <w:tc>
          <w:tcPr>
            <w:tcW w:w="1134" w:type="dxa"/>
            <w:tcBorders>
              <w:top w:val="single" w:sz="4" w:space="0" w:color="auto"/>
              <w:left w:val="single" w:sz="4" w:space="0" w:color="auto"/>
              <w:bottom w:val="single" w:sz="4" w:space="0" w:color="auto"/>
            </w:tcBorders>
            <w:shd w:val="clear" w:color="auto" w:fill="FFFFFF"/>
            <w:vAlign w:val="center"/>
          </w:tcPr>
          <w:p w:rsidR="003B455B" w:rsidRPr="00C26B50" w:rsidRDefault="003B455B" w:rsidP="00C14EEF">
            <w:pPr>
              <w:pStyle w:val="27"/>
              <w:shd w:val="clear" w:color="auto" w:fill="auto"/>
              <w:spacing w:before="0" w:after="0" w:line="240" w:lineRule="auto"/>
              <w:ind w:left="57" w:right="57" w:firstLine="0"/>
              <w:rPr>
                <w:rFonts w:ascii="Arial" w:hAnsi="Arial" w:cs="Arial"/>
                <w:sz w:val="22"/>
                <w:szCs w:val="22"/>
              </w:rPr>
            </w:pPr>
            <w:r>
              <w:rPr>
                <w:rFonts w:ascii="Arial" w:hAnsi="Arial"/>
                <w:sz w:val="22"/>
                <w:szCs w:val="22"/>
              </w:rPr>
              <w:t>-</w:t>
            </w:r>
          </w:p>
        </w:tc>
        <w:tc>
          <w:tcPr>
            <w:tcW w:w="1134" w:type="dxa"/>
            <w:tcBorders>
              <w:top w:val="single" w:sz="4" w:space="0" w:color="auto"/>
              <w:left w:val="single" w:sz="4" w:space="0" w:color="auto"/>
              <w:bottom w:val="single" w:sz="4" w:space="0" w:color="auto"/>
            </w:tcBorders>
            <w:shd w:val="clear" w:color="auto" w:fill="FFFFFF"/>
            <w:vAlign w:val="center"/>
          </w:tcPr>
          <w:p w:rsidR="003B455B" w:rsidRPr="003B455B" w:rsidRDefault="00C35548" w:rsidP="00C14EEF">
            <w:pPr>
              <w:pStyle w:val="27"/>
              <w:shd w:val="clear" w:color="auto" w:fill="auto"/>
              <w:spacing w:before="0" w:after="0" w:line="240" w:lineRule="auto"/>
              <w:ind w:left="57" w:right="57" w:firstLine="0"/>
              <w:rPr>
                <w:rFonts w:ascii="Arial" w:hAnsi="Arial" w:cs="Arial"/>
                <w:sz w:val="22"/>
                <w:szCs w:val="22"/>
                <w:highlight w:val="yellow"/>
              </w:rPr>
            </w:pPr>
            <w:r>
              <w:rPr>
                <w:rFonts w:ascii="Arial" w:hAnsi="Arial"/>
                <w:sz w:val="22"/>
                <w:szCs w:val="22"/>
              </w:rPr>
              <w:t>-0 544</w:t>
            </w:r>
          </w:p>
        </w:tc>
        <w:tc>
          <w:tcPr>
            <w:tcW w:w="1143" w:type="dxa"/>
            <w:tcBorders>
              <w:top w:val="single" w:sz="4" w:space="0" w:color="auto"/>
              <w:left w:val="single" w:sz="4" w:space="0" w:color="auto"/>
              <w:bottom w:val="single" w:sz="4" w:space="0" w:color="auto"/>
              <w:right w:val="single" w:sz="4" w:space="0" w:color="auto"/>
            </w:tcBorders>
            <w:shd w:val="clear" w:color="auto" w:fill="FFFFFF"/>
            <w:vAlign w:val="center"/>
          </w:tcPr>
          <w:p w:rsidR="003B455B" w:rsidRPr="003B455B" w:rsidRDefault="006C0C67" w:rsidP="00C14EEF">
            <w:pPr>
              <w:pStyle w:val="27"/>
              <w:shd w:val="clear" w:color="auto" w:fill="auto"/>
              <w:spacing w:before="0" w:after="0" w:line="240" w:lineRule="auto"/>
              <w:ind w:left="57" w:right="57" w:firstLine="0"/>
              <w:rPr>
                <w:rFonts w:ascii="Arial" w:hAnsi="Arial" w:cs="Arial"/>
                <w:sz w:val="22"/>
                <w:szCs w:val="22"/>
                <w:highlight w:val="yellow"/>
              </w:rPr>
            </w:pPr>
            <w:r>
              <w:rPr>
                <w:rFonts w:ascii="Arial" w:hAnsi="Arial"/>
                <w:sz w:val="22"/>
                <w:szCs w:val="22"/>
              </w:rPr>
              <w:t>17,2</w:t>
            </w:r>
          </w:p>
        </w:tc>
      </w:tr>
    </w:tbl>
    <w:p w:rsidR="00100ECC" w:rsidRPr="007833FB" w:rsidRDefault="00100ECC" w:rsidP="00C14EEF">
      <w:pPr>
        <w:rPr>
          <w:rFonts w:ascii="Arial" w:hAnsi="Arial" w:cs="Arial"/>
          <w:szCs w:val="22"/>
          <w:lang w:val="en-US" w:bidi="en-US"/>
        </w:rPr>
      </w:pPr>
    </w:p>
    <w:p w:rsidR="00100ECC" w:rsidRPr="00C35548" w:rsidRDefault="00100ECC" w:rsidP="00C14EEF">
      <w:pPr>
        <w:rPr>
          <w:rFonts w:ascii="Arial" w:hAnsi="Arial" w:cs="Arial"/>
          <w:b/>
          <w:szCs w:val="22"/>
        </w:rPr>
      </w:pPr>
      <w:r>
        <w:rPr>
          <w:rStyle w:val="16"/>
          <w:rFonts w:ascii="Arial" w:hAnsi="Arial"/>
          <w:b w:val="0"/>
          <w:sz w:val="22"/>
          <w:szCs w:val="22"/>
        </w:rPr>
        <w:t xml:space="preserve">Аналіз чутливості демонструє, що в економічному аналізі збільшення інвестиційних витрат та зменшення оцінки економічних </w:t>
      </w:r>
      <w:r w:rsidR="00CB1B48">
        <w:rPr>
          <w:rStyle w:val="16"/>
          <w:rFonts w:ascii="Arial" w:hAnsi="Arial"/>
          <w:b w:val="0"/>
          <w:sz w:val="22"/>
          <w:szCs w:val="22"/>
        </w:rPr>
        <w:t xml:space="preserve">вигід </w:t>
      </w:r>
      <w:r>
        <w:rPr>
          <w:rStyle w:val="16"/>
          <w:rFonts w:ascii="Arial" w:hAnsi="Arial"/>
          <w:b w:val="0"/>
          <w:sz w:val="22"/>
          <w:szCs w:val="22"/>
        </w:rPr>
        <w:t xml:space="preserve">- не критичні змінні. </w:t>
      </w:r>
      <w:r>
        <w:rPr>
          <w:rStyle w:val="16"/>
          <w:rFonts w:ascii="Arial" w:hAnsi="Arial"/>
          <w:sz w:val="22"/>
          <w:szCs w:val="22"/>
        </w:rPr>
        <w:t xml:space="preserve">Відповідні критичні значення для зниження ENPV до нуля показані як збільшення інвестиційних витрат на 157,7% та зменшення оцінених </w:t>
      </w:r>
      <w:r w:rsidR="00CB1B48">
        <w:rPr>
          <w:rStyle w:val="16"/>
          <w:rFonts w:ascii="Arial" w:hAnsi="Arial"/>
          <w:sz w:val="22"/>
          <w:szCs w:val="22"/>
        </w:rPr>
        <w:t xml:space="preserve">вигід </w:t>
      </w:r>
      <w:r>
        <w:rPr>
          <w:rStyle w:val="16"/>
          <w:rFonts w:ascii="Arial" w:hAnsi="Arial"/>
          <w:sz w:val="22"/>
          <w:szCs w:val="22"/>
        </w:rPr>
        <w:t>на 55,00%.</w:t>
      </w:r>
      <w:r>
        <w:rPr>
          <w:rStyle w:val="16"/>
          <w:rFonts w:ascii="Arial" w:hAnsi="Arial"/>
          <w:b w:val="0"/>
          <w:sz w:val="22"/>
          <w:szCs w:val="22"/>
        </w:rPr>
        <w:t xml:space="preserve"> </w:t>
      </w:r>
    </w:p>
    <w:p w:rsidR="00CF166B" w:rsidRPr="00C35548" w:rsidRDefault="00CF166B" w:rsidP="00C14EEF">
      <w:pPr>
        <w:rPr>
          <w:rStyle w:val="16"/>
          <w:rFonts w:ascii="Arial" w:hAnsi="Arial" w:cs="Arial"/>
          <w:b w:val="0"/>
          <w:sz w:val="22"/>
          <w:szCs w:val="22"/>
        </w:rPr>
      </w:pPr>
      <w:r>
        <w:rPr>
          <w:rStyle w:val="16"/>
          <w:rFonts w:ascii="Arial" w:hAnsi="Arial"/>
          <w:b w:val="0"/>
          <w:sz w:val="22"/>
          <w:szCs w:val="22"/>
        </w:rPr>
        <w:t xml:space="preserve">Щодо фінансового аналізу, збільшення інвестиційних витрат або зменшення грошового потоку, отриманого за проектом, розглядаються як критичні. </w:t>
      </w:r>
      <w:r>
        <w:rPr>
          <w:rStyle w:val="16"/>
          <w:rFonts w:ascii="Arial" w:hAnsi="Arial"/>
          <w:sz w:val="22"/>
          <w:szCs w:val="22"/>
        </w:rPr>
        <w:t>Зменшення отриманого за проектом грошового потоку на 20% призведе до того, що</w:t>
      </w:r>
      <w:r w:rsidR="00CB1B48">
        <w:rPr>
          <w:rStyle w:val="16"/>
          <w:rFonts w:ascii="Arial" w:hAnsi="Arial"/>
          <w:sz w:val="22"/>
          <w:szCs w:val="22"/>
        </w:rPr>
        <w:t xml:space="preserve"> </w:t>
      </w:r>
      <w:r>
        <w:rPr>
          <w:rStyle w:val="16"/>
          <w:rFonts w:ascii="Arial" w:hAnsi="Arial"/>
          <w:sz w:val="22"/>
          <w:szCs w:val="22"/>
        </w:rPr>
        <w:t>FNPV(C) складе -0 544 млн. Євро, а збільшення інвестиційних витрат на 20% призведе до того, що FNPV (C) складе 0 458 млн. Євро.</w:t>
      </w:r>
    </w:p>
    <w:p w:rsidR="00CF166B" w:rsidRPr="00CF166B" w:rsidRDefault="00CF166B" w:rsidP="00C14EEF">
      <w:pPr>
        <w:rPr>
          <w:rStyle w:val="16"/>
          <w:rFonts w:ascii="Arial" w:hAnsi="Arial" w:cs="Arial"/>
          <w:b w:val="0"/>
          <w:sz w:val="22"/>
          <w:szCs w:val="22"/>
        </w:rPr>
      </w:pPr>
      <w:r>
        <w:rPr>
          <w:rStyle w:val="16"/>
          <w:rFonts w:ascii="Arial" w:hAnsi="Arial"/>
          <w:b w:val="0"/>
          <w:sz w:val="22"/>
          <w:szCs w:val="22"/>
        </w:rPr>
        <w:t>Крім того, можна було б врахувати такі два фактори, як підвищення банківських відсотків та обмінного курсу.</w:t>
      </w:r>
      <w:r w:rsidR="00CB1B48">
        <w:rPr>
          <w:rStyle w:val="16"/>
          <w:rFonts w:ascii="Arial" w:hAnsi="Arial"/>
          <w:b w:val="0"/>
          <w:sz w:val="22"/>
          <w:szCs w:val="22"/>
        </w:rPr>
        <w:t xml:space="preserve"> </w:t>
      </w:r>
      <w:r>
        <w:rPr>
          <w:rStyle w:val="16"/>
          <w:rFonts w:ascii="Arial" w:hAnsi="Arial"/>
          <w:b w:val="0"/>
          <w:sz w:val="22"/>
          <w:szCs w:val="22"/>
        </w:rPr>
        <w:t>Підвищення банківських відсотків слід розглядати здебільшого з точки зору впливу на доступність тарифів, оскільки банківські відсотки будуть безпосередньо включені до тарифу нижче рядка бюджету Фінансові витрати.</w:t>
      </w:r>
      <w:r w:rsidR="00CB1B48">
        <w:rPr>
          <w:rStyle w:val="16"/>
          <w:rFonts w:ascii="Arial" w:hAnsi="Arial"/>
          <w:b w:val="0"/>
          <w:sz w:val="22"/>
          <w:szCs w:val="22"/>
        </w:rPr>
        <w:t xml:space="preserve"> </w:t>
      </w:r>
      <w:r>
        <w:rPr>
          <w:rStyle w:val="16"/>
          <w:rFonts w:ascii="Arial" w:hAnsi="Arial"/>
          <w:b w:val="0"/>
          <w:sz w:val="22"/>
          <w:szCs w:val="22"/>
        </w:rPr>
        <w:t>Згідно з підрахунками Консультанта, збільшення ставки за позикою ЄІБ навіть на 50%,</w:t>
      </w:r>
      <w:r w:rsidR="005904FB">
        <w:rPr>
          <w:rStyle w:val="16"/>
          <w:rFonts w:ascii="Arial" w:hAnsi="Arial"/>
          <w:b w:val="0"/>
          <w:sz w:val="22"/>
          <w:szCs w:val="22"/>
        </w:rPr>
        <w:t xml:space="preserve"> </w:t>
      </w:r>
      <w:r>
        <w:rPr>
          <w:rStyle w:val="16"/>
          <w:rFonts w:ascii="Arial" w:hAnsi="Arial"/>
          <w:b w:val="0"/>
          <w:sz w:val="22"/>
          <w:szCs w:val="22"/>
        </w:rPr>
        <w:t xml:space="preserve">не </w:t>
      </w:r>
      <w:r w:rsidR="005904FB">
        <w:rPr>
          <w:rStyle w:val="16"/>
          <w:rFonts w:ascii="Arial" w:hAnsi="Arial"/>
          <w:b w:val="0"/>
          <w:sz w:val="22"/>
          <w:szCs w:val="22"/>
        </w:rPr>
        <w:t xml:space="preserve">матиме </w:t>
      </w:r>
      <w:r>
        <w:rPr>
          <w:rStyle w:val="16"/>
          <w:rFonts w:ascii="Arial" w:hAnsi="Arial"/>
          <w:b w:val="0"/>
          <w:sz w:val="22"/>
          <w:szCs w:val="22"/>
        </w:rPr>
        <w:t>негативно</w:t>
      </w:r>
      <w:r w:rsidR="005904FB">
        <w:rPr>
          <w:rStyle w:val="16"/>
          <w:rFonts w:ascii="Arial" w:hAnsi="Arial"/>
          <w:b w:val="0"/>
          <w:sz w:val="22"/>
          <w:szCs w:val="22"/>
        </w:rPr>
        <w:t>го впливу</w:t>
      </w:r>
      <w:r>
        <w:rPr>
          <w:rStyle w:val="16"/>
          <w:rFonts w:ascii="Arial" w:hAnsi="Arial"/>
          <w:b w:val="0"/>
          <w:sz w:val="22"/>
          <w:szCs w:val="22"/>
        </w:rPr>
        <w:t xml:space="preserve"> на показник доступності тарифів - він залишатиметься в межах 4% від прийнятного рівня доступності тарифів. </w:t>
      </w:r>
    </w:p>
    <w:p w:rsidR="00100ECC" w:rsidRPr="00D831B7" w:rsidRDefault="00CF166B" w:rsidP="00C14EEF">
      <w:pPr>
        <w:rPr>
          <w:rStyle w:val="16"/>
          <w:rFonts w:ascii="Arial" w:hAnsi="Arial" w:cs="Arial"/>
          <w:b w:val="0"/>
          <w:sz w:val="22"/>
          <w:szCs w:val="22"/>
        </w:rPr>
      </w:pPr>
      <w:r>
        <w:rPr>
          <w:rStyle w:val="16"/>
          <w:rFonts w:ascii="Arial" w:hAnsi="Arial"/>
          <w:b w:val="0"/>
          <w:sz w:val="22"/>
          <w:szCs w:val="22"/>
        </w:rPr>
        <w:t xml:space="preserve">Ті ж результати демонструють модулювання коефіцієнту росту курсу валют - навіть збільшення вдвічі не бути мати значного негативного впливу на доступність тарифів. </w:t>
      </w:r>
    </w:p>
    <w:p w:rsidR="00100ECC" w:rsidRPr="003B455B" w:rsidRDefault="00100ECC" w:rsidP="00C14EEF">
      <w:pPr>
        <w:rPr>
          <w:rFonts w:ascii="Arial" w:eastAsia="Calibri" w:hAnsi="Arial" w:cs="Arial"/>
          <w:bCs/>
          <w:color w:val="000000"/>
          <w:szCs w:val="22"/>
        </w:rPr>
      </w:pPr>
      <w:r>
        <w:rPr>
          <w:rStyle w:val="16"/>
          <w:rFonts w:ascii="Arial" w:hAnsi="Arial"/>
          <w:b w:val="0"/>
          <w:sz w:val="22"/>
          <w:szCs w:val="22"/>
        </w:rPr>
        <w:t xml:space="preserve">Однак слід зазначити, що будь-які змінні, які могли б негативно вплинути на проект, можуть бути компенсовані коригуванням тарифів (до розумного рівня доступності). </w:t>
      </w:r>
    </w:p>
    <w:p w:rsidR="00100ECC" w:rsidRPr="007833FB" w:rsidRDefault="00100ECC" w:rsidP="00C14EEF">
      <w:pPr>
        <w:rPr>
          <w:rFonts w:ascii="Arial" w:hAnsi="Arial" w:cs="Arial"/>
          <w:szCs w:val="22"/>
          <w:lang w:val="en-US" w:bidi="en-US"/>
        </w:rPr>
      </w:pPr>
    </w:p>
    <w:p w:rsidR="00100ECC" w:rsidRPr="003E51E9" w:rsidRDefault="00100ECC" w:rsidP="00C14EEF">
      <w:pPr>
        <w:pStyle w:val="30"/>
        <w:spacing w:before="0" w:after="0"/>
        <w:contextualSpacing w:val="0"/>
      </w:pPr>
      <w:bookmarkStart w:id="195" w:name="_Toc24616736"/>
      <w:bookmarkStart w:id="196" w:name="_Toc24971893"/>
      <w:bookmarkStart w:id="197" w:name="_Toc30518442"/>
      <w:bookmarkStart w:id="198" w:name="_Toc31959657"/>
      <w:bookmarkStart w:id="199" w:name="_Toc43816078"/>
      <w:bookmarkStart w:id="200" w:name="_Toc48392564"/>
      <w:r>
        <w:t>Аналіз ризиків</w:t>
      </w:r>
      <w:bookmarkEnd w:id="195"/>
      <w:bookmarkEnd w:id="196"/>
      <w:bookmarkEnd w:id="197"/>
      <w:bookmarkEnd w:id="198"/>
      <w:bookmarkEnd w:id="199"/>
      <w:bookmarkEnd w:id="200"/>
    </w:p>
    <w:p w:rsidR="00100ECC" w:rsidRPr="00917CC7" w:rsidRDefault="00100ECC" w:rsidP="00C14EEF">
      <w:pPr>
        <w:rPr>
          <w:rFonts w:ascii="Arial" w:hAnsi="Arial" w:cs="Arial"/>
        </w:rPr>
      </w:pPr>
      <w:r>
        <w:rPr>
          <w:rFonts w:ascii="Arial" w:hAnsi="Arial"/>
        </w:rPr>
        <w:t>Виходячи з результатів представленого вище аналізу та обговорень з КП Луцькводоканал, а також з урахуванням невизначеност</w:t>
      </w:r>
      <w:r w:rsidR="00BF4AE7">
        <w:rPr>
          <w:rFonts w:ascii="Arial" w:hAnsi="Arial"/>
        </w:rPr>
        <w:t>і</w:t>
      </w:r>
      <w:r>
        <w:rPr>
          <w:rFonts w:ascii="Arial" w:hAnsi="Arial"/>
        </w:rPr>
        <w:t xml:space="preserve"> за аспектами, що не зазначені у розрахунках АВВ, бул</w:t>
      </w:r>
      <w:r w:rsidR="005904FB">
        <w:rPr>
          <w:rFonts w:ascii="Arial" w:hAnsi="Arial"/>
        </w:rPr>
        <w:t>а</w:t>
      </w:r>
      <w:r>
        <w:rPr>
          <w:rFonts w:ascii="Arial" w:hAnsi="Arial"/>
        </w:rPr>
        <w:t xml:space="preserve"> підготован</w:t>
      </w:r>
      <w:r w:rsidR="005904FB">
        <w:rPr>
          <w:rFonts w:ascii="Arial" w:hAnsi="Arial"/>
        </w:rPr>
        <w:t>а</w:t>
      </w:r>
      <w:r>
        <w:rPr>
          <w:rFonts w:ascii="Arial" w:hAnsi="Arial"/>
        </w:rPr>
        <w:t xml:space="preserve"> матриця ризиків задля визначення можливих заходів щодо запобігання та усунення ризиків.</w:t>
      </w:r>
      <w:r w:rsidR="00CB1B48">
        <w:rPr>
          <w:rFonts w:ascii="Arial" w:hAnsi="Arial"/>
        </w:rPr>
        <w:t xml:space="preserve"> </w:t>
      </w:r>
      <w:r>
        <w:rPr>
          <w:rFonts w:ascii="Arial" w:hAnsi="Arial"/>
        </w:rPr>
        <w:t xml:space="preserve">Крім того, Консультант використав свій особистий досвід відносно потенційних ризиків для успішної реалізації інвестиційного проекту з водопостачання в Україні (той самий інвестиційний проект для МКП </w:t>
      </w:r>
      <w:proofErr w:type="spellStart"/>
      <w:r>
        <w:rPr>
          <w:rFonts w:ascii="Arial" w:hAnsi="Arial"/>
        </w:rPr>
        <w:t>Миколаївводоканал</w:t>
      </w:r>
      <w:proofErr w:type="spellEnd"/>
      <w:r>
        <w:rPr>
          <w:rFonts w:ascii="Arial" w:hAnsi="Arial"/>
        </w:rPr>
        <w:t>)</w:t>
      </w:r>
      <w:r w:rsidR="005904FB">
        <w:rPr>
          <w:rFonts w:ascii="Arial" w:hAnsi="Arial"/>
        </w:rPr>
        <w:t>.</w:t>
      </w:r>
    </w:p>
    <w:p w:rsidR="00100ECC" w:rsidRPr="00917CC7" w:rsidRDefault="00100ECC" w:rsidP="00C14EEF">
      <w:pPr>
        <w:rPr>
          <w:rFonts w:ascii="Arial" w:hAnsi="Arial" w:cs="Arial"/>
          <w:lang w:val="en-US" w:bidi="en-US"/>
        </w:rPr>
      </w:pPr>
    </w:p>
    <w:p w:rsidR="00100ECC" w:rsidRPr="00120722" w:rsidRDefault="00100ECC" w:rsidP="00C14EEF">
      <w:pPr>
        <w:rPr>
          <w:rFonts w:ascii="Arial" w:hAnsi="Arial" w:cs="Arial"/>
        </w:rPr>
      </w:pPr>
      <w:r>
        <w:rPr>
          <w:rFonts w:ascii="Arial" w:hAnsi="Arial"/>
        </w:rPr>
        <w:t>Аналіз ризиків демонструє низькі ризики для успішної реалізації проекту через заходи, передбачені для запобігання виникненню</w:t>
      </w:r>
      <w:r w:rsidR="005904FB">
        <w:rPr>
          <w:rFonts w:ascii="Arial" w:hAnsi="Arial"/>
        </w:rPr>
        <w:t xml:space="preserve"> визначених</w:t>
      </w:r>
      <w:r>
        <w:rPr>
          <w:rFonts w:ascii="Arial" w:hAnsi="Arial"/>
        </w:rPr>
        <w:t xml:space="preserve"> ризиків та</w:t>
      </w:r>
      <w:r w:rsidR="00BF4AE7">
        <w:rPr>
          <w:rFonts w:ascii="Arial" w:hAnsi="Arial"/>
        </w:rPr>
        <w:t>/</w:t>
      </w:r>
      <w:r>
        <w:rPr>
          <w:rFonts w:ascii="Arial" w:hAnsi="Arial"/>
        </w:rPr>
        <w:t>або для зменшення їхнього несприятливого впливу, у разі виникнення.</w:t>
      </w:r>
    </w:p>
    <w:p w:rsidR="00100ECC" w:rsidRPr="00A92D91" w:rsidRDefault="00100ECC" w:rsidP="00C14EEF">
      <w:pPr>
        <w:rPr>
          <w:rFonts w:ascii="Arial" w:hAnsi="Arial" w:cs="Arial"/>
          <w:highlight w:val="yellow"/>
          <w:lang w:val="en-US" w:bidi="en-US"/>
        </w:rPr>
      </w:pPr>
    </w:p>
    <w:p w:rsidR="00100ECC" w:rsidRDefault="00100ECC" w:rsidP="00C14EEF">
      <w:pPr>
        <w:rPr>
          <w:rFonts w:ascii="Arial" w:hAnsi="Arial" w:cs="Arial"/>
        </w:rPr>
      </w:pPr>
      <w:r>
        <w:rPr>
          <w:rFonts w:ascii="Arial" w:hAnsi="Arial"/>
        </w:rPr>
        <w:t>Також цілком прийнятним є загальний рівень ризиків. Тож, можна зробит</w:t>
      </w:r>
      <w:r w:rsidR="005904FB">
        <w:rPr>
          <w:rFonts w:ascii="Arial" w:hAnsi="Arial"/>
        </w:rPr>
        <w:t>и висновок, що ймовірність того</w:t>
      </w:r>
      <w:r>
        <w:rPr>
          <w:rFonts w:ascii="Arial" w:hAnsi="Arial"/>
        </w:rPr>
        <w:t xml:space="preserve"> що проект не</w:t>
      </w:r>
      <w:r w:rsidR="00CB1B48">
        <w:rPr>
          <w:rFonts w:ascii="Arial" w:hAnsi="Arial"/>
        </w:rPr>
        <w:t xml:space="preserve"> </w:t>
      </w:r>
      <w:r>
        <w:rPr>
          <w:rFonts w:ascii="Arial" w:hAnsi="Arial"/>
        </w:rPr>
        <w:t>досягне своїх цілей є незначною у разі належного виконання заходів з пом'якшення наслідків, зазначених нижче.</w:t>
      </w:r>
    </w:p>
    <w:p w:rsidR="000F4B29" w:rsidRDefault="000F4B29" w:rsidP="00C14EEF">
      <w:pPr>
        <w:rPr>
          <w:rFonts w:ascii="Arial" w:hAnsi="Arial" w:cs="Arial"/>
          <w:lang w:val="en-US" w:bidi="en-US"/>
        </w:rPr>
      </w:pPr>
    </w:p>
    <w:p w:rsidR="00100ECC" w:rsidRPr="003A6B26" w:rsidRDefault="00100ECC" w:rsidP="00C14EEF">
      <w:pPr>
        <w:pStyle w:val="aa"/>
      </w:pPr>
      <w:bookmarkStart w:id="201" w:name="_Toc24044156"/>
      <w:bookmarkStart w:id="202" w:name="_Toc48643460"/>
      <w:r>
        <w:t xml:space="preserve">Таблиця </w:t>
      </w:r>
      <w:r w:rsidRPr="000F4B29">
        <w:fldChar w:fldCharType="begin"/>
      </w:r>
      <w:r w:rsidRPr="000F4B29">
        <w:instrText xml:space="preserve"> SEQ Table \* ARABIC </w:instrText>
      </w:r>
      <w:r w:rsidRPr="000F4B29">
        <w:fldChar w:fldCharType="separate"/>
      </w:r>
      <w:r w:rsidR="00CB1B48">
        <w:t>20</w:t>
      </w:r>
      <w:r w:rsidRPr="000F4B29">
        <w:fldChar w:fldCharType="end"/>
      </w:r>
      <w:r>
        <w:t>: Оцінка ризику</w:t>
      </w:r>
      <w:bookmarkEnd w:id="201"/>
      <w:bookmarkEnd w:id="202"/>
    </w:p>
    <w:tbl>
      <w:tblPr>
        <w:tblStyle w:val="af4"/>
        <w:tblW w:w="0" w:type="auto"/>
        <w:jc w:val="center"/>
        <w:shd w:val="clear" w:color="auto" w:fill="92D050"/>
        <w:tblLayout w:type="fixed"/>
        <w:tblLook w:val="04A0" w:firstRow="1" w:lastRow="0" w:firstColumn="1" w:lastColumn="0" w:noHBand="0" w:noVBand="1"/>
      </w:tblPr>
      <w:tblGrid>
        <w:gridCol w:w="1584"/>
        <w:gridCol w:w="681"/>
        <w:gridCol w:w="567"/>
        <w:gridCol w:w="1134"/>
        <w:gridCol w:w="4395"/>
        <w:gridCol w:w="1269"/>
      </w:tblGrid>
      <w:tr w:rsidR="00100ECC" w:rsidRPr="00917CC7" w:rsidTr="005904FB">
        <w:trPr>
          <w:cantSplit/>
          <w:trHeight w:val="1134"/>
          <w:tblHeader/>
          <w:jc w:val="center"/>
        </w:trPr>
        <w:tc>
          <w:tcPr>
            <w:tcW w:w="1584" w:type="dxa"/>
            <w:shd w:val="clear" w:color="auto" w:fill="92D050"/>
          </w:tcPr>
          <w:p w:rsidR="00100ECC" w:rsidRPr="00917CC7" w:rsidRDefault="00100ECC" w:rsidP="00C14EEF">
            <w:pPr>
              <w:jc w:val="center"/>
              <w:rPr>
                <w:rFonts w:ascii="Arial" w:hAnsi="Arial" w:cs="Arial"/>
                <w:b/>
                <w:sz w:val="20"/>
              </w:rPr>
            </w:pPr>
            <w:r>
              <w:rPr>
                <w:rFonts w:ascii="Arial" w:hAnsi="Arial"/>
                <w:b/>
                <w:sz w:val="20"/>
              </w:rPr>
              <w:t>Опис ризику</w:t>
            </w:r>
          </w:p>
        </w:tc>
        <w:tc>
          <w:tcPr>
            <w:tcW w:w="681" w:type="dxa"/>
            <w:shd w:val="clear" w:color="auto" w:fill="92D050"/>
            <w:textDirection w:val="btLr"/>
          </w:tcPr>
          <w:p w:rsidR="00100ECC" w:rsidRPr="00917CC7" w:rsidRDefault="00100ECC" w:rsidP="005904FB">
            <w:pPr>
              <w:ind w:left="113" w:right="34"/>
              <w:jc w:val="center"/>
              <w:rPr>
                <w:rFonts w:ascii="Arial" w:hAnsi="Arial" w:cs="Arial"/>
                <w:b/>
                <w:sz w:val="20"/>
              </w:rPr>
            </w:pPr>
            <w:r>
              <w:rPr>
                <w:rFonts w:ascii="Arial" w:hAnsi="Arial"/>
                <w:b/>
                <w:sz w:val="20"/>
              </w:rPr>
              <w:t>Вірогідність</w:t>
            </w:r>
          </w:p>
        </w:tc>
        <w:tc>
          <w:tcPr>
            <w:tcW w:w="567" w:type="dxa"/>
            <w:shd w:val="clear" w:color="auto" w:fill="92D050"/>
            <w:textDirection w:val="btLr"/>
          </w:tcPr>
          <w:p w:rsidR="00100ECC" w:rsidRPr="00917CC7" w:rsidRDefault="00100ECC" w:rsidP="005904FB">
            <w:pPr>
              <w:ind w:left="113" w:right="34"/>
              <w:jc w:val="center"/>
              <w:rPr>
                <w:rFonts w:ascii="Arial" w:hAnsi="Arial" w:cs="Arial"/>
                <w:b/>
                <w:sz w:val="20"/>
              </w:rPr>
            </w:pPr>
            <w:r>
              <w:rPr>
                <w:rFonts w:ascii="Arial" w:hAnsi="Arial"/>
                <w:b/>
                <w:sz w:val="20"/>
              </w:rPr>
              <w:t>Чутливість</w:t>
            </w:r>
          </w:p>
        </w:tc>
        <w:tc>
          <w:tcPr>
            <w:tcW w:w="1134" w:type="dxa"/>
            <w:shd w:val="clear" w:color="auto" w:fill="92D050"/>
          </w:tcPr>
          <w:p w:rsidR="00100ECC" w:rsidRPr="00917CC7" w:rsidRDefault="00100ECC" w:rsidP="00C14EEF">
            <w:pPr>
              <w:jc w:val="center"/>
              <w:rPr>
                <w:rFonts w:ascii="Arial" w:hAnsi="Arial" w:cs="Arial"/>
                <w:b/>
                <w:sz w:val="20"/>
              </w:rPr>
            </w:pPr>
            <w:r>
              <w:rPr>
                <w:rFonts w:ascii="Arial" w:hAnsi="Arial"/>
                <w:b/>
                <w:sz w:val="20"/>
              </w:rPr>
              <w:t>Рівень ризику</w:t>
            </w:r>
          </w:p>
        </w:tc>
        <w:tc>
          <w:tcPr>
            <w:tcW w:w="4395" w:type="dxa"/>
            <w:shd w:val="clear" w:color="auto" w:fill="92D050"/>
          </w:tcPr>
          <w:p w:rsidR="00100ECC" w:rsidRPr="00917CC7" w:rsidRDefault="00100ECC" w:rsidP="00C14EEF">
            <w:pPr>
              <w:jc w:val="center"/>
              <w:rPr>
                <w:rFonts w:ascii="Arial" w:hAnsi="Arial" w:cs="Arial"/>
                <w:b/>
                <w:sz w:val="20"/>
              </w:rPr>
            </w:pPr>
            <w:r>
              <w:rPr>
                <w:rFonts w:ascii="Arial" w:hAnsi="Arial"/>
                <w:b/>
                <w:sz w:val="20"/>
              </w:rPr>
              <w:t>Заходи з усунення наслідків</w:t>
            </w:r>
          </w:p>
        </w:tc>
        <w:tc>
          <w:tcPr>
            <w:tcW w:w="1269" w:type="dxa"/>
            <w:shd w:val="clear" w:color="auto" w:fill="92D050"/>
          </w:tcPr>
          <w:p w:rsidR="00100ECC" w:rsidRPr="00917CC7" w:rsidRDefault="00100ECC" w:rsidP="005904FB">
            <w:pPr>
              <w:ind w:left="-108" w:right="-114"/>
              <w:jc w:val="center"/>
              <w:rPr>
                <w:rFonts w:ascii="Arial" w:hAnsi="Arial" w:cs="Arial"/>
                <w:b/>
                <w:sz w:val="20"/>
              </w:rPr>
            </w:pPr>
            <w:r>
              <w:rPr>
                <w:rFonts w:ascii="Arial" w:hAnsi="Arial"/>
                <w:b/>
                <w:sz w:val="20"/>
              </w:rPr>
              <w:t>Остаточний ризик після заходів з усунення наслідків</w:t>
            </w:r>
          </w:p>
        </w:tc>
      </w:tr>
    </w:tbl>
    <w:tbl>
      <w:tblPr>
        <w:tblW w:w="9652" w:type="dxa"/>
        <w:tblInd w:w="10"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473"/>
        <w:gridCol w:w="75"/>
        <w:gridCol w:w="720"/>
        <w:gridCol w:w="567"/>
        <w:gridCol w:w="1119"/>
        <w:gridCol w:w="4437"/>
        <w:gridCol w:w="1261"/>
      </w:tblGrid>
      <w:tr w:rsidR="00100ECC" w:rsidRPr="00917CC7" w:rsidTr="00084592">
        <w:trPr>
          <w:trHeight w:hRule="exact" w:val="307"/>
        </w:trPr>
        <w:tc>
          <w:tcPr>
            <w:tcW w:w="9652" w:type="dxa"/>
            <w:gridSpan w:val="7"/>
            <w:shd w:val="clear" w:color="auto" w:fill="FFFFFF"/>
          </w:tcPr>
          <w:p w:rsidR="00100ECC" w:rsidRPr="00917CC7" w:rsidRDefault="00100ECC" w:rsidP="00C14EEF">
            <w:pPr>
              <w:pStyle w:val="27"/>
              <w:shd w:val="clear" w:color="auto" w:fill="auto"/>
              <w:spacing w:before="0" w:after="0" w:line="240" w:lineRule="auto"/>
              <w:ind w:firstLine="0"/>
              <w:jc w:val="left"/>
              <w:rPr>
                <w:rFonts w:ascii="Arial" w:hAnsi="Arial" w:cs="Arial"/>
                <w:sz w:val="20"/>
                <w:szCs w:val="20"/>
              </w:rPr>
            </w:pPr>
            <w:r>
              <w:rPr>
                <w:rStyle w:val="2a"/>
                <w:rFonts w:ascii="Arial" w:hAnsi="Arial"/>
                <w:sz w:val="20"/>
                <w:szCs w:val="20"/>
              </w:rPr>
              <w:t>Ризики, пов'язані із попитом</w:t>
            </w:r>
          </w:p>
        </w:tc>
      </w:tr>
      <w:tr w:rsidR="00100ECC" w:rsidRPr="00917CC7" w:rsidTr="005904FB">
        <w:trPr>
          <w:trHeight w:hRule="exact" w:val="4242"/>
        </w:trPr>
        <w:tc>
          <w:tcPr>
            <w:tcW w:w="1548" w:type="dxa"/>
            <w:gridSpan w:val="2"/>
            <w:shd w:val="clear" w:color="auto" w:fill="FFFFFF"/>
          </w:tcPr>
          <w:p w:rsidR="00100ECC" w:rsidRPr="00B05DDA" w:rsidRDefault="00100ECC" w:rsidP="00C14EEF">
            <w:pPr>
              <w:pStyle w:val="27"/>
              <w:shd w:val="clear" w:color="auto" w:fill="auto"/>
              <w:spacing w:before="0" w:after="0" w:line="240" w:lineRule="auto"/>
              <w:ind w:firstLine="0"/>
              <w:jc w:val="both"/>
              <w:rPr>
                <w:rFonts w:ascii="Arial" w:hAnsi="Arial" w:cs="Arial"/>
                <w:sz w:val="20"/>
                <w:szCs w:val="20"/>
              </w:rPr>
            </w:pPr>
            <w:r>
              <w:rPr>
                <w:rStyle w:val="285pt"/>
                <w:rFonts w:ascii="Arial" w:hAnsi="Arial"/>
                <w:sz w:val="20"/>
                <w:szCs w:val="20"/>
              </w:rPr>
              <w:t>Споживання води та генеровані стічні води не досягнуть прогнозованого рівня</w:t>
            </w:r>
          </w:p>
        </w:tc>
        <w:tc>
          <w:tcPr>
            <w:tcW w:w="720" w:type="dxa"/>
            <w:shd w:val="clear" w:color="auto" w:fill="FFFFFF"/>
          </w:tcPr>
          <w:p w:rsidR="00100ECC" w:rsidRPr="00917CC7" w:rsidRDefault="00100ECC" w:rsidP="00C14EEF">
            <w:pPr>
              <w:pStyle w:val="27"/>
              <w:shd w:val="clear" w:color="auto" w:fill="auto"/>
              <w:spacing w:before="0" w:after="0" w:line="240" w:lineRule="auto"/>
              <w:ind w:left="280" w:firstLine="0"/>
              <w:jc w:val="both"/>
              <w:rPr>
                <w:rFonts w:ascii="Arial" w:hAnsi="Arial" w:cs="Arial"/>
                <w:sz w:val="20"/>
                <w:szCs w:val="20"/>
              </w:rPr>
            </w:pPr>
            <w:r>
              <w:rPr>
                <w:rStyle w:val="285pt"/>
                <w:rFonts w:ascii="Arial" w:hAnsi="Arial"/>
                <w:sz w:val="20"/>
                <w:szCs w:val="20"/>
              </w:rPr>
              <w:t>B</w:t>
            </w:r>
          </w:p>
        </w:tc>
        <w:tc>
          <w:tcPr>
            <w:tcW w:w="567" w:type="dxa"/>
            <w:shd w:val="clear" w:color="auto" w:fill="FFFFFF"/>
          </w:tcPr>
          <w:p w:rsidR="00100ECC" w:rsidRPr="00917CC7" w:rsidRDefault="00100ECC" w:rsidP="00C14EEF">
            <w:pPr>
              <w:pStyle w:val="27"/>
              <w:shd w:val="clear" w:color="auto" w:fill="auto"/>
              <w:spacing w:before="0" w:after="0" w:line="240" w:lineRule="auto"/>
              <w:ind w:left="240" w:firstLine="0"/>
              <w:jc w:val="both"/>
              <w:rPr>
                <w:rFonts w:ascii="Arial" w:hAnsi="Arial" w:cs="Arial"/>
                <w:sz w:val="20"/>
                <w:szCs w:val="20"/>
              </w:rPr>
            </w:pPr>
            <w:r>
              <w:rPr>
                <w:rStyle w:val="285pt"/>
                <w:rFonts w:ascii="Arial" w:hAnsi="Arial"/>
                <w:sz w:val="20"/>
                <w:szCs w:val="20"/>
              </w:rPr>
              <w:t>III</w:t>
            </w:r>
          </w:p>
        </w:tc>
        <w:tc>
          <w:tcPr>
            <w:tcW w:w="1119" w:type="dxa"/>
            <w:shd w:val="clear" w:color="auto" w:fill="FFFFFF"/>
          </w:tcPr>
          <w:p w:rsidR="00100ECC" w:rsidRPr="00917CC7" w:rsidRDefault="00100ECC" w:rsidP="00C14EEF">
            <w:pPr>
              <w:pStyle w:val="27"/>
              <w:shd w:val="clear" w:color="auto" w:fill="auto"/>
              <w:spacing w:before="0" w:after="0" w:line="240" w:lineRule="auto"/>
              <w:ind w:firstLine="0"/>
              <w:rPr>
                <w:rFonts w:ascii="Arial" w:hAnsi="Arial" w:cs="Arial"/>
                <w:sz w:val="20"/>
                <w:szCs w:val="20"/>
              </w:rPr>
            </w:pPr>
            <w:r>
              <w:rPr>
                <w:rStyle w:val="285pt"/>
                <w:rFonts w:ascii="Arial" w:hAnsi="Arial"/>
                <w:sz w:val="20"/>
                <w:szCs w:val="20"/>
              </w:rPr>
              <w:t>Низький</w:t>
            </w:r>
          </w:p>
        </w:tc>
        <w:tc>
          <w:tcPr>
            <w:tcW w:w="4437" w:type="dxa"/>
            <w:shd w:val="clear" w:color="auto" w:fill="FFFFFF"/>
          </w:tcPr>
          <w:p w:rsidR="00100ECC" w:rsidRPr="00D831B7" w:rsidRDefault="008F2A53" w:rsidP="00C14EEF">
            <w:pPr>
              <w:pStyle w:val="27"/>
              <w:shd w:val="clear" w:color="auto" w:fill="auto"/>
              <w:spacing w:before="0" w:after="0" w:line="240" w:lineRule="auto"/>
              <w:ind w:firstLine="0"/>
              <w:jc w:val="both"/>
              <w:rPr>
                <w:rFonts w:ascii="Arial" w:hAnsi="Arial" w:cs="Arial"/>
                <w:sz w:val="20"/>
                <w:szCs w:val="20"/>
              </w:rPr>
            </w:pPr>
            <w:r>
              <w:rPr>
                <w:rStyle w:val="285pt"/>
                <w:rFonts w:ascii="Arial" w:hAnsi="Arial"/>
                <w:sz w:val="20"/>
                <w:szCs w:val="20"/>
              </w:rPr>
              <w:t>Попит домогосподарств (при 107</w:t>
            </w:r>
            <w:r w:rsidR="00BF4AE7">
              <w:rPr>
                <w:rStyle w:val="285pt"/>
                <w:rFonts w:ascii="Arial" w:hAnsi="Arial"/>
                <w:sz w:val="20"/>
                <w:szCs w:val="20"/>
              </w:rPr>
              <w:t xml:space="preserve"> л</w:t>
            </w:r>
            <w:r>
              <w:rPr>
                <w:rStyle w:val="285pt"/>
                <w:rFonts w:ascii="Arial" w:hAnsi="Arial"/>
                <w:sz w:val="20"/>
                <w:szCs w:val="20"/>
              </w:rPr>
              <w:t>/</w:t>
            </w:r>
            <w:r w:rsidR="00BF4AE7">
              <w:rPr>
                <w:rStyle w:val="285pt"/>
                <w:rFonts w:ascii="Arial" w:hAnsi="Arial"/>
                <w:sz w:val="20"/>
                <w:szCs w:val="20"/>
              </w:rPr>
              <w:t>л</w:t>
            </w:r>
            <w:r>
              <w:rPr>
                <w:rStyle w:val="285pt"/>
                <w:rFonts w:ascii="Arial" w:hAnsi="Arial"/>
                <w:sz w:val="20"/>
                <w:szCs w:val="20"/>
              </w:rPr>
              <w:t xml:space="preserve">/д) вже досяг низького рівня та очікується невелике зростання до 120 </w:t>
            </w:r>
            <w:r w:rsidR="00BF4AE7">
              <w:rPr>
                <w:rStyle w:val="285pt"/>
                <w:rFonts w:ascii="Arial" w:hAnsi="Arial"/>
                <w:sz w:val="20"/>
                <w:szCs w:val="20"/>
              </w:rPr>
              <w:t>л/л/д</w:t>
            </w:r>
            <w:r>
              <w:rPr>
                <w:rStyle w:val="285pt"/>
                <w:rFonts w:ascii="Arial" w:hAnsi="Arial"/>
                <w:sz w:val="20"/>
                <w:szCs w:val="20"/>
              </w:rPr>
              <w:t xml:space="preserve">. Також 120 </w:t>
            </w:r>
            <w:r w:rsidR="00BF4AE7">
              <w:rPr>
                <w:rStyle w:val="285pt"/>
                <w:rFonts w:ascii="Arial" w:hAnsi="Arial"/>
                <w:sz w:val="20"/>
                <w:szCs w:val="20"/>
              </w:rPr>
              <w:t xml:space="preserve">л/л/д </w:t>
            </w:r>
            <w:r>
              <w:rPr>
                <w:rStyle w:val="285pt"/>
                <w:rFonts w:ascii="Arial" w:hAnsi="Arial"/>
                <w:sz w:val="20"/>
                <w:szCs w:val="20"/>
              </w:rPr>
              <w:t>- стандартне споживання води для європейських країн, та ризик значного зниження цього параметру в майбутньому відсутній.</w:t>
            </w:r>
            <w:r w:rsidR="00CB1B48">
              <w:rPr>
                <w:rStyle w:val="285pt"/>
                <w:rFonts w:ascii="Arial" w:hAnsi="Arial"/>
                <w:sz w:val="20"/>
                <w:szCs w:val="20"/>
              </w:rPr>
              <w:t xml:space="preserve"> </w:t>
            </w:r>
            <w:r>
              <w:rPr>
                <w:rStyle w:val="285pt"/>
                <w:rFonts w:ascii="Arial" w:hAnsi="Arial"/>
                <w:sz w:val="20"/>
                <w:szCs w:val="20"/>
              </w:rPr>
              <w:t>Ситуація із промисловим попитом - більш невизначена, але він складає лише близько 19,8 % від загального обсягу, невелике збільшення до 20,9% не матиме позитивного впливу на загальне споживання води.</w:t>
            </w:r>
            <w:r w:rsidR="00CB1B48">
              <w:rPr>
                <w:rStyle w:val="285pt"/>
                <w:rFonts w:ascii="Arial" w:hAnsi="Arial"/>
                <w:sz w:val="20"/>
                <w:szCs w:val="20"/>
              </w:rPr>
              <w:t xml:space="preserve"> </w:t>
            </w:r>
            <w:r>
              <w:rPr>
                <w:rStyle w:val="285pt"/>
                <w:rFonts w:ascii="Arial" w:hAnsi="Arial"/>
                <w:sz w:val="20"/>
                <w:szCs w:val="20"/>
              </w:rPr>
              <w:t>Будь</w:t>
            </w:r>
            <w:r w:rsidR="005904FB">
              <w:rPr>
                <w:rStyle w:val="285pt"/>
                <w:rFonts w:ascii="Arial" w:hAnsi="Arial"/>
                <w:sz w:val="20"/>
                <w:szCs w:val="20"/>
              </w:rPr>
              <w:t xml:space="preserve"> </w:t>
            </w:r>
            <w:r>
              <w:rPr>
                <w:rStyle w:val="285pt"/>
                <w:rFonts w:ascii="Arial" w:hAnsi="Arial"/>
                <w:sz w:val="20"/>
                <w:szCs w:val="20"/>
              </w:rPr>
              <w:t>яка зміна споживання може (та повинна)  компенсована через коригування тарифу, що може незначно вплинути на доступність.</w:t>
            </w:r>
            <w:r>
              <w:rPr>
                <w:rFonts w:ascii="Arial" w:hAnsi="Arial"/>
                <w:sz w:val="20"/>
                <w:szCs w:val="20"/>
              </w:rPr>
              <w:t xml:space="preserve"> </w:t>
            </w:r>
          </w:p>
          <w:p w:rsidR="00100ECC" w:rsidRPr="00B05DDA" w:rsidRDefault="00100ECC" w:rsidP="00C14EEF">
            <w:pPr>
              <w:pStyle w:val="27"/>
              <w:shd w:val="clear" w:color="auto" w:fill="auto"/>
              <w:spacing w:before="0" w:after="0" w:line="240" w:lineRule="auto"/>
              <w:ind w:firstLine="0"/>
              <w:jc w:val="both"/>
              <w:rPr>
                <w:rFonts w:ascii="Arial" w:hAnsi="Arial" w:cs="Arial"/>
                <w:sz w:val="20"/>
                <w:szCs w:val="20"/>
              </w:rPr>
            </w:pPr>
            <w:r>
              <w:rPr>
                <w:rStyle w:val="285pt"/>
                <w:rFonts w:ascii="Arial" w:hAnsi="Arial"/>
                <w:b/>
                <w:sz w:val="20"/>
                <w:szCs w:val="20"/>
              </w:rPr>
              <w:t>Відповідальна установа:</w:t>
            </w:r>
            <w:r>
              <w:rPr>
                <w:rStyle w:val="285pt"/>
                <w:rFonts w:ascii="Arial" w:hAnsi="Arial"/>
                <w:sz w:val="20"/>
                <w:szCs w:val="20"/>
              </w:rPr>
              <w:t xml:space="preserve"> Міська адміністрація за погодженням з Кінцевим </w:t>
            </w:r>
            <w:r w:rsidR="005904FB">
              <w:rPr>
                <w:rStyle w:val="285pt"/>
                <w:rFonts w:ascii="Arial" w:hAnsi="Arial"/>
                <w:sz w:val="20"/>
                <w:szCs w:val="20"/>
              </w:rPr>
              <w:t>Бенефіціаром</w:t>
            </w:r>
            <w:r>
              <w:rPr>
                <w:rStyle w:val="285pt"/>
                <w:rFonts w:ascii="Arial" w:hAnsi="Arial"/>
                <w:sz w:val="20"/>
                <w:szCs w:val="20"/>
              </w:rPr>
              <w:t xml:space="preserve"> (водоканал), НКРЕКП.</w:t>
            </w:r>
          </w:p>
        </w:tc>
        <w:tc>
          <w:tcPr>
            <w:tcW w:w="1261" w:type="dxa"/>
            <w:shd w:val="clear" w:color="auto" w:fill="FFFFFF"/>
          </w:tcPr>
          <w:p w:rsidR="00100ECC" w:rsidRPr="00917CC7" w:rsidRDefault="00100ECC" w:rsidP="00C14EEF">
            <w:pPr>
              <w:pStyle w:val="27"/>
              <w:shd w:val="clear" w:color="auto" w:fill="auto"/>
              <w:spacing w:before="0" w:after="0" w:line="240" w:lineRule="auto"/>
              <w:ind w:firstLine="0"/>
              <w:rPr>
                <w:rFonts w:ascii="Arial" w:hAnsi="Arial" w:cs="Arial"/>
                <w:sz w:val="20"/>
                <w:szCs w:val="20"/>
              </w:rPr>
            </w:pPr>
            <w:r>
              <w:rPr>
                <w:rStyle w:val="285pt"/>
                <w:rFonts w:ascii="Arial" w:hAnsi="Arial"/>
                <w:sz w:val="20"/>
                <w:szCs w:val="20"/>
              </w:rPr>
              <w:t>Низький</w:t>
            </w:r>
          </w:p>
        </w:tc>
      </w:tr>
      <w:tr w:rsidR="00100ECC" w:rsidRPr="00917CC7" w:rsidTr="00084592">
        <w:trPr>
          <w:trHeight w:hRule="exact" w:val="245"/>
        </w:trPr>
        <w:tc>
          <w:tcPr>
            <w:tcW w:w="9652" w:type="dxa"/>
            <w:gridSpan w:val="7"/>
            <w:tcBorders>
              <w:bottom w:val="single" w:sz="4" w:space="0" w:color="auto"/>
            </w:tcBorders>
            <w:shd w:val="clear" w:color="auto" w:fill="BFBFBF" w:themeFill="background1" w:themeFillShade="BF"/>
          </w:tcPr>
          <w:p w:rsidR="00100ECC" w:rsidRPr="00917CC7" w:rsidRDefault="00100ECC" w:rsidP="00C14EEF">
            <w:pPr>
              <w:pStyle w:val="27"/>
              <w:shd w:val="clear" w:color="auto" w:fill="auto"/>
              <w:spacing w:before="0" w:after="0" w:line="240" w:lineRule="auto"/>
              <w:ind w:firstLine="0"/>
              <w:jc w:val="left"/>
              <w:rPr>
                <w:rFonts w:ascii="Arial" w:hAnsi="Arial" w:cs="Arial"/>
                <w:sz w:val="20"/>
                <w:szCs w:val="20"/>
              </w:rPr>
            </w:pPr>
            <w:r>
              <w:rPr>
                <w:rStyle w:val="2a"/>
                <w:rFonts w:ascii="Arial" w:hAnsi="Arial"/>
                <w:sz w:val="20"/>
                <w:szCs w:val="20"/>
                <w:highlight w:val="lightGray"/>
              </w:rPr>
              <w:t>Фінансові ризики</w:t>
            </w:r>
          </w:p>
        </w:tc>
      </w:tr>
      <w:tr w:rsidR="00100ECC" w:rsidRPr="00917CC7" w:rsidTr="005904FB">
        <w:trPr>
          <w:trHeight w:hRule="exact" w:val="5993"/>
        </w:trPr>
        <w:tc>
          <w:tcPr>
            <w:tcW w:w="1473" w:type="dxa"/>
            <w:tcBorders>
              <w:bottom w:val="single" w:sz="4" w:space="0" w:color="auto"/>
            </w:tcBorders>
            <w:shd w:val="clear" w:color="auto" w:fill="FFFFFF"/>
          </w:tcPr>
          <w:p w:rsidR="00100ECC" w:rsidRPr="00B05DDA" w:rsidRDefault="00100ECC" w:rsidP="00C14EEF">
            <w:pPr>
              <w:pStyle w:val="27"/>
              <w:shd w:val="clear" w:color="auto" w:fill="auto"/>
              <w:spacing w:before="0" w:after="0" w:line="240" w:lineRule="auto"/>
              <w:ind w:firstLine="0"/>
              <w:jc w:val="left"/>
              <w:rPr>
                <w:rFonts w:ascii="Arial" w:hAnsi="Arial" w:cs="Arial"/>
                <w:sz w:val="20"/>
                <w:szCs w:val="20"/>
              </w:rPr>
            </w:pPr>
            <w:r>
              <w:rPr>
                <w:rStyle w:val="285pt"/>
                <w:rFonts w:ascii="Arial" w:hAnsi="Arial"/>
                <w:sz w:val="20"/>
                <w:szCs w:val="20"/>
              </w:rPr>
              <w:t>Тариф на рівні, необхідному для стійкості - не узгоджений</w:t>
            </w:r>
          </w:p>
        </w:tc>
        <w:tc>
          <w:tcPr>
            <w:tcW w:w="795" w:type="dxa"/>
            <w:gridSpan w:val="2"/>
            <w:tcBorders>
              <w:bottom w:val="single" w:sz="4" w:space="0" w:color="auto"/>
            </w:tcBorders>
            <w:shd w:val="clear" w:color="auto" w:fill="FFFFFF"/>
          </w:tcPr>
          <w:p w:rsidR="00100ECC" w:rsidRPr="00F92182" w:rsidRDefault="00100ECC" w:rsidP="00C14EEF">
            <w:pPr>
              <w:pStyle w:val="27"/>
              <w:shd w:val="clear" w:color="auto" w:fill="auto"/>
              <w:spacing w:before="0" w:after="0" w:line="240" w:lineRule="auto"/>
              <w:ind w:left="280" w:firstLine="0"/>
              <w:jc w:val="left"/>
              <w:rPr>
                <w:rFonts w:ascii="Arial" w:hAnsi="Arial" w:cs="Arial"/>
                <w:sz w:val="20"/>
                <w:szCs w:val="20"/>
              </w:rPr>
            </w:pPr>
            <w:r>
              <w:rPr>
                <w:rStyle w:val="285pt"/>
                <w:rFonts w:ascii="Arial" w:hAnsi="Arial"/>
                <w:sz w:val="20"/>
                <w:szCs w:val="20"/>
              </w:rPr>
              <w:t>B</w:t>
            </w:r>
          </w:p>
        </w:tc>
        <w:tc>
          <w:tcPr>
            <w:tcW w:w="567" w:type="dxa"/>
            <w:tcBorders>
              <w:bottom w:val="single" w:sz="4" w:space="0" w:color="auto"/>
            </w:tcBorders>
            <w:shd w:val="clear" w:color="auto" w:fill="FFFFFF"/>
          </w:tcPr>
          <w:p w:rsidR="00100ECC" w:rsidRPr="00F92182" w:rsidRDefault="00100ECC" w:rsidP="00C14EEF">
            <w:pPr>
              <w:pStyle w:val="27"/>
              <w:shd w:val="clear" w:color="auto" w:fill="auto"/>
              <w:spacing w:before="0" w:after="0" w:line="240" w:lineRule="auto"/>
              <w:ind w:left="240" w:firstLine="0"/>
              <w:jc w:val="left"/>
              <w:rPr>
                <w:rFonts w:ascii="Arial" w:hAnsi="Arial" w:cs="Arial"/>
                <w:sz w:val="20"/>
                <w:szCs w:val="20"/>
              </w:rPr>
            </w:pPr>
            <w:r>
              <w:rPr>
                <w:rStyle w:val="285pt"/>
                <w:rFonts w:ascii="Arial" w:hAnsi="Arial"/>
                <w:sz w:val="20"/>
                <w:szCs w:val="20"/>
              </w:rPr>
              <w:t>IV</w:t>
            </w:r>
          </w:p>
        </w:tc>
        <w:tc>
          <w:tcPr>
            <w:tcW w:w="1119" w:type="dxa"/>
            <w:tcBorders>
              <w:bottom w:val="single" w:sz="4" w:space="0" w:color="auto"/>
            </w:tcBorders>
            <w:shd w:val="clear" w:color="auto" w:fill="FFFFFF"/>
          </w:tcPr>
          <w:p w:rsidR="00100ECC" w:rsidRPr="00F92182" w:rsidRDefault="00100ECC" w:rsidP="00C14EEF">
            <w:pPr>
              <w:pStyle w:val="27"/>
              <w:shd w:val="clear" w:color="auto" w:fill="auto"/>
              <w:spacing w:before="0" w:after="0" w:line="240" w:lineRule="auto"/>
              <w:ind w:firstLine="0"/>
              <w:rPr>
                <w:rFonts w:ascii="Arial" w:hAnsi="Arial" w:cs="Arial"/>
                <w:sz w:val="20"/>
                <w:szCs w:val="20"/>
              </w:rPr>
            </w:pPr>
            <w:r>
              <w:rPr>
                <w:rStyle w:val="285pt"/>
                <w:rFonts w:ascii="Arial" w:hAnsi="Arial"/>
                <w:sz w:val="20"/>
                <w:szCs w:val="20"/>
              </w:rPr>
              <w:t>Помірний</w:t>
            </w:r>
          </w:p>
        </w:tc>
        <w:tc>
          <w:tcPr>
            <w:tcW w:w="4437" w:type="dxa"/>
            <w:tcBorders>
              <w:bottom w:val="single" w:sz="4" w:space="0" w:color="auto"/>
            </w:tcBorders>
            <w:shd w:val="clear" w:color="auto" w:fill="FFFFFF"/>
          </w:tcPr>
          <w:p w:rsidR="00100ECC" w:rsidRPr="00B05DDA" w:rsidRDefault="00100ECC" w:rsidP="00C14EEF">
            <w:pPr>
              <w:pStyle w:val="27"/>
              <w:shd w:val="clear" w:color="auto" w:fill="auto"/>
              <w:spacing w:before="0" w:after="0" w:line="240" w:lineRule="auto"/>
              <w:ind w:firstLine="0"/>
              <w:jc w:val="both"/>
              <w:rPr>
                <w:rFonts w:ascii="Arial" w:hAnsi="Arial" w:cs="Arial"/>
                <w:sz w:val="20"/>
                <w:szCs w:val="20"/>
              </w:rPr>
            </w:pPr>
            <w:r>
              <w:rPr>
                <w:rStyle w:val="285pt"/>
                <w:rFonts w:ascii="Arial" w:hAnsi="Arial"/>
                <w:sz w:val="20"/>
                <w:szCs w:val="20"/>
              </w:rPr>
              <w:t>Це найважливіше питання для сталого розвитку.</w:t>
            </w:r>
          </w:p>
          <w:p w:rsidR="00100ECC" w:rsidRDefault="00100ECC" w:rsidP="00C14EEF">
            <w:pPr>
              <w:pStyle w:val="27"/>
              <w:shd w:val="clear" w:color="auto" w:fill="auto"/>
              <w:spacing w:before="0" w:after="0" w:line="240" w:lineRule="auto"/>
              <w:ind w:firstLine="0"/>
              <w:jc w:val="both"/>
              <w:rPr>
                <w:rStyle w:val="285pt"/>
                <w:rFonts w:ascii="Arial" w:hAnsi="Arial" w:cs="Arial"/>
                <w:sz w:val="20"/>
                <w:szCs w:val="20"/>
              </w:rPr>
            </w:pPr>
            <w:r>
              <w:rPr>
                <w:rStyle w:val="285pt"/>
                <w:rFonts w:ascii="Arial" w:hAnsi="Arial"/>
                <w:sz w:val="20"/>
                <w:szCs w:val="20"/>
              </w:rPr>
              <w:t>Національний регулятор (НКРЕКП) затверджує тариф на основі</w:t>
            </w:r>
            <w:r w:rsidR="00CB1B48">
              <w:rPr>
                <w:rStyle w:val="285pt"/>
                <w:rFonts w:ascii="Arial" w:hAnsi="Arial"/>
                <w:sz w:val="20"/>
                <w:szCs w:val="20"/>
              </w:rPr>
              <w:t xml:space="preserve"> </w:t>
            </w:r>
            <w:r>
              <w:rPr>
                <w:rStyle w:val="285pt"/>
                <w:rFonts w:ascii="Arial" w:hAnsi="Arial"/>
                <w:sz w:val="20"/>
                <w:szCs w:val="20"/>
              </w:rPr>
              <w:t>повного відшкодування витрат та зазначає статті витрат, передбачені до включення. Регулятор вимагає проведення щорічного повторного оцінювання для врахування всіх змін обсягів споживання та цін на такі основні складові, як електроенергія, оплата праці та реагенти. Продемонстрована робота цієї системи протягом останніх років, при тарифах на існуючі послуги, що сягнули майже відповідного рівня, однак існує ризик затримки реакції НКРЕКП на такі зміни.</w:t>
            </w:r>
            <w:r w:rsidR="00CB1B48">
              <w:rPr>
                <w:rStyle w:val="285pt"/>
                <w:rFonts w:ascii="Arial" w:hAnsi="Arial"/>
                <w:sz w:val="20"/>
                <w:szCs w:val="20"/>
              </w:rPr>
              <w:t xml:space="preserve"> </w:t>
            </w:r>
          </w:p>
          <w:p w:rsidR="00100ECC" w:rsidRDefault="00100ECC" w:rsidP="00C14EEF">
            <w:pPr>
              <w:pStyle w:val="27"/>
              <w:shd w:val="clear" w:color="auto" w:fill="auto"/>
              <w:spacing w:before="0" w:after="0" w:line="240" w:lineRule="auto"/>
              <w:ind w:firstLine="0"/>
              <w:jc w:val="both"/>
              <w:rPr>
                <w:rStyle w:val="285pt"/>
                <w:rFonts w:ascii="Arial" w:hAnsi="Arial" w:cs="Arial"/>
                <w:sz w:val="20"/>
                <w:szCs w:val="20"/>
              </w:rPr>
            </w:pPr>
          </w:p>
          <w:p w:rsidR="00100ECC" w:rsidRPr="00D831B7" w:rsidRDefault="00100ECC" w:rsidP="00C14EEF">
            <w:pPr>
              <w:pStyle w:val="27"/>
              <w:shd w:val="clear" w:color="auto" w:fill="auto"/>
              <w:spacing w:before="0" w:after="0" w:line="240" w:lineRule="auto"/>
              <w:ind w:firstLine="0"/>
              <w:jc w:val="both"/>
              <w:rPr>
                <w:rStyle w:val="285pt"/>
                <w:rFonts w:ascii="Arial" w:eastAsia="Times New Roman" w:hAnsi="Arial" w:cs="Arial"/>
                <w:color w:val="auto"/>
                <w:sz w:val="20"/>
                <w:szCs w:val="20"/>
                <w:shd w:val="clear" w:color="auto" w:fill="auto"/>
              </w:rPr>
            </w:pPr>
            <w:r>
              <w:rPr>
                <w:rStyle w:val="285pt"/>
                <w:rFonts w:ascii="Arial" w:hAnsi="Arial"/>
                <w:sz w:val="20"/>
                <w:szCs w:val="20"/>
              </w:rPr>
              <w:t xml:space="preserve">Оскільки НКРЕКП є однією із сторін </w:t>
            </w:r>
            <w:proofErr w:type="spellStart"/>
            <w:r>
              <w:rPr>
                <w:rStyle w:val="285pt"/>
                <w:rFonts w:ascii="Arial" w:hAnsi="Arial"/>
                <w:sz w:val="20"/>
                <w:szCs w:val="20"/>
              </w:rPr>
              <w:t>Суб</w:t>
            </w:r>
            <w:proofErr w:type="spellEnd"/>
            <w:r>
              <w:rPr>
                <w:rStyle w:val="285pt"/>
                <w:rFonts w:ascii="Arial" w:hAnsi="Arial"/>
                <w:sz w:val="20"/>
                <w:szCs w:val="20"/>
              </w:rPr>
              <w:t>-Угоди про позику, є низька ймовірність того, що регулятор буде проти (як і Обласні органи влади), при врахуванні переваг за проектом.</w:t>
            </w:r>
            <w:r w:rsidR="00CB1B48">
              <w:rPr>
                <w:rStyle w:val="285pt"/>
                <w:rFonts w:ascii="Arial" w:hAnsi="Arial"/>
                <w:sz w:val="20"/>
                <w:szCs w:val="20"/>
              </w:rPr>
              <w:t xml:space="preserve"> </w:t>
            </w:r>
            <w:r>
              <w:rPr>
                <w:rStyle w:val="285pt"/>
                <w:rFonts w:ascii="Arial" w:hAnsi="Arial"/>
                <w:sz w:val="20"/>
                <w:szCs w:val="20"/>
              </w:rPr>
              <w:t xml:space="preserve">Місцеві органи влади та Кінцевий </w:t>
            </w:r>
            <w:r w:rsidR="00064262">
              <w:rPr>
                <w:rStyle w:val="285pt"/>
                <w:rFonts w:ascii="Arial" w:hAnsi="Arial"/>
                <w:sz w:val="20"/>
                <w:szCs w:val="20"/>
              </w:rPr>
              <w:t>Бенефіці</w:t>
            </w:r>
            <w:r>
              <w:rPr>
                <w:rStyle w:val="285pt"/>
                <w:rFonts w:ascii="Arial" w:hAnsi="Arial"/>
                <w:sz w:val="20"/>
                <w:szCs w:val="20"/>
              </w:rPr>
              <w:t>ар повинні постійно підтримувати контакт з НКРЕКП , щоб зменшити потенційні загрози тарифу, встановленому на необхідному рівні.</w:t>
            </w:r>
          </w:p>
          <w:p w:rsidR="00100ECC" w:rsidRPr="00B05DDA" w:rsidRDefault="00100ECC" w:rsidP="00C14EEF">
            <w:pPr>
              <w:pStyle w:val="27"/>
              <w:shd w:val="clear" w:color="auto" w:fill="auto"/>
              <w:spacing w:before="0" w:after="0" w:line="240" w:lineRule="auto"/>
              <w:ind w:firstLine="0"/>
              <w:jc w:val="both"/>
              <w:rPr>
                <w:rFonts w:ascii="Arial" w:hAnsi="Arial" w:cs="Arial"/>
                <w:sz w:val="20"/>
                <w:szCs w:val="20"/>
              </w:rPr>
            </w:pPr>
            <w:r>
              <w:rPr>
                <w:rStyle w:val="285pt"/>
                <w:rFonts w:ascii="Arial" w:hAnsi="Arial"/>
                <w:b/>
                <w:sz w:val="20"/>
                <w:szCs w:val="20"/>
              </w:rPr>
              <w:t>Відповідальна установа:</w:t>
            </w:r>
            <w:r>
              <w:rPr>
                <w:rStyle w:val="285pt"/>
                <w:rFonts w:ascii="Arial" w:hAnsi="Arial"/>
                <w:sz w:val="20"/>
                <w:szCs w:val="20"/>
              </w:rPr>
              <w:t xml:space="preserve"> НКРЕКП, Міська адміністрація за погодженням з Кінцевим </w:t>
            </w:r>
            <w:r w:rsidR="005904FB">
              <w:rPr>
                <w:rStyle w:val="285pt"/>
                <w:rFonts w:ascii="Arial" w:hAnsi="Arial"/>
                <w:sz w:val="20"/>
                <w:szCs w:val="20"/>
              </w:rPr>
              <w:t>Бенефіціаром</w:t>
            </w:r>
            <w:r>
              <w:rPr>
                <w:rStyle w:val="285pt"/>
                <w:rFonts w:ascii="Arial" w:hAnsi="Arial"/>
                <w:sz w:val="20"/>
                <w:szCs w:val="20"/>
              </w:rPr>
              <w:t>,</w:t>
            </w:r>
          </w:p>
        </w:tc>
        <w:tc>
          <w:tcPr>
            <w:tcW w:w="1261" w:type="dxa"/>
            <w:tcBorders>
              <w:bottom w:val="single" w:sz="4" w:space="0" w:color="auto"/>
            </w:tcBorders>
            <w:shd w:val="clear" w:color="auto" w:fill="FFFFFF"/>
          </w:tcPr>
          <w:p w:rsidR="00100ECC" w:rsidRPr="00917CC7" w:rsidRDefault="00100ECC" w:rsidP="00C14EEF">
            <w:pPr>
              <w:pStyle w:val="27"/>
              <w:shd w:val="clear" w:color="auto" w:fill="auto"/>
              <w:spacing w:before="0" w:after="0" w:line="240" w:lineRule="auto"/>
              <w:ind w:firstLine="0"/>
              <w:rPr>
                <w:rFonts w:ascii="Arial" w:hAnsi="Arial" w:cs="Arial"/>
                <w:sz w:val="20"/>
                <w:szCs w:val="20"/>
              </w:rPr>
            </w:pPr>
            <w:r>
              <w:rPr>
                <w:rStyle w:val="285pt"/>
                <w:rFonts w:ascii="Arial" w:hAnsi="Arial"/>
                <w:sz w:val="20"/>
                <w:szCs w:val="20"/>
              </w:rPr>
              <w:t>Низький</w:t>
            </w:r>
          </w:p>
        </w:tc>
      </w:tr>
      <w:tr w:rsidR="00100ECC" w:rsidRPr="00917CC7" w:rsidTr="005904FB">
        <w:trPr>
          <w:trHeight w:hRule="exact" w:val="2839"/>
        </w:trPr>
        <w:tc>
          <w:tcPr>
            <w:tcW w:w="1473" w:type="dxa"/>
            <w:tcBorders>
              <w:top w:val="single" w:sz="4" w:space="0" w:color="auto"/>
              <w:bottom w:val="single" w:sz="4" w:space="0" w:color="auto"/>
            </w:tcBorders>
            <w:shd w:val="clear" w:color="auto" w:fill="FFFFFF"/>
          </w:tcPr>
          <w:p w:rsidR="00100ECC" w:rsidRPr="00917CC7" w:rsidRDefault="00100ECC" w:rsidP="00C14EEF">
            <w:pPr>
              <w:pStyle w:val="27"/>
              <w:shd w:val="clear" w:color="auto" w:fill="auto"/>
              <w:spacing w:before="0" w:after="0" w:line="240" w:lineRule="auto"/>
              <w:ind w:firstLine="0"/>
              <w:jc w:val="left"/>
              <w:rPr>
                <w:rFonts w:ascii="Arial" w:eastAsia="Calibri" w:hAnsi="Arial" w:cs="Arial"/>
                <w:sz w:val="20"/>
                <w:szCs w:val="20"/>
                <w:shd w:val="clear" w:color="auto" w:fill="FFFFFF"/>
              </w:rPr>
            </w:pPr>
            <w:r>
              <w:rPr>
                <w:rStyle w:val="285pt"/>
                <w:rFonts w:ascii="Arial" w:hAnsi="Arial"/>
                <w:sz w:val="20"/>
                <w:szCs w:val="20"/>
              </w:rPr>
              <w:t>Домогосподарства не будуть сплачувати необхідні тарифи.</w:t>
            </w:r>
          </w:p>
        </w:tc>
        <w:tc>
          <w:tcPr>
            <w:tcW w:w="795" w:type="dxa"/>
            <w:gridSpan w:val="2"/>
            <w:tcBorders>
              <w:top w:val="single" w:sz="4" w:space="0" w:color="auto"/>
              <w:bottom w:val="single" w:sz="4" w:space="0" w:color="auto"/>
            </w:tcBorders>
            <w:shd w:val="clear" w:color="auto" w:fill="FFFFFF"/>
          </w:tcPr>
          <w:p w:rsidR="00100ECC" w:rsidRPr="00917CC7" w:rsidRDefault="00100ECC" w:rsidP="00C14EEF">
            <w:pPr>
              <w:pStyle w:val="27"/>
              <w:shd w:val="clear" w:color="auto" w:fill="auto"/>
              <w:spacing w:before="0" w:after="0" w:line="240" w:lineRule="auto"/>
              <w:ind w:left="280" w:firstLine="0"/>
              <w:jc w:val="left"/>
              <w:rPr>
                <w:rFonts w:ascii="Arial" w:eastAsia="Calibri" w:hAnsi="Arial" w:cs="Arial"/>
                <w:sz w:val="20"/>
                <w:szCs w:val="20"/>
                <w:shd w:val="clear" w:color="auto" w:fill="FFFFFF"/>
              </w:rPr>
            </w:pPr>
            <w:r>
              <w:rPr>
                <w:rStyle w:val="285pt"/>
                <w:rFonts w:ascii="Arial" w:hAnsi="Arial"/>
                <w:sz w:val="20"/>
                <w:szCs w:val="20"/>
              </w:rPr>
              <w:t>B</w:t>
            </w:r>
          </w:p>
        </w:tc>
        <w:tc>
          <w:tcPr>
            <w:tcW w:w="567" w:type="dxa"/>
            <w:tcBorders>
              <w:top w:val="single" w:sz="4" w:space="0" w:color="auto"/>
              <w:bottom w:val="single" w:sz="4" w:space="0" w:color="auto"/>
            </w:tcBorders>
            <w:shd w:val="clear" w:color="auto" w:fill="FFFFFF"/>
          </w:tcPr>
          <w:p w:rsidR="00100ECC" w:rsidRPr="00917CC7" w:rsidRDefault="00100ECC" w:rsidP="00C14EEF">
            <w:pPr>
              <w:pStyle w:val="27"/>
              <w:shd w:val="clear" w:color="auto" w:fill="auto"/>
              <w:spacing w:before="0" w:after="0" w:line="240" w:lineRule="auto"/>
              <w:ind w:left="240" w:firstLine="0"/>
              <w:jc w:val="left"/>
              <w:rPr>
                <w:rFonts w:ascii="Arial" w:eastAsia="Calibri" w:hAnsi="Arial" w:cs="Arial"/>
                <w:sz w:val="20"/>
                <w:szCs w:val="20"/>
                <w:shd w:val="clear" w:color="auto" w:fill="FFFFFF"/>
              </w:rPr>
            </w:pPr>
            <w:r>
              <w:rPr>
                <w:rStyle w:val="285pt"/>
                <w:rFonts w:ascii="Arial" w:hAnsi="Arial"/>
                <w:sz w:val="20"/>
                <w:szCs w:val="20"/>
              </w:rPr>
              <w:t>III</w:t>
            </w:r>
          </w:p>
        </w:tc>
        <w:tc>
          <w:tcPr>
            <w:tcW w:w="1119" w:type="dxa"/>
            <w:tcBorders>
              <w:top w:val="single" w:sz="4" w:space="0" w:color="auto"/>
              <w:bottom w:val="single" w:sz="4" w:space="0" w:color="auto"/>
            </w:tcBorders>
            <w:shd w:val="clear" w:color="auto" w:fill="FFFFFF"/>
          </w:tcPr>
          <w:p w:rsidR="00100ECC" w:rsidRPr="00917CC7" w:rsidRDefault="00100ECC" w:rsidP="00C14EEF">
            <w:pPr>
              <w:pStyle w:val="27"/>
              <w:shd w:val="clear" w:color="auto" w:fill="auto"/>
              <w:spacing w:before="0" w:after="0" w:line="240" w:lineRule="auto"/>
              <w:ind w:firstLine="0"/>
              <w:rPr>
                <w:rFonts w:ascii="Arial" w:eastAsia="Calibri" w:hAnsi="Arial" w:cs="Arial"/>
                <w:sz w:val="20"/>
                <w:szCs w:val="20"/>
                <w:shd w:val="clear" w:color="auto" w:fill="FFFFFF"/>
              </w:rPr>
            </w:pPr>
            <w:r>
              <w:rPr>
                <w:rStyle w:val="285pt"/>
                <w:rFonts w:ascii="Arial" w:hAnsi="Arial"/>
                <w:sz w:val="20"/>
                <w:szCs w:val="20"/>
              </w:rPr>
              <w:t>Низький</w:t>
            </w:r>
          </w:p>
        </w:tc>
        <w:tc>
          <w:tcPr>
            <w:tcW w:w="4437" w:type="dxa"/>
            <w:tcBorders>
              <w:top w:val="single" w:sz="4" w:space="0" w:color="auto"/>
              <w:bottom w:val="single" w:sz="4" w:space="0" w:color="auto"/>
            </w:tcBorders>
            <w:shd w:val="clear" w:color="auto" w:fill="FFFFFF"/>
          </w:tcPr>
          <w:p w:rsidR="00100ECC" w:rsidRPr="00917CC7" w:rsidRDefault="005904FB" w:rsidP="00C14EEF">
            <w:pPr>
              <w:pStyle w:val="27"/>
              <w:shd w:val="clear" w:color="auto" w:fill="auto"/>
              <w:spacing w:before="0" w:after="0" w:line="240" w:lineRule="auto"/>
              <w:ind w:firstLine="0"/>
              <w:jc w:val="both"/>
              <w:rPr>
                <w:rStyle w:val="285pt"/>
                <w:rFonts w:ascii="Arial" w:hAnsi="Arial" w:cs="Arial"/>
                <w:sz w:val="20"/>
                <w:szCs w:val="20"/>
              </w:rPr>
            </w:pPr>
            <w:r>
              <w:rPr>
                <w:rStyle w:val="285pt"/>
                <w:rFonts w:ascii="Arial" w:hAnsi="Arial"/>
                <w:sz w:val="20"/>
                <w:szCs w:val="20"/>
              </w:rPr>
              <w:t>Поточний</w:t>
            </w:r>
            <w:r w:rsidR="00100ECC">
              <w:rPr>
                <w:rStyle w:val="285pt"/>
                <w:rFonts w:ascii="Arial" w:hAnsi="Arial"/>
                <w:sz w:val="20"/>
                <w:szCs w:val="20"/>
              </w:rPr>
              <w:t xml:space="preserve"> рівень збору доходів перевищує 98%, а збір доходів серед населення - гарний. Оскільки тарифи не будуть перевищувати 4% доходу домогосподарств протягом періоду реалізації проекту, є низька ймовірність того, що домогосподарства не сплатять необхідні тарифи. Крім того, останнім часом водоканали в Україні вже отримали такий ефективний "інструмент", як припинення водопостачання боржників.</w:t>
            </w:r>
          </w:p>
          <w:p w:rsidR="00100ECC" w:rsidRPr="00917CC7" w:rsidRDefault="00100ECC" w:rsidP="00C14EEF">
            <w:pPr>
              <w:pStyle w:val="27"/>
              <w:shd w:val="clear" w:color="auto" w:fill="auto"/>
              <w:spacing w:before="0" w:after="0" w:line="240" w:lineRule="auto"/>
              <w:ind w:firstLine="0"/>
              <w:jc w:val="both"/>
              <w:rPr>
                <w:rFonts w:ascii="Arial" w:eastAsia="Calibri" w:hAnsi="Arial" w:cs="Arial"/>
                <w:sz w:val="20"/>
                <w:szCs w:val="20"/>
                <w:shd w:val="clear" w:color="auto" w:fill="FFFFFF"/>
              </w:rPr>
            </w:pPr>
            <w:r>
              <w:rPr>
                <w:rStyle w:val="285pt"/>
                <w:rFonts w:ascii="Arial" w:hAnsi="Arial"/>
                <w:b/>
                <w:sz w:val="20"/>
                <w:szCs w:val="20"/>
              </w:rPr>
              <w:t>Відповідальна установа:</w:t>
            </w:r>
            <w:r w:rsidR="005904FB">
              <w:rPr>
                <w:rStyle w:val="285pt"/>
                <w:rFonts w:ascii="Arial" w:hAnsi="Arial"/>
                <w:sz w:val="20"/>
                <w:szCs w:val="20"/>
              </w:rPr>
              <w:t xml:space="preserve"> Кінцевий Б</w:t>
            </w:r>
            <w:r>
              <w:rPr>
                <w:rStyle w:val="285pt"/>
                <w:rFonts w:ascii="Arial" w:hAnsi="Arial"/>
                <w:sz w:val="20"/>
                <w:szCs w:val="20"/>
              </w:rPr>
              <w:t>енефіціар.</w:t>
            </w:r>
          </w:p>
        </w:tc>
        <w:tc>
          <w:tcPr>
            <w:tcW w:w="1261" w:type="dxa"/>
            <w:tcBorders>
              <w:top w:val="single" w:sz="4" w:space="0" w:color="auto"/>
              <w:bottom w:val="single" w:sz="4" w:space="0" w:color="auto"/>
            </w:tcBorders>
            <w:shd w:val="clear" w:color="auto" w:fill="FFFFFF"/>
          </w:tcPr>
          <w:p w:rsidR="00100ECC" w:rsidRPr="00917CC7" w:rsidRDefault="00100ECC" w:rsidP="00C14EEF">
            <w:pPr>
              <w:pStyle w:val="27"/>
              <w:shd w:val="clear" w:color="auto" w:fill="auto"/>
              <w:spacing w:before="0" w:after="0" w:line="240" w:lineRule="auto"/>
              <w:ind w:firstLine="0"/>
              <w:rPr>
                <w:rFonts w:ascii="Arial" w:eastAsia="Calibri" w:hAnsi="Arial" w:cs="Arial"/>
                <w:sz w:val="20"/>
                <w:szCs w:val="20"/>
                <w:shd w:val="clear" w:color="auto" w:fill="FFFFFF"/>
              </w:rPr>
            </w:pPr>
            <w:r>
              <w:rPr>
                <w:rStyle w:val="285pt"/>
                <w:rFonts w:ascii="Arial" w:hAnsi="Arial"/>
                <w:sz w:val="20"/>
                <w:szCs w:val="20"/>
              </w:rPr>
              <w:t>Низький</w:t>
            </w:r>
          </w:p>
        </w:tc>
      </w:tr>
      <w:tr w:rsidR="00100ECC" w:rsidRPr="00917CC7" w:rsidTr="00064262">
        <w:trPr>
          <w:trHeight w:hRule="exact" w:val="4410"/>
        </w:trPr>
        <w:tc>
          <w:tcPr>
            <w:tcW w:w="1473" w:type="dxa"/>
            <w:tcBorders>
              <w:top w:val="single" w:sz="4" w:space="0" w:color="auto"/>
              <w:bottom w:val="single" w:sz="4" w:space="0" w:color="auto"/>
            </w:tcBorders>
            <w:shd w:val="clear" w:color="auto" w:fill="FFFFFF"/>
          </w:tcPr>
          <w:p w:rsidR="00100ECC" w:rsidRPr="00D831B7" w:rsidRDefault="00100ECC" w:rsidP="00C14EEF">
            <w:pPr>
              <w:pStyle w:val="27"/>
              <w:shd w:val="clear" w:color="auto" w:fill="auto"/>
              <w:spacing w:before="0" w:after="0" w:line="240" w:lineRule="auto"/>
              <w:ind w:firstLine="0"/>
              <w:jc w:val="left"/>
              <w:rPr>
                <w:rFonts w:ascii="Arial" w:eastAsia="Calibri" w:hAnsi="Arial" w:cs="Arial"/>
                <w:sz w:val="20"/>
                <w:szCs w:val="20"/>
                <w:shd w:val="clear" w:color="auto" w:fill="FFFFFF"/>
              </w:rPr>
            </w:pPr>
            <w:r>
              <w:rPr>
                <w:rStyle w:val="285pt"/>
                <w:rFonts w:ascii="Arial" w:hAnsi="Arial"/>
                <w:sz w:val="20"/>
                <w:szCs w:val="20"/>
              </w:rPr>
              <w:t xml:space="preserve">Збільшення інвестиційних витрат </w:t>
            </w:r>
          </w:p>
        </w:tc>
        <w:tc>
          <w:tcPr>
            <w:tcW w:w="795" w:type="dxa"/>
            <w:gridSpan w:val="2"/>
            <w:tcBorders>
              <w:top w:val="single" w:sz="4" w:space="0" w:color="auto"/>
              <w:bottom w:val="single" w:sz="4" w:space="0" w:color="auto"/>
            </w:tcBorders>
            <w:shd w:val="clear" w:color="auto" w:fill="FFFFFF"/>
          </w:tcPr>
          <w:p w:rsidR="00100ECC" w:rsidRPr="00D831B7" w:rsidRDefault="00100ECC" w:rsidP="00C14EEF">
            <w:pPr>
              <w:pStyle w:val="27"/>
              <w:shd w:val="clear" w:color="auto" w:fill="auto"/>
              <w:spacing w:before="0" w:after="0" w:line="240" w:lineRule="auto"/>
              <w:ind w:left="280" w:firstLine="0"/>
              <w:jc w:val="left"/>
              <w:rPr>
                <w:rFonts w:ascii="Arial" w:eastAsia="Calibri" w:hAnsi="Arial" w:cs="Arial"/>
                <w:sz w:val="20"/>
                <w:szCs w:val="20"/>
                <w:shd w:val="clear" w:color="auto" w:fill="FFFFFF"/>
              </w:rPr>
            </w:pPr>
            <w:r>
              <w:rPr>
                <w:rStyle w:val="285pt"/>
                <w:rFonts w:ascii="Arial" w:hAnsi="Arial"/>
                <w:sz w:val="20"/>
                <w:szCs w:val="20"/>
              </w:rPr>
              <w:t>C</w:t>
            </w:r>
          </w:p>
        </w:tc>
        <w:tc>
          <w:tcPr>
            <w:tcW w:w="567" w:type="dxa"/>
            <w:tcBorders>
              <w:top w:val="single" w:sz="4" w:space="0" w:color="auto"/>
              <w:bottom w:val="single" w:sz="4" w:space="0" w:color="auto"/>
            </w:tcBorders>
            <w:shd w:val="clear" w:color="auto" w:fill="FFFFFF"/>
          </w:tcPr>
          <w:p w:rsidR="00100ECC" w:rsidRPr="00D831B7" w:rsidRDefault="00100ECC" w:rsidP="00C14EEF">
            <w:pPr>
              <w:pStyle w:val="27"/>
              <w:shd w:val="clear" w:color="auto" w:fill="auto"/>
              <w:spacing w:before="0" w:after="0" w:line="240" w:lineRule="auto"/>
              <w:ind w:left="240" w:firstLine="0"/>
              <w:jc w:val="left"/>
              <w:rPr>
                <w:rFonts w:ascii="Arial" w:eastAsia="Calibri" w:hAnsi="Arial" w:cs="Arial"/>
                <w:sz w:val="20"/>
                <w:szCs w:val="20"/>
                <w:shd w:val="clear" w:color="auto" w:fill="FFFFFF"/>
              </w:rPr>
            </w:pPr>
            <w:r>
              <w:rPr>
                <w:rStyle w:val="285pt"/>
                <w:rFonts w:ascii="Arial" w:hAnsi="Arial"/>
                <w:sz w:val="20"/>
                <w:szCs w:val="20"/>
              </w:rPr>
              <w:t>III</w:t>
            </w:r>
          </w:p>
        </w:tc>
        <w:tc>
          <w:tcPr>
            <w:tcW w:w="1119" w:type="dxa"/>
            <w:tcBorders>
              <w:top w:val="single" w:sz="4" w:space="0" w:color="auto"/>
              <w:bottom w:val="single" w:sz="4" w:space="0" w:color="auto"/>
            </w:tcBorders>
            <w:shd w:val="clear" w:color="auto" w:fill="FFFFFF"/>
          </w:tcPr>
          <w:p w:rsidR="00100ECC" w:rsidRPr="00FF57BD" w:rsidRDefault="00DB6659" w:rsidP="00C14EEF">
            <w:pPr>
              <w:pStyle w:val="27"/>
              <w:shd w:val="clear" w:color="auto" w:fill="auto"/>
              <w:spacing w:before="0" w:after="0" w:line="240" w:lineRule="auto"/>
              <w:ind w:firstLine="0"/>
              <w:rPr>
                <w:rFonts w:ascii="Arial" w:eastAsia="Calibri" w:hAnsi="Arial" w:cs="Arial"/>
                <w:sz w:val="20"/>
                <w:szCs w:val="20"/>
                <w:highlight w:val="yellow"/>
                <w:shd w:val="clear" w:color="auto" w:fill="FFFFFF"/>
              </w:rPr>
            </w:pPr>
            <w:r>
              <w:rPr>
                <w:rStyle w:val="285pt"/>
                <w:rFonts w:ascii="Arial" w:hAnsi="Arial"/>
                <w:sz w:val="20"/>
                <w:szCs w:val="20"/>
              </w:rPr>
              <w:t>Помірний</w:t>
            </w:r>
          </w:p>
        </w:tc>
        <w:tc>
          <w:tcPr>
            <w:tcW w:w="4437" w:type="dxa"/>
            <w:tcBorders>
              <w:top w:val="single" w:sz="4" w:space="0" w:color="auto"/>
              <w:bottom w:val="single" w:sz="4" w:space="0" w:color="auto"/>
            </w:tcBorders>
            <w:shd w:val="clear" w:color="auto" w:fill="FFFFFF"/>
          </w:tcPr>
          <w:p w:rsidR="00100ECC" w:rsidRPr="00D831B7" w:rsidRDefault="00100ECC" w:rsidP="00C14EEF">
            <w:pPr>
              <w:pStyle w:val="27"/>
              <w:shd w:val="clear" w:color="auto" w:fill="auto"/>
              <w:spacing w:before="0" w:after="0" w:line="240" w:lineRule="auto"/>
              <w:ind w:firstLine="0"/>
              <w:jc w:val="both"/>
              <w:rPr>
                <w:rStyle w:val="285pt"/>
                <w:rFonts w:ascii="Arial" w:hAnsi="Arial" w:cs="Arial"/>
                <w:sz w:val="20"/>
                <w:szCs w:val="20"/>
              </w:rPr>
            </w:pPr>
            <w:r>
              <w:rPr>
                <w:rStyle w:val="285pt"/>
                <w:rFonts w:ascii="Arial" w:hAnsi="Arial"/>
                <w:sz w:val="20"/>
                <w:szCs w:val="20"/>
              </w:rPr>
              <w:t>Розрахунок інвестиційних витрат співпадає із витратами за подібними проектами, реалізованими в регіоні, та містить елемент непередбачуваності (10%) до першого траншу перевиконання (якщо буде). Тим не менш, слід проводити ретельний моніторинг витрат бюджету (принаймні щоквартально), для контролю та попередження перевищень.</w:t>
            </w:r>
            <w:r w:rsidR="00CB1B48">
              <w:rPr>
                <w:rStyle w:val="285pt"/>
                <w:rFonts w:ascii="Arial" w:hAnsi="Arial"/>
                <w:sz w:val="20"/>
                <w:szCs w:val="20"/>
              </w:rPr>
              <w:t xml:space="preserve"> </w:t>
            </w:r>
          </w:p>
          <w:p w:rsidR="00100ECC" w:rsidRPr="00D831B7" w:rsidRDefault="00100ECC" w:rsidP="00C14EEF">
            <w:pPr>
              <w:pStyle w:val="27"/>
              <w:shd w:val="clear" w:color="auto" w:fill="auto"/>
              <w:spacing w:before="0" w:after="0" w:line="240" w:lineRule="auto"/>
              <w:ind w:firstLine="0"/>
              <w:jc w:val="both"/>
              <w:rPr>
                <w:rStyle w:val="285pt"/>
                <w:rFonts w:ascii="Arial" w:hAnsi="Arial" w:cs="Arial"/>
                <w:sz w:val="20"/>
                <w:szCs w:val="20"/>
              </w:rPr>
            </w:pPr>
          </w:p>
          <w:p w:rsidR="00100ECC" w:rsidRPr="00D831B7" w:rsidRDefault="00100ECC" w:rsidP="00C14EEF">
            <w:pPr>
              <w:pStyle w:val="27"/>
              <w:shd w:val="clear" w:color="auto" w:fill="auto"/>
              <w:spacing w:before="0" w:after="0" w:line="240" w:lineRule="auto"/>
              <w:ind w:firstLine="0"/>
              <w:jc w:val="both"/>
              <w:rPr>
                <w:rStyle w:val="285pt"/>
                <w:rFonts w:ascii="Arial" w:hAnsi="Arial" w:cs="Arial"/>
                <w:sz w:val="20"/>
                <w:szCs w:val="20"/>
              </w:rPr>
            </w:pPr>
            <w:r>
              <w:rPr>
                <w:rStyle w:val="285pt"/>
                <w:rFonts w:ascii="Arial" w:hAnsi="Arial"/>
                <w:sz w:val="20"/>
                <w:szCs w:val="20"/>
              </w:rPr>
              <w:t>Крім того, витрати, зазначені в євро, мають досить низький ризик для Проекту через нестабільність курсу місцевої валюти.</w:t>
            </w:r>
            <w:r w:rsidR="00CB1B48">
              <w:rPr>
                <w:rStyle w:val="285pt"/>
                <w:rFonts w:ascii="Arial" w:hAnsi="Arial"/>
                <w:sz w:val="20"/>
                <w:szCs w:val="20"/>
              </w:rPr>
              <w:t xml:space="preserve"> </w:t>
            </w:r>
            <w:r>
              <w:rPr>
                <w:rStyle w:val="285pt"/>
                <w:rFonts w:ascii="Arial" w:hAnsi="Arial"/>
                <w:sz w:val="20"/>
                <w:szCs w:val="20"/>
              </w:rPr>
              <w:t xml:space="preserve">Кінцевий </w:t>
            </w:r>
            <w:r w:rsidR="00064262">
              <w:rPr>
                <w:rStyle w:val="285pt"/>
                <w:rFonts w:ascii="Arial" w:hAnsi="Arial"/>
                <w:sz w:val="20"/>
                <w:szCs w:val="20"/>
              </w:rPr>
              <w:t>Бенефіці</w:t>
            </w:r>
            <w:r>
              <w:rPr>
                <w:rStyle w:val="285pt"/>
                <w:rFonts w:ascii="Arial" w:hAnsi="Arial"/>
                <w:sz w:val="20"/>
                <w:szCs w:val="20"/>
              </w:rPr>
              <w:t>ар укладає контракт у євро, без можливості коригування ціни.</w:t>
            </w:r>
            <w:r w:rsidR="00CB1B48">
              <w:rPr>
                <w:rStyle w:val="285pt"/>
                <w:rFonts w:ascii="Arial" w:hAnsi="Arial"/>
                <w:sz w:val="20"/>
                <w:szCs w:val="20"/>
              </w:rPr>
              <w:t xml:space="preserve"> </w:t>
            </w:r>
            <w:r>
              <w:rPr>
                <w:rStyle w:val="285pt"/>
                <w:rFonts w:ascii="Arial" w:hAnsi="Arial"/>
                <w:sz w:val="20"/>
                <w:szCs w:val="20"/>
              </w:rPr>
              <w:t xml:space="preserve">На додаток, ризик перевищення витрат може бути компенсований шляхом </w:t>
            </w:r>
            <w:r w:rsidR="005904FB">
              <w:rPr>
                <w:rStyle w:val="285pt"/>
                <w:rFonts w:ascii="Arial" w:hAnsi="Arial"/>
                <w:sz w:val="20"/>
                <w:szCs w:val="20"/>
              </w:rPr>
              <w:t>спів</w:t>
            </w:r>
            <w:r>
              <w:rPr>
                <w:rStyle w:val="285pt"/>
                <w:rFonts w:ascii="Arial" w:hAnsi="Arial"/>
                <w:sz w:val="20"/>
                <w:szCs w:val="20"/>
              </w:rPr>
              <w:t xml:space="preserve">фінансування з амортизаційного фонду </w:t>
            </w:r>
            <w:r w:rsidR="00064262">
              <w:rPr>
                <w:rStyle w:val="285pt"/>
                <w:rFonts w:ascii="Arial" w:hAnsi="Arial"/>
                <w:sz w:val="20"/>
                <w:szCs w:val="20"/>
              </w:rPr>
              <w:t>Б</w:t>
            </w:r>
            <w:r>
              <w:rPr>
                <w:rStyle w:val="285pt"/>
                <w:rFonts w:ascii="Arial" w:hAnsi="Arial"/>
                <w:sz w:val="20"/>
                <w:szCs w:val="20"/>
              </w:rPr>
              <w:t>енефіціара.</w:t>
            </w:r>
          </w:p>
          <w:p w:rsidR="00100ECC" w:rsidRPr="00FF57BD" w:rsidRDefault="00100ECC" w:rsidP="00064262">
            <w:pPr>
              <w:pStyle w:val="27"/>
              <w:shd w:val="clear" w:color="auto" w:fill="auto"/>
              <w:spacing w:before="0" w:after="0" w:line="240" w:lineRule="auto"/>
              <w:ind w:firstLine="0"/>
              <w:jc w:val="both"/>
              <w:rPr>
                <w:rFonts w:ascii="Arial" w:eastAsia="Calibri" w:hAnsi="Arial" w:cs="Arial"/>
                <w:sz w:val="20"/>
                <w:szCs w:val="20"/>
                <w:highlight w:val="yellow"/>
                <w:shd w:val="clear" w:color="auto" w:fill="FFFFFF"/>
              </w:rPr>
            </w:pPr>
            <w:r>
              <w:rPr>
                <w:rStyle w:val="285pt"/>
                <w:rFonts w:ascii="Arial" w:hAnsi="Arial"/>
                <w:b/>
                <w:sz w:val="20"/>
                <w:szCs w:val="20"/>
              </w:rPr>
              <w:t>Відповідальна установа:</w:t>
            </w:r>
            <w:r>
              <w:rPr>
                <w:rStyle w:val="285pt"/>
                <w:rFonts w:ascii="Arial" w:hAnsi="Arial"/>
                <w:sz w:val="20"/>
                <w:szCs w:val="20"/>
              </w:rPr>
              <w:t xml:space="preserve"> Кінцевий </w:t>
            </w:r>
            <w:r w:rsidR="00064262">
              <w:rPr>
                <w:rStyle w:val="285pt"/>
                <w:rFonts w:ascii="Arial" w:hAnsi="Arial"/>
                <w:sz w:val="20"/>
                <w:szCs w:val="20"/>
              </w:rPr>
              <w:t>Б</w:t>
            </w:r>
            <w:r>
              <w:rPr>
                <w:rStyle w:val="285pt"/>
                <w:rFonts w:ascii="Arial" w:hAnsi="Arial"/>
                <w:sz w:val="20"/>
                <w:szCs w:val="20"/>
              </w:rPr>
              <w:t>енефіціар, МРРБУ, ЄІБ</w:t>
            </w:r>
          </w:p>
        </w:tc>
        <w:tc>
          <w:tcPr>
            <w:tcW w:w="1261" w:type="dxa"/>
            <w:tcBorders>
              <w:top w:val="single" w:sz="4" w:space="0" w:color="auto"/>
              <w:bottom w:val="single" w:sz="4" w:space="0" w:color="auto"/>
            </w:tcBorders>
            <w:shd w:val="clear" w:color="auto" w:fill="FFFFFF"/>
          </w:tcPr>
          <w:p w:rsidR="00100ECC" w:rsidRPr="00917CC7" w:rsidRDefault="00100ECC" w:rsidP="00C14EEF">
            <w:pPr>
              <w:pStyle w:val="27"/>
              <w:shd w:val="clear" w:color="auto" w:fill="auto"/>
              <w:spacing w:before="0" w:after="0" w:line="240" w:lineRule="auto"/>
              <w:ind w:firstLine="0"/>
              <w:rPr>
                <w:rFonts w:ascii="Arial" w:eastAsia="Calibri" w:hAnsi="Arial" w:cs="Arial"/>
                <w:sz w:val="20"/>
                <w:szCs w:val="20"/>
                <w:shd w:val="clear" w:color="auto" w:fill="FFFFFF"/>
              </w:rPr>
            </w:pPr>
            <w:r>
              <w:rPr>
                <w:rStyle w:val="285pt"/>
                <w:rFonts w:ascii="Arial" w:hAnsi="Arial"/>
                <w:sz w:val="20"/>
                <w:szCs w:val="20"/>
              </w:rPr>
              <w:t>Низький</w:t>
            </w:r>
          </w:p>
        </w:tc>
      </w:tr>
      <w:tr w:rsidR="00100ECC" w:rsidRPr="00917CC7" w:rsidTr="00064262">
        <w:trPr>
          <w:trHeight w:hRule="exact" w:val="2545"/>
        </w:trPr>
        <w:tc>
          <w:tcPr>
            <w:tcW w:w="1473" w:type="dxa"/>
            <w:tcBorders>
              <w:bottom w:val="single" w:sz="4" w:space="0" w:color="auto"/>
            </w:tcBorders>
            <w:shd w:val="clear" w:color="auto" w:fill="FFFFFF"/>
          </w:tcPr>
          <w:p w:rsidR="00100ECC" w:rsidRPr="00917CC7" w:rsidRDefault="00100ECC" w:rsidP="00064262">
            <w:pPr>
              <w:pStyle w:val="27"/>
              <w:shd w:val="clear" w:color="auto" w:fill="auto"/>
              <w:spacing w:before="0" w:after="0" w:line="240" w:lineRule="auto"/>
              <w:ind w:right="-97" w:firstLine="0"/>
              <w:jc w:val="left"/>
              <w:rPr>
                <w:rFonts w:ascii="Arial" w:eastAsia="Calibri" w:hAnsi="Arial" w:cs="Arial"/>
                <w:sz w:val="20"/>
                <w:szCs w:val="20"/>
                <w:shd w:val="clear" w:color="auto" w:fill="FFFFFF"/>
              </w:rPr>
            </w:pPr>
            <w:r>
              <w:rPr>
                <w:rStyle w:val="285pt"/>
                <w:rFonts w:ascii="Arial" w:hAnsi="Arial"/>
                <w:sz w:val="20"/>
                <w:szCs w:val="20"/>
              </w:rPr>
              <w:t>Збільшення витрат на експлуатацію та технічне обслуговування</w:t>
            </w:r>
          </w:p>
        </w:tc>
        <w:tc>
          <w:tcPr>
            <w:tcW w:w="795" w:type="dxa"/>
            <w:gridSpan w:val="2"/>
            <w:shd w:val="clear" w:color="auto" w:fill="FFFFFF"/>
          </w:tcPr>
          <w:p w:rsidR="00100ECC" w:rsidRPr="00917CC7" w:rsidRDefault="00100ECC" w:rsidP="00C14EEF">
            <w:pPr>
              <w:pStyle w:val="27"/>
              <w:shd w:val="clear" w:color="auto" w:fill="auto"/>
              <w:spacing w:before="0" w:after="0" w:line="240" w:lineRule="auto"/>
              <w:ind w:left="280" w:firstLine="0"/>
              <w:jc w:val="left"/>
              <w:rPr>
                <w:rFonts w:ascii="Arial" w:eastAsia="Calibri" w:hAnsi="Arial" w:cs="Arial"/>
                <w:sz w:val="20"/>
                <w:szCs w:val="20"/>
                <w:shd w:val="clear" w:color="auto" w:fill="FFFFFF"/>
              </w:rPr>
            </w:pPr>
            <w:r>
              <w:rPr>
                <w:rStyle w:val="285pt"/>
                <w:rFonts w:ascii="Arial" w:hAnsi="Arial"/>
                <w:sz w:val="20"/>
                <w:szCs w:val="20"/>
              </w:rPr>
              <w:t>B</w:t>
            </w:r>
          </w:p>
        </w:tc>
        <w:tc>
          <w:tcPr>
            <w:tcW w:w="567" w:type="dxa"/>
            <w:shd w:val="clear" w:color="auto" w:fill="FFFFFF"/>
          </w:tcPr>
          <w:p w:rsidR="00100ECC" w:rsidRPr="00917CC7" w:rsidRDefault="00100ECC" w:rsidP="00C14EEF">
            <w:pPr>
              <w:pStyle w:val="27"/>
              <w:shd w:val="clear" w:color="auto" w:fill="auto"/>
              <w:spacing w:before="0" w:after="0" w:line="240" w:lineRule="auto"/>
              <w:ind w:left="240" w:firstLine="0"/>
              <w:jc w:val="left"/>
              <w:rPr>
                <w:rFonts w:ascii="Arial" w:eastAsia="Calibri" w:hAnsi="Arial" w:cs="Arial"/>
                <w:sz w:val="20"/>
                <w:szCs w:val="20"/>
                <w:shd w:val="clear" w:color="auto" w:fill="FFFFFF"/>
              </w:rPr>
            </w:pPr>
            <w:r>
              <w:rPr>
                <w:rStyle w:val="285pt"/>
                <w:rFonts w:ascii="Arial" w:hAnsi="Arial"/>
                <w:sz w:val="20"/>
                <w:szCs w:val="20"/>
              </w:rPr>
              <w:t>II</w:t>
            </w:r>
          </w:p>
        </w:tc>
        <w:tc>
          <w:tcPr>
            <w:tcW w:w="1119" w:type="dxa"/>
            <w:shd w:val="clear" w:color="auto" w:fill="FFFFFF"/>
          </w:tcPr>
          <w:p w:rsidR="00100ECC" w:rsidRPr="00917CC7" w:rsidRDefault="00100ECC" w:rsidP="00C14EEF">
            <w:pPr>
              <w:pStyle w:val="27"/>
              <w:shd w:val="clear" w:color="auto" w:fill="auto"/>
              <w:spacing w:before="0" w:after="0" w:line="240" w:lineRule="auto"/>
              <w:ind w:firstLine="0"/>
              <w:rPr>
                <w:rFonts w:ascii="Arial" w:eastAsia="Calibri" w:hAnsi="Arial" w:cs="Arial"/>
                <w:sz w:val="20"/>
                <w:szCs w:val="20"/>
                <w:shd w:val="clear" w:color="auto" w:fill="FFFFFF"/>
              </w:rPr>
            </w:pPr>
            <w:r>
              <w:rPr>
                <w:rStyle w:val="285pt"/>
                <w:rFonts w:ascii="Arial" w:hAnsi="Arial"/>
                <w:sz w:val="20"/>
                <w:szCs w:val="20"/>
              </w:rPr>
              <w:t>Низький</w:t>
            </w:r>
          </w:p>
        </w:tc>
        <w:tc>
          <w:tcPr>
            <w:tcW w:w="4437" w:type="dxa"/>
            <w:shd w:val="clear" w:color="auto" w:fill="FFFFFF"/>
          </w:tcPr>
          <w:p w:rsidR="00100ECC" w:rsidRPr="00D831B7" w:rsidRDefault="00100ECC" w:rsidP="00C14EEF">
            <w:pPr>
              <w:pStyle w:val="27"/>
              <w:shd w:val="clear" w:color="auto" w:fill="auto"/>
              <w:spacing w:before="0" w:after="0" w:line="240" w:lineRule="auto"/>
              <w:ind w:firstLine="0"/>
              <w:jc w:val="both"/>
              <w:rPr>
                <w:rStyle w:val="285pt"/>
                <w:rFonts w:ascii="Arial" w:hAnsi="Arial" w:cs="Arial"/>
                <w:color w:val="auto"/>
                <w:sz w:val="20"/>
                <w:szCs w:val="20"/>
              </w:rPr>
            </w:pPr>
            <w:r>
              <w:rPr>
                <w:rStyle w:val="285pt"/>
                <w:rFonts w:ascii="Arial" w:hAnsi="Arial"/>
                <w:sz w:val="20"/>
                <w:szCs w:val="20"/>
              </w:rPr>
              <w:t xml:space="preserve">Структура витрат, що </w:t>
            </w:r>
            <w:r w:rsidR="00064262">
              <w:rPr>
                <w:rStyle w:val="285pt"/>
                <w:rFonts w:ascii="Arial" w:hAnsi="Arial"/>
                <w:sz w:val="20"/>
                <w:szCs w:val="20"/>
              </w:rPr>
              <w:t>існує</w:t>
            </w:r>
            <w:r>
              <w:rPr>
                <w:rStyle w:val="285pt"/>
                <w:rFonts w:ascii="Arial" w:hAnsi="Arial"/>
                <w:sz w:val="20"/>
                <w:szCs w:val="20"/>
              </w:rPr>
              <w:t xml:space="preserve"> - добре встановлена та є гарною базою для прогнозів. Збільшення витрат, пов’язаних з новими інвестиціями (особливо КОС), має більшу невизначеність, але ставить під сумнів порівняно невелику долю загальних операційних витрат. Розраховано всі додаткові витрати, їхній відповідний вплив на проект вважається прийнятним.</w:t>
            </w:r>
          </w:p>
          <w:p w:rsidR="00100ECC" w:rsidRPr="00917CC7" w:rsidRDefault="00100ECC" w:rsidP="00064262">
            <w:pPr>
              <w:pStyle w:val="27"/>
              <w:shd w:val="clear" w:color="auto" w:fill="auto"/>
              <w:spacing w:before="0" w:after="0" w:line="240" w:lineRule="auto"/>
              <w:ind w:firstLine="0"/>
              <w:jc w:val="both"/>
              <w:rPr>
                <w:rFonts w:ascii="Arial" w:eastAsia="Calibri" w:hAnsi="Arial" w:cs="Arial"/>
                <w:sz w:val="20"/>
                <w:szCs w:val="20"/>
                <w:shd w:val="clear" w:color="auto" w:fill="FFFFFF"/>
              </w:rPr>
            </w:pPr>
            <w:r>
              <w:rPr>
                <w:rStyle w:val="285pt"/>
                <w:rFonts w:ascii="Arial" w:hAnsi="Arial"/>
                <w:b/>
                <w:sz w:val="20"/>
                <w:szCs w:val="20"/>
              </w:rPr>
              <w:t>Відповідальна установа:</w:t>
            </w:r>
            <w:r>
              <w:rPr>
                <w:rStyle w:val="285pt"/>
                <w:rFonts w:ascii="Arial" w:hAnsi="Arial"/>
                <w:sz w:val="20"/>
                <w:szCs w:val="20"/>
              </w:rPr>
              <w:t xml:space="preserve"> Кінцевий </w:t>
            </w:r>
            <w:r w:rsidR="00064262">
              <w:rPr>
                <w:rStyle w:val="285pt"/>
                <w:rFonts w:ascii="Arial" w:hAnsi="Arial"/>
                <w:sz w:val="20"/>
                <w:szCs w:val="20"/>
              </w:rPr>
              <w:t>Б</w:t>
            </w:r>
            <w:r>
              <w:rPr>
                <w:rStyle w:val="285pt"/>
                <w:rFonts w:ascii="Arial" w:hAnsi="Arial"/>
                <w:sz w:val="20"/>
                <w:szCs w:val="20"/>
              </w:rPr>
              <w:t>енефіціар.</w:t>
            </w:r>
          </w:p>
        </w:tc>
        <w:tc>
          <w:tcPr>
            <w:tcW w:w="1261" w:type="dxa"/>
            <w:shd w:val="clear" w:color="auto" w:fill="FFFFFF"/>
          </w:tcPr>
          <w:p w:rsidR="00100ECC" w:rsidRPr="00917CC7" w:rsidRDefault="00100ECC" w:rsidP="00C14EEF">
            <w:pPr>
              <w:pStyle w:val="27"/>
              <w:shd w:val="clear" w:color="auto" w:fill="auto"/>
              <w:spacing w:before="0" w:after="0" w:line="240" w:lineRule="auto"/>
              <w:ind w:firstLine="0"/>
              <w:rPr>
                <w:rFonts w:ascii="Arial" w:eastAsia="Calibri" w:hAnsi="Arial" w:cs="Arial"/>
                <w:sz w:val="20"/>
                <w:szCs w:val="20"/>
                <w:shd w:val="clear" w:color="auto" w:fill="FFFFFF"/>
              </w:rPr>
            </w:pPr>
            <w:r>
              <w:rPr>
                <w:rStyle w:val="285pt"/>
                <w:rFonts w:ascii="Arial" w:hAnsi="Arial"/>
                <w:sz w:val="20"/>
                <w:szCs w:val="20"/>
              </w:rPr>
              <w:t>Низький</w:t>
            </w:r>
          </w:p>
        </w:tc>
      </w:tr>
      <w:tr w:rsidR="00100ECC" w:rsidRPr="00917CC7" w:rsidTr="00064262">
        <w:trPr>
          <w:trHeight w:hRule="exact" w:val="3970"/>
        </w:trPr>
        <w:tc>
          <w:tcPr>
            <w:tcW w:w="1473" w:type="dxa"/>
            <w:tcBorders>
              <w:bottom w:val="single" w:sz="4" w:space="0" w:color="auto"/>
            </w:tcBorders>
            <w:shd w:val="clear" w:color="auto" w:fill="FFFFFF"/>
          </w:tcPr>
          <w:p w:rsidR="00100ECC" w:rsidRPr="00917CC7" w:rsidRDefault="00100ECC" w:rsidP="00C14EEF">
            <w:pPr>
              <w:pStyle w:val="27"/>
              <w:shd w:val="clear" w:color="auto" w:fill="auto"/>
              <w:spacing w:before="0" w:after="0" w:line="240" w:lineRule="auto"/>
              <w:ind w:firstLine="0"/>
              <w:jc w:val="left"/>
              <w:rPr>
                <w:rFonts w:ascii="Arial" w:eastAsia="Calibri" w:hAnsi="Arial" w:cs="Arial"/>
                <w:sz w:val="20"/>
                <w:szCs w:val="20"/>
                <w:shd w:val="clear" w:color="auto" w:fill="FFFFFF"/>
              </w:rPr>
            </w:pPr>
            <w:r>
              <w:rPr>
                <w:rStyle w:val="285pt"/>
                <w:rFonts w:ascii="Arial" w:hAnsi="Arial"/>
                <w:sz w:val="20"/>
                <w:szCs w:val="20"/>
              </w:rPr>
              <w:t>Проб</w:t>
            </w:r>
            <w:r w:rsidR="00064262">
              <w:rPr>
                <w:rStyle w:val="285pt"/>
                <w:rFonts w:ascii="Arial" w:hAnsi="Arial"/>
                <w:sz w:val="20"/>
                <w:szCs w:val="20"/>
              </w:rPr>
              <w:t>леми із доступністю місцевого спів</w:t>
            </w:r>
            <w:r>
              <w:rPr>
                <w:rStyle w:val="285pt"/>
                <w:rFonts w:ascii="Arial" w:hAnsi="Arial"/>
                <w:sz w:val="20"/>
                <w:szCs w:val="20"/>
              </w:rPr>
              <w:t>фінансування</w:t>
            </w:r>
          </w:p>
        </w:tc>
        <w:tc>
          <w:tcPr>
            <w:tcW w:w="795" w:type="dxa"/>
            <w:gridSpan w:val="2"/>
            <w:tcBorders>
              <w:bottom w:val="single" w:sz="4" w:space="0" w:color="auto"/>
            </w:tcBorders>
            <w:shd w:val="clear" w:color="auto" w:fill="FFFFFF"/>
          </w:tcPr>
          <w:p w:rsidR="00100ECC" w:rsidRPr="00917CC7" w:rsidRDefault="00100ECC" w:rsidP="00C14EEF">
            <w:pPr>
              <w:pStyle w:val="27"/>
              <w:shd w:val="clear" w:color="auto" w:fill="auto"/>
              <w:spacing w:before="0" w:after="0" w:line="240" w:lineRule="auto"/>
              <w:ind w:left="280" w:firstLine="0"/>
              <w:jc w:val="left"/>
              <w:rPr>
                <w:rFonts w:ascii="Arial" w:eastAsia="Calibri" w:hAnsi="Arial" w:cs="Arial"/>
                <w:sz w:val="20"/>
                <w:szCs w:val="20"/>
                <w:shd w:val="clear" w:color="auto" w:fill="FFFFFF"/>
              </w:rPr>
            </w:pPr>
            <w:r>
              <w:rPr>
                <w:rStyle w:val="285pt"/>
                <w:rFonts w:ascii="Arial" w:hAnsi="Arial"/>
                <w:sz w:val="20"/>
                <w:szCs w:val="20"/>
              </w:rPr>
              <w:t>B</w:t>
            </w:r>
          </w:p>
        </w:tc>
        <w:tc>
          <w:tcPr>
            <w:tcW w:w="567" w:type="dxa"/>
            <w:tcBorders>
              <w:bottom w:val="single" w:sz="4" w:space="0" w:color="auto"/>
            </w:tcBorders>
            <w:shd w:val="clear" w:color="auto" w:fill="FFFFFF"/>
          </w:tcPr>
          <w:p w:rsidR="00100ECC" w:rsidRPr="00917CC7" w:rsidRDefault="00100ECC" w:rsidP="00C14EEF">
            <w:pPr>
              <w:pStyle w:val="27"/>
              <w:shd w:val="clear" w:color="auto" w:fill="auto"/>
              <w:spacing w:before="0" w:after="0" w:line="240" w:lineRule="auto"/>
              <w:ind w:left="240" w:firstLine="0"/>
              <w:jc w:val="left"/>
              <w:rPr>
                <w:rFonts w:ascii="Arial" w:eastAsia="Calibri" w:hAnsi="Arial" w:cs="Arial"/>
                <w:sz w:val="20"/>
                <w:szCs w:val="20"/>
                <w:shd w:val="clear" w:color="auto" w:fill="FFFFFF"/>
              </w:rPr>
            </w:pPr>
            <w:r>
              <w:rPr>
                <w:rStyle w:val="285pt"/>
                <w:rFonts w:ascii="Arial" w:hAnsi="Arial"/>
                <w:sz w:val="20"/>
                <w:szCs w:val="20"/>
              </w:rPr>
              <w:t>IV</w:t>
            </w:r>
          </w:p>
        </w:tc>
        <w:tc>
          <w:tcPr>
            <w:tcW w:w="1119" w:type="dxa"/>
            <w:tcBorders>
              <w:bottom w:val="single" w:sz="4" w:space="0" w:color="auto"/>
            </w:tcBorders>
            <w:shd w:val="clear" w:color="auto" w:fill="FFFFFF"/>
          </w:tcPr>
          <w:p w:rsidR="00100ECC" w:rsidRPr="00917CC7" w:rsidRDefault="00100ECC" w:rsidP="00C14EEF">
            <w:pPr>
              <w:pStyle w:val="27"/>
              <w:shd w:val="clear" w:color="auto" w:fill="auto"/>
              <w:spacing w:before="0" w:after="0" w:line="240" w:lineRule="auto"/>
              <w:ind w:firstLine="0"/>
              <w:rPr>
                <w:rFonts w:ascii="Arial" w:eastAsia="Calibri" w:hAnsi="Arial" w:cs="Arial"/>
                <w:sz w:val="20"/>
                <w:szCs w:val="20"/>
                <w:shd w:val="clear" w:color="auto" w:fill="FFFFFF"/>
              </w:rPr>
            </w:pPr>
            <w:r>
              <w:rPr>
                <w:rStyle w:val="285pt"/>
                <w:rFonts w:ascii="Arial" w:hAnsi="Arial"/>
                <w:sz w:val="20"/>
                <w:szCs w:val="20"/>
              </w:rPr>
              <w:t>Помірний</w:t>
            </w:r>
          </w:p>
        </w:tc>
        <w:tc>
          <w:tcPr>
            <w:tcW w:w="4437" w:type="dxa"/>
            <w:tcBorders>
              <w:bottom w:val="single" w:sz="4" w:space="0" w:color="auto"/>
            </w:tcBorders>
            <w:shd w:val="clear" w:color="auto" w:fill="FFFFFF"/>
          </w:tcPr>
          <w:p w:rsidR="00100ECC" w:rsidRPr="00917CC7" w:rsidRDefault="00100ECC" w:rsidP="00C14EEF">
            <w:pPr>
              <w:pStyle w:val="27"/>
              <w:shd w:val="clear" w:color="auto" w:fill="auto"/>
              <w:spacing w:before="0" w:after="0" w:line="240" w:lineRule="auto"/>
              <w:ind w:firstLine="0"/>
              <w:jc w:val="both"/>
              <w:rPr>
                <w:rFonts w:ascii="Arial" w:eastAsia="Calibri" w:hAnsi="Arial" w:cs="Arial"/>
                <w:sz w:val="20"/>
                <w:szCs w:val="20"/>
                <w:shd w:val="clear" w:color="auto" w:fill="FFFFFF"/>
              </w:rPr>
            </w:pPr>
            <w:r>
              <w:rPr>
                <w:rStyle w:val="285pt"/>
                <w:rFonts w:ascii="Arial" w:hAnsi="Arial"/>
                <w:sz w:val="20"/>
                <w:szCs w:val="20"/>
              </w:rPr>
              <w:t>Місцевий внесок включає в себе залишкову складову плану фінансування на додаток до фінансування ЄІБ.</w:t>
            </w:r>
          </w:p>
          <w:p w:rsidR="00100ECC" w:rsidRPr="00D831B7" w:rsidRDefault="00B01077" w:rsidP="00C14EEF">
            <w:pPr>
              <w:pStyle w:val="27"/>
              <w:shd w:val="clear" w:color="auto" w:fill="auto"/>
              <w:spacing w:before="0" w:after="0" w:line="240" w:lineRule="auto"/>
              <w:ind w:firstLine="0"/>
              <w:jc w:val="both"/>
              <w:rPr>
                <w:rStyle w:val="285pt"/>
                <w:rFonts w:ascii="Arial" w:hAnsi="Arial" w:cs="Arial"/>
                <w:color w:val="auto"/>
                <w:sz w:val="20"/>
                <w:szCs w:val="20"/>
              </w:rPr>
            </w:pPr>
            <w:r>
              <w:rPr>
                <w:rStyle w:val="285pt"/>
                <w:rFonts w:ascii="Arial" w:hAnsi="Arial"/>
                <w:sz w:val="20"/>
                <w:szCs w:val="20"/>
              </w:rPr>
              <w:t xml:space="preserve">Міські органи влади та кінцевий </w:t>
            </w:r>
            <w:r w:rsidR="00064262">
              <w:rPr>
                <w:rStyle w:val="285pt"/>
                <w:rFonts w:ascii="Arial" w:hAnsi="Arial"/>
                <w:sz w:val="20"/>
                <w:szCs w:val="20"/>
              </w:rPr>
              <w:t>Бенефіці</w:t>
            </w:r>
            <w:r>
              <w:rPr>
                <w:rStyle w:val="285pt"/>
                <w:rFonts w:ascii="Arial" w:hAnsi="Arial"/>
                <w:sz w:val="20"/>
                <w:szCs w:val="20"/>
              </w:rPr>
              <w:t>ар продемонстрували спроможність зробити внесок, шляхом посилання на рядки у своєму майбутньому бюджеті.</w:t>
            </w:r>
            <w:r w:rsidR="00CB1B48">
              <w:rPr>
                <w:rStyle w:val="285pt"/>
                <w:rFonts w:ascii="Arial" w:hAnsi="Arial"/>
                <w:sz w:val="20"/>
                <w:szCs w:val="20"/>
              </w:rPr>
              <w:t xml:space="preserve"> </w:t>
            </w:r>
            <w:r>
              <w:rPr>
                <w:rStyle w:val="285pt"/>
                <w:rFonts w:ascii="Arial" w:hAnsi="Arial"/>
                <w:sz w:val="20"/>
                <w:szCs w:val="20"/>
              </w:rPr>
              <w:t xml:space="preserve">Також у якості резервного фонду для співфінансування витрат на проект можна використати річну інвестиційну програму кінцевого </w:t>
            </w:r>
            <w:r w:rsidR="00064262">
              <w:rPr>
                <w:rStyle w:val="285pt"/>
                <w:rFonts w:ascii="Arial" w:hAnsi="Arial"/>
                <w:sz w:val="20"/>
                <w:szCs w:val="20"/>
              </w:rPr>
              <w:t>Бенефіці</w:t>
            </w:r>
            <w:r>
              <w:rPr>
                <w:rStyle w:val="285pt"/>
                <w:rFonts w:ascii="Arial" w:hAnsi="Arial"/>
                <w:sz w:val="20"/>
                <w:szCs w:val="20"/>
              </w:rPr>
              <w:t>ара. Крім того, рекомендується затвердити ПІП та ДСІП на рівні Міської ради як довгострокову програму для отримання додаткової фінансової підтримки від Міських органів влади.</w:t>
            </w:r>
          </w:p>
          <w:p w:rsidR="00100ECC" w:rsidRPr="00917CC7" w:rsidRDefault="00100ECC" w:rsidP="00C14EEF">
            <w:pPr>
              <w:pStyle w:val="27"/>
              <w:shd w:val="clear" w:color="auto" w:fill="auto"/>
              <w:spacing w:before="0" w:after="0" w:line="240" w:lineRule="auto"/>
              <w:ind w:firstLine="0"/>
              <w:jc w:val="both"/>
              <w:rPr>
                <w:rFonts w:ascii="Arial" w:eastAsia="Calibri" w:hAnsi="Arial" w:cs="Arial"/>
                <w:sz w:val="20"/>
                <w:szCs w:val="20"/>
                <w:shd w:val="clear" w:color="auto" w:fill="FFFFFF"/>
              </w:rPr>
            </w:pPr>
            <w:r>
              <w:rPr>
                <w:rStyle w:val="285pt"/>
                <w:rFonts w:ascii="Arial" w:hAnsi="Arial"/>
                <w:b/>
                <w:sz w:val="20"/>
                <w:szCs w:val="20"/>
              </w:rPr>
              <w:t>Відповідальна установа:</w:t>
            </w:r>
            <w:r>
              <w:rPr>
                <w:rStyle w:val="285pt"/>
                <w:rFonts w:ascii="Arial" w:hAnsi="Arial"/>
                <w:sz w:val="20"/>
                <w:szCs w:val="20"/>
              </w:rPr>
              <w:t xml:space="preserve"> Міська влада та кінцевий </w:t>
            </w:r>
            <w:r w:rsidR="00064262">
              <w:rPr>
                <w:rStyle w:val="285pt"/>
                <w:rFonts w:ascii="Arial" w:hAnsi="Arial"/>
                <w:sz w:val="20"/>
                <w:szCs w:val="20"/>
              </w:rPr>
              <w:t>Бенефіці</w:t>
            </w:r>
            <w:r>
              <w:rPr>
                <w:rStyle w:val="285pt"/>
                <w:rFonts w:ascii="Arial" w:hAnsi="Arial"/>
                <w:sz w:val="20"/>
                <w:szCs w:val="20"/>
              </w:rPr>
              <w:t>ар.</w:t>
            </w:r>
          </w:p>
        </w:tc>
        <w:tc>
          <w:tcPr>
            <w:tcW w:w="1261" w:type="dxa"/>
            <w:tcBorders>
              <w:bottom w:val="single" w:sz="4" w:space="0" w:color="auto"/>
            </w:tcBorders>
            <w:shd w:val="clear" w:color="auto" w:fill="FFFFFF"/>
          </w:tcPr>
          <w:p w:rsidR="00100ECC" w:rsidRPr="00917CC7" w:rsidRDefault="00100ECC" w:rsidP="00C14EEF">
            <w:pPr>
              <w:pStyle w:val="27"/>
              <w:shd w:val="clear" w:color="auto" w:fill="auto"/>
              <w:spacing w:before="0" w:after="0" w:line="240" w:lineRule="auto"/>
              <w:ind w:firstLine="0"/>
              <w:rPr>
                <w:rFonts w:ascii="Arial" w:eastAsia="Calibri" w:hAnsi="Arial" w:cs="Arial"/>
                <w:sz w:val="20"/>
                <w:szCs w:val="20"/>
                <w:shd w:val="clear" w:color="auto" w:fill="FFFFFF"/>
              </w:rPr>
            </w:pPr>
            <w:r>
              <w:rPr>
                <w:rStyle w:val="285pt"/>
                <w:rFonts w:ascii="Arial" w:hAnsi="Arial"/>
                <w:sz w:val="20"/>
                <w:szCs w:val="20"/>
              </w:rPr>
              <w:t>Низький</w:t>
            </w:r>
          </w:p>
        </w:tc>
      </w:tr>
      <w:tr w:rsidR="00100ECC" w:rsidRPr="00917CC7" w:rsidTr="005904FB">
        <w:trPr>
          <w:trHeight w:hRule="exact" w:val="2746"/>
        </w:trPr>
        <w:tc>
          <w:tcPr>
            <w:tcW w:w="1473" w:type="dxa"/>
            <w:tcBorders>
              <w:top w:val="single" w:sz="4" w:space="0" w:color="auto"/>
            </w:tcBorders>
            <w:shd w:val="clear" w:color="auto" w:fill="FFFFFF"/>
          </w:tcPr>
          <w:p w:rsidR="00100ECC" w:rsidRPr="00917CC7" w:rsidRDefault="00100ECC" w:rsidP="00C14EEF">
            <w:pPr>
              <w:pStyle w:val="27"/>
              <w:shd w:val="clear" w:color="auto" w:fill="auto"/>
              <w:spacing w:before="0" w:after="0" w:line="240" w:lineRule="auto"/>
              <w:ind w:firstLine="0"/>
              <w:jc w:val="left"/>
              <w:rPr>
                <w:rStyle w:val="285pt"/>
                <w:rFonts w:ascii="Arial" w:hAnsi="Arial" w:cs="Arial"/>
                <w:sz w:val="20"/>
                <w:szCs w:val="20"/>
              </w:rPr>
            </w:pPr>
            <w:r>
              <w:rPr>
                <w:rStyle w:val="285pt"/>
                <w:rFonts w:ascii="Arial" w:hAnsi="Arial"/>
                <w:sz w:val="20"/>
                <w:szCs w:val="20"/>
              </w:rPr>
              <w:t>Підвищення курсу валюти</w:t>
            </w:r>
          </w:p>
        </w:tc>
        <w:tc>
          <w:tcPr>
            <w:tcW w:w="795" w:type="dxa"/>
            <w:gridSpan w:val="2"/>
            <w:tcBorders>
              <w:top w:val="single" w:sz="4" w:space="0" w:color="auto"/>
            </w:tcBorders>
            <w:shd w:val="clear" w:color="auto" w:fill="FFFFFF"/>
          </w:tcPr>
          <w:p w:rsidR="00100ECC" w:rsidRPr="00917CC7" w:rsidRDefault="00100ECC" w:rsidP="00C14EEF">
            <w:pPr>
              <w:pStyle w:val="27"/>
              <w:shd w:val="clear" w:color="auto" w:fill="auto"/>
              <w:spacing w:before="0" w:after="0" w:line="240" w:lineRule="auto"/>
              <w:ind w:left="280" w:firstLine="0"/>
              <w:jc w:val="left"/>
              <w:rPr>
                <w:rStyle w:val="285pt"/>
                <w:rFonts w:ascii="Arial" w:hAnsi="Arial" w:cs="Arial"/>
                <w:sz w:val="20"/>
                <w:szCs w:val="20"/>
              </w:rPr>
            </w:pPr>
            <w:r>
              <w:rPr>
                <w:rStyle w:val="285pt"/>
                <w:rFonts w:ascii="Arial" w:hAnsi="Arial"/>
                <w:sz w:val="20"/>
                <w:szCs w:val="20"/>
              </w:rPr>
              <w:t>C</w:t>
            </w:r>
          </w:p>
        </w:tc>
        <w:tc>
          <w:tcPr>
            <w:tcW w:w="567" w:type="dxa"/>
            <w:tcBorders>
              <w:top w:val="single" w:sz="4" w:space="0" w:color="auto"/>
            </w:tcBorders>
            <w:shd w:val="clear" w:color="auto" w:fill="FFFFFF"/>
          </w:tcPr>
          <w:p w:rsidR="00100ECC" w:rsidRPr="00917CC7" w:rsidRDefault="00100ECC" w:rsidP="00C14EEF">
            <w:pPr>
              <w:pStyle w:val="27"/>
              <w:shd w:val="clear" w:color="auto" w:fill="auto"/>
              <w:spacing w:before="0" w:after="0" w:line="240" w:lineRule="auto"/>
              <w:ind w:left="240" w:firstLine="0"/>
              <w:jc w:val="left"/>
              <w:rPr>
                <w:rStyle w:val="285pt"/>
                <w:rFonts w:ascii="Arial" w:hAnsi="Arial" w:cs="Arial"/>
                <w:sz w:val="20"/>
                <w:szCs w:val="20"/>
              </w:rPr>
            </w:pPr>
            <w:r>
              <w:rPr>
                <w:rStyle w:val="285pt"/>
                <w:rFonts w:ascii="Arial" w:hAnsi="Arial"/>
                <w:sz w:val="20"/>
                <w:szCs w:val="20"/>
              </w:rPr>
              <w:t>V</w:t>
            </w:r>
          </w:p>
        </w:tc>
        <w:tc>
          <w:tcPr>
            <w:tcW w:w="1119" w:type="dxa"/>
            <w:tcBorders>
              <w:top w:val="single" w:sz="4" w:space="0" w:color="auto"/>
            </w:tcBorders>
            <w:shd w:val="clear" w:color="auto" w:fill="FFFFFF"/>
          </w:tcPr>
          <w:p w:rsidR="00100ECC" w:rsidRPr="00917CC7" w:rsidRDefault="00100ECC" w:rsidP="00C14EEF">
            <w:pPr>
              <w:pStyle w:val="27"/>
              <w:shd w:val="clear" w:color="auto" w:fill="auto"/>
              <w:spacing w:before="0" w:after="0" w:line="240" w:lineRule="auto"/>
              <w:ind w:firstLine="0"/>
              <w:rPr>
                <w:rStyle w:val="285pt"/>
                <w:rFonts w:ascii="Arial" w:hAnsi="Arial" w:cs="Arial"/>
                <w:sz w:val="20"/>
                <w:szCs w:val="20"/>
              </w:rPr>
            </w:pPr>
            <w:r>
              <w:rPr>
                <w:rStyle w:val="285pt"/>
                <w:rFonts w:ascii="Arial" w:hAnsi="Arial"/>
                <w:sz w:val="20"/>
                <w:szCs w:val="20"/>
              </w:rPr>
              <w:t>Помірний</w:t>
            </w:r>
          </w:p>
        </w:tc>
        <w:tc>
          <w:tcPr>
            <w:tcW w:w="4437" w:type="dxa"/>
            <w:tcBorders>
              <w:top w:val="single" w:sz="4" w:space="0" w:color="auto"/>
            </w:tcBorders>
            <w:shd w:val="clear" w:color="auto" w:fill="FFFFFF"/>
          </w:tcPr>
          <w:p w:rsidR="00100ECC" w:rsidRDefault="00100ECC" w:rsidP="00C14EEF">
            <w:pPr>
              <w:pStyle w:val="27"/>
              <w:shd w:val="clear" w:color="auto" w:fill="auto"/>
              <w:spacing w:before="0" w:after="0" w:line="240" w:lineRule="auto"/>
              <w:ind w:firstLine="0"/>
              <w:jc w:val="both"/>
              <w:rPr>
                <w:rStyle w:val="285pt"/>
                <w:rFonts w:ascii="Arial" w:hAnsi="Arial" w:cs="Arial"/>
                <w:sz w:val="20"/>
                <w:szCs w:val="20"/>
              </w:rPr>
            </w:pPr>
            <w:r>
              <w:rPr>
                <w:rStyle w:val="285pt"/>
                <w:rFonts w:ascii="Arial" w:hAnsi="Arial"/>
                <w:sz w:val="20"/>
                <w:szCs w:val="20"/>
              </w:rPr>
              <w:t>Підвищення курсу валюти може негативно вплинути на здатність комунального підприємства повернути кредит, незважаючи на коригування тарифів відповідно до такого росту, через можливу затримку коригування з боку НКРЕКП.</w:t>
            </w:r>
            <w:r w:rsidR="00CB1B48">
              <w:rPr>
                <w:rStyle w:val="285pt"/>
                <w:rFonts w:ascii="Arial" w:hAnsi="Arial"/>
                <w:sz w:val="20"/>
                <w:szCs w:val="20"/>
              </w:rPr>
              <w:t xml:space="preserve"> </w:t>
            </w:r>
          </w:p>
          <w:p w:rsidR="00100ECC" w:rsidRDefault="00B01077" w:rsidP="00C14EEF">
            <w:pPr>
              <w:pStyle w:val="27"/>
              <w:shd w:val="clear" w:color="auto" w:fill="auto"/>
              <w:spacing w:before="0" w:after="0" w:line="240" w:lineRule="auto"/>
              <w:ind w:firstLine="0"/>
              <w:jc w:val="both"/>
              <w:rPr>
                <w:rStyle w:val="285pt"/>
                <w:rFonts w:ascii="Arial" w:hAnsi="Arial" w:cs="Arial"/>
                <w:sz w:val="20"/>
                <w:szCs w:val="20"/>
              </w:rPr>
            </w:pPr>
            <w:r>
              <w:rPr>
                <w:rStyle w:val="285pt"/>
                <w:rFonts w:ascii="Arial" w:hAnsi="Arial"/>
                <w:sz w:val="20"/>
                <w:szCs w:val="20"/>
              </w:rPr>
              <w:t>Однак, якщо група керування ЛВК розрахує витрати на повернення позики на основі прогнозу Міністерства фінансів щодо курсу валют, врахованому у Державному бюджеті, ймовірність такого негативного впливу буде низькою.</w:t>
            </w:r>
          </w:p>
          <w:p w:rsidR="00100ECC" w:rsidRPr="00917CC7" w:rsidRDefault="00100ECC" w:rsidP="00C14EEF">
            <w:pPr>
              <w:pStyle w:val="27"/>
              <w:shd w:val="clear" w:color="auto" w:fill="auto"/>
              <w:spacing w:before="0" w:after="0" w:line="240" w:lineRule="auto"/>
              <w:ind w:firstLine="0"/>
              <w:jc w:val="both"/>
              <w:rPr>
                <w:rStyle w:val="285pt"/>
                <w:rFonts w:ascii="Arial" w:hAnsi="Arial" w:cs="Arial"/>
                <w:sz w:val="20"/>
                <w:szCs w:val="20"/>
              </w:rPr>
            </w:pPr>
            <w:r>
              <w:rPr>
                <w:rStyle w:val="285pt"/>
                <w:rFonts w:ascii="Arial" w:hAnsi="Arial"/>
                <w:b/>
                <w:sz w:val="20"/>
                <w:szCs w:val="20"/>
              </w:rPr>
              <w:t>Відповідальна установа:</w:t>
            </w:r>
            <w:r>
              <w:rPr>
                <w:rStyle w:val="285pt"/>
                <w:rFonts w:ascii="Arial" w:hAnsi="Arial"/>
                <w:sz w:val="20"/>
                <w:szCs w:val="20"/>
              </w:rPr>
              <w:t xml:space="preserve"> Кінцевий </w:t>
            </w:r>
            <w:r w:rsidR="00064262">
              <w:rPr>
                <w:rStyle w:val="285pt"/>
                <w:rFonts w:ascii="Arial" w:hAnsi="Arial"/>
                <w:sz w:val="20"/>
                <w:szCs w:val="20"/>
              </w:rPr>
              <w:t>Бенефіці</w:t>
            </w:r>
            <w:r>
              <w:rPr>
                <w:rStyle w:val="285pt"/>
                <w:rFonts w:ascii="Arial" w:hAnsi="Arial"/>
                <w:sz w:val="20"/>
                <w:szCs w:val="20"/>
              </w:rPr>
              <w:t>ар, НКРЕКП</w:t>
            </w:r>
          </w:p>
        </w:tc>
        <w:tc>
          <w:tcPr>
            <w:tcW w:w="1261" w:type="dxa"/>
            <w:tcBorders>
              <w:top w:val="single" w:sz="4" w:space="0" w:color="auto"/>
            </w:tcBorders>
            <w:shd w:val="clear" w:color="auto" w:fill="FFFFFF"/>
          </w:tcPr>
          <w:p w:rsidR="00100ECC" w:rsidRPr="00917CC7" w:rsidRDefault="00100ECC" w:rsidP="00C14EEF">
            <w:pPr>
              <w:pStyle w:val="27"/>
              <w:shd w:val="clear" w:color="auto" w:fill="auto"/>
              <w:spacing w:before="0" w:after="0" w:line="240" w:lineRule="auto"/>
              <w:ind w:firstLine="0"/>
              <w:rPr>
                <w:rStyle w:val="285pt"/>
                <w:rFonts w:ascii="Arial" w:hAnsi="Arial" w:cs="Arial"/>
                <w:sz w:val="20"/>
                <w:szCs w:val="20"/>
              </w:rPr>
            </w:pPr>
            <w:r>
              <w:rPr>
                <w:rStyle w:val="285pt"/>
                <w:rFonts w:ascii="Arial" w:hAnsi="Arial"/>
                <w:sz w:val="20"/>
                <w:szCs w:val="20"/>
              </w:rPr>
              <w:t>Низький</w:t>
            </w:r>
          </w:p>
        </w:tc>
      </w:tr>
      <w:tr w:rsidR="00100ECC" w:rsidRPr="00917CC7" w:rsidTr="00084592">
        <w:trPr>
          <w:trHeight w:hRule="exact" w:val="245"/>
        </w:trPr>
        <w:tc>
          <w:tcPr>
            <w:tcW w:w="9652" w:type="dxa"/>
            <w:gridSpan w:val="7"/>
            <w:shd w:val="clear" w:color="auto" w:fill="BFBFBF" w:themeFill="background1" w:themeFillShade="BF"/>
          </w:tcPr>
          <w:p w:rsidR="00100ECC" w:rsidRPr="00917CC7" w:rsidRDefault="00100ECC" w:rsidP="00C14EEF">
            <w:pPr>
              <w:pStyle w:val="27"/>
              <w:shd w:val="clear" w:color="auto" w:fill="auto"/>
              <w:spacing w:before="0" w:after="0" w:line="240" w:lineRule="auto"/>
              <w:ind w:firstLine="0"/>
              <w:jc w:val="left"/>
              <w:rPr>
                <w:rFonts w:ascii="Arial" w:hAnsi="Arial" w:cs="Arial"/>
                <w:sz w:val="20"/>
                <w:szCs w:val="20"/>
              </w:rPr>
            </w:pPr>
            <w:r>
              <w:rPr>
                <w:rStyle w:val="2a"/>
                <w:rFonts w:ascii="Arial" w:hAnsi="Arial"/>
                <w:sz w:val="20"/>
                <w:szCs w:val="20"/>
                <w:highlight w:val="lightGray"/>
              </w:rPr>
              <w:t>Ризики втілення</w:t>
            </w:r>
          </w:p>
        </w:tc>
      </w:tr>
      <w:tr w:rsidR="00100ECC" w:rsidRPr="00917CC7" w:rsidTr="00064262">
        <w:trPr>
          <w:trHeight w:hRule="exact" w:val="938"/>
        </w:trPr>
        <w:tc>
          <w:tcPr>
            <w:tcW w:w="1473" w:type="dxa"/>
            <w:shd w:val="clear" w:color="auto" w:fill="FFFFFF"/>
          </w:tcPr>
          <w:p w:rsidR="00100ECC" w:rsidRPr="00917CC7" w:rsidRDefault="00100ECC" w:rsidP="00C14EEF">
            <w:pPr>
              <w:pStyle w:val="27"/>
              <w:shd w:val="clear" w:color="auto" w:fill="auto"/>
              <w:spacing w:before="0" w:after="0" w:line="240" w:lineRule="auto"/>
              <w:ind w:firstLine="0"/>
              <w:jc w:val="left"/>
              <w:rPr>
                <w:rFonts w:ascii="Arial" w:hAnsi="Arial" w:cs="Arial"/>
                <w:sz w:val="20"/>
                <w:szCs w:val="20"/>
              </w:rPr>
            </w:pPr>
            <w:r>
              <w:rPr>
                <w:rStyle w:val="285pt"/>
                <w:rFonts w:ascii="Arial" w:hAnsi="Arial"/>
                <w:sz w:val="20"/>
                <w:szCs w:val="20"/>
              </w:rPr>
              <w:t>Проблеми із відведенням земельної ділянки</w:t>
            </w:r>
          </w:p>
        </w:tc>
        <w:tc>
          <w:tcPr>
            <w:tcW w:w="795" w:type="dxa"/>
            <w:gridSpan w:val="2"/>
            <w:shd w:val="clear" w:color="auto" w:fill="FFFFFF"/>
          </w:tcPr>
          <w:p w:rsidR="00100ECC" w:rsidRPr="00917CC7" w:rsidRDefault="00100ECC" w:rsidP="00C14EEF">
            <w:pPr>
              <w:pStyle w:val="27"/>
              <w:shd w:val="clear" w:color="auto" w:fill="auto"/>
              <w:spacing w:before="0" w:after="0" w:line="240" w:lineRule="auto"/>
              <w:ind w:left="300" w:firstLine="0"/>
              <w:jc w:val="left"/>
              <w:rPr>
                <w:rFonts w:ascii="Arial" w:hAnsi="Arial" w:cs="Arial"/>
                <w:sz w:val="20"/>
                <w:szCs w:val="20"/>
              </w:rPr>
            </w:pPr>
            <w:r>
              <w:rPr>
                <w:rStyle w:val="285pt"/>
                <w:rFonts w:ascii="Arial" w:hAnsi="Arial"/>
                <w:sz w:val="20"/>
                <w:szCs w:val="20"/>
              </w:rPr>
              <w:t>B</w:t>
            </w:r>
          </w:p>
        </w:tc>
        <w:tc>
          <w:tcPr>
            <w:tcW w:w="567" w:type="dxa"/>
            <w:shd w:val="clear" w:color="auto" w:fill="FFFFFF"/>
          </w:tcPr>
          <w:p w:rsidR="00100ECC" w:rsidRPr="00917CC7" w:rsidRDefault="00100ECC" w:rsidP="00C14EEF">
            <w:pPr>
              <w:pStyle w:val="27"/>
              <w:shd w:val="clear" w:color="auto" w:fill="auto"/>
              <w:spacing w:before="0" w:after="0" w:line="240" w:lineRule="auto"/>
              <w:ind w:left="260" w:firstLine="0"/>
              <w:jc w:val="left"/>
              <w:rPr>
                <w:rFonts w:ascii="Arial" w:hAnsi="Arial" w:cs="Arial"/>
                <w:sz w:val="20"/>
                <w:szCs w:val="20"/>
              </w:rPr>
            </w:pPr>
            <w:r>
              <w:rPr>
                <w:rStyle w:val="285pt"/>
                <w:rFonts w:ascii="Arial" w:hAnsi="Arial"/>
                <w:sz w:val="20"/>
                <w:szCs w:val="20"/>
              </w:rPr>
              <w:t>II</w:t>
            </w:r>
          </w:p>
        </w:tc>
        <w:tc>
          <w:tcPr>
            <w:tcW w:w="1119" w:type="dxa"/>
            <w:shd w:val="clear" w:color="auto" w:fill="FFFFFF"/>
          </w:tcPr>
          <w:p w:rsidR="00100ECC" w:rsidRPr="00917CC7" w:rsidRDefault="00100ECC" w:rsidP="00C14EEF">
            <w:pPr>
              <w:pStyle w:val="27"/>
              <w:shd w:val="clear" w:color="auto" w:fill="auto"/>
              <w:spacing w:before="0" w:after="0" w:line="240" w:lineRule="auto"/>
              <w:ind w:firstLine="0"/>
              <w:rPr>
                <w:rFonts w:ascii="Arial" w:hAnsi="Arial" w:cs="Arial"/>
                <w:sz w:val="20"/>
                <w:szCs w:val="20"/>
              </w:rPr>
            </w:pPr>
            <w:r>
              <w:rPr>
                <w:rStyle w:val="285pt"/>
                <w:rFonts w:ascii="Arial" w:hAnsi="Arial"/>
                <w:sz w:val="20"/>
                <w:szCs w:val="20"/>
              </w:rPr>
              <w:t>Низький</w:t>
            </w:r>
          </w:p>
        </w:tc>
        <w:tc>
          <w:tcPr>
            <w:tcW w:w="4437" w:type="dxa"/>
            <w:shd w:val="clear" w:color="auto" w:fill="FFFFFF"/>
          </w:tcPr>
          <w:p w:rsidR="00100ECC" w:rsidRPr="00D831B7" w:rsidRDefault="00100ECC" w:rsidP="00C14EEF">
            <w:pPr>
              <w:pStyle w:val="27"/>
              <w:shd w:val="clear" w:color="auto" w:fill="auto"/>
              <w:spacing w:before="0" w:after="0" w:line="240" w:lineRule="auto"/>
              <w:ind w:firstLine="0"/>
              <w:jc w:val="both"/>
              <w:rPr>
                <w:rFonts w:ascii="Arial" w:eastAsia="Calibri" w:hAnsi="Arial" w:cs="Arial"/>
                <w:color w:val="000000"/>
                <w:sz w:val="20"/>
                <w:szCs w:val="20"/>
                <w:shd w:val="clear" w:color="auto" w:fill="FFFFFF"/>
              </w:rPr>
            </w:pPr>
            <w:r>
              <w:rPr>
                <w:rStyle w:val="285pt"/>
                <w:rFonts w:ascii="Arial" w:hAnsi="Arial"/>
                <w:sz w:val="20"/>
                <w:szCs w:val="20"/>
              </w:rPr>
              <w:t>Земля для нових КОС - доступна, та знаходиться у власності водоканалу.</w:t>
            </w:r>
          </w:p>
          <w:p w:rsidR="00100ECC" w:rsidRPr="00B05DDA" w:rsidRDefault="00100ECC" w:rsidP="00C14EEF">
            <w:pPr>
              <w:pStyle w:val="27"/>
              <w:shd w:val="clear" w:color="auto" w:fill="auto"/>
              <w:spacing w:before="0" w:after="0" w:line="240" w:lineRule="auto"/>
              <w:ind w:firstLine="0"/>
              <w:jc w:val="both"/>
              <w:rPr>
                <w:rFonts w:ascii="Arial" w:hAnsi="Arial" w:cs="Arial"/>
                <w:sz w:val="20"/>
                <w:szCs w:val="20"/>
              </w:rPr>
            </w:pPr>
            <w:r>
              <w:rPr>
                <w:rStyle w:val="285pt"/>
                <w:rFonts w:ascii="Arial" w:hAnsi="Arial"/>
                <w:b/>
                <w:sz w:val="20"/>
                <w:szCs w:val="20"/>
              </w:rPr>
              <w:t>Відповідальна установа:</w:t>
            </w:r>
            <w:r>
              <w:rPr>
                <w:rStyle w:val="285pt"/>
                <w:rFonts w:ascii="Arial" w:hAnsi="Arial"/>
                <w:sz w:val="20"/>
                <w:szCs w:val="20"/>
              </w:rPr>
              <w:t xml:space="preserve"> Міська влада, Бенефіціар за проектом..</w:t>
            </w:r>
          </w:p>
        </w:tc>
        <w:tc>
          <w:tcPr>
            <w:tcW w:w="1261" w:type="dxa"/>
            <w:shd w:val="clear" w:color="auto" w:fill="FFFFFF"/>
          </w:tcPr>
          <w:p w:rsidR="00100ECC" w:rsidRPr="00917CC7" w:rsidRDefault="00100ECC" w:rsidP="00C14EEF">
            <w:pPr>
              <w:pStyle w:val="27"/>
              <w:shd w:val="clear" w:color="auto" w:fill="auto"/>
              <w:spacing w:before="0" w:after="0" w:line="240" w:lineRule="auto"/>
              <w:ind w:firstLine="0"/>
              <w:rPr>
                <w:rFonts w:ascii="Arial" w:hAnsi="Arial" w:cs="Arial"/>
                <w:sz w:val="20"/>
                <w:szCs w:val="20"/>
              </w:rPr>
            </w:pPr>
            <w:r>
              <w:rPr>
                <w:rStyle w:val="285pt"/>
                <w:rFonts w:ascii="Arial" w:hAnsi="Arial"/>
                <w:sz w:val="20"/>
                <w:szCs w:val="20"/>
              </w:rPr>
              <w:t>Низький</w:t>
            </w:r>
          </w:p>
        </w:tc>
      </w:tr>
      <w:tr w:rsidR="00100ECC" w:rsidRPr="00917CC7" w:rsidTr="00064262">
        <w:trPr>
          <w:trHeight w:hRule="exact" w:val="1888"/>
        </w:trPr>
        <w:tc>
          <w:tcPr>
            <w:tcW w:w="1473" w:type="dxa"/>
            <w:tcBorders>
              <w:bottom w:val="single" w:sz="4" w:space="0" w:color="auto"/>
            </w:tcBorders>
            <w:shd w:val="clear" w:color="auto" w:fill="FFFFFF"/>
          </w:tcPr>
          <w:p w:rsidR="00100ECC" w:rsidRPr="00B05DDA" w:rsidRDefault="00100ECC" w:rsidP="00C14EEF">
            <w:pPr>
              <w:pStyle w:val="27"/>
              <w:shd w:val="clear" w:color="auto" w:fill="auto"/>
              <w:spacing w:before="0" w:after="0" w:line="240" w:lineRule="auto"/>
              <w:ind w:firstLine="0"/>
              <w:jc w:val="left"/>
              <w:rPr>
                <w:rFonts w:ascii="Arial" w:hAnsi="Arial" w:cs="Arial"/>
                <w:sz w:val="20"/>
                <w:szCs w:val="20"/>
              </w:rPr>
            </w:pPr>
            <w:r>
              <w:rPr>
                <w:rStyle w:val="285pt"/>
                <w:rFonts w:ascii="Arial" w:hAnsi="Arial"/>
                <w:sz w:val="20"/>
                <w:szCs w:val="20"/>
              </w:rPr>
              <w:t>Затримки, пов'язані із процедурою проведення тендеру</w:t>
            </w:r>
          </w:p>
        </w:tc>
        <w:tc>
          <w:tcPr>
            <w:tcW w:w="795" w:type="dxa"/>
            <w:gridSpan w:val="2"/>
            <w:tcBorders>
              <w:bottom w:val="single" w:sz="4" w:space="0" w:color="auto"/>
            </w:tcBorders>
            <w:shd w:val="clear" w:color="auto" w:fill="FFFFFF"/>
          </w:tcPr>
          <w:p w:rsidR="00100ECC" w:rsidRPr="00917CC7" w:rsidRDefault="00100ECC" w:rsidP="00C14EEF">
            <w:pPr>
              <w:pStyle w:val="27"/>
              <w:shd w:val="clear" w:color="auto" w:fill="auto"/>
              <w:spacing w:before="0" w:after="0" w:line="240" w:lineRule="auto"/>
              <w:ind w:left="300" w:firstLine="0"/>
              <w:jc w:val="left"/>
              <w:rPr>
                <w:rFonts w:ascii="Arial" w:hAnsi="Arial" w:cs="Arial"/>
                <w:sz w:val="20"/>
                <w:szCs w:val="20"/>
              </w:rPr>
            </w:pPr>
            <w:r>
              <w:rPr>
                <w:rStyle w:val="285pt"/>
                <w:rFonts w:ascii="Arial" w:hAnsi="Arial"/>
                <w:sz w:val="20"/>
                <w:szCs w:val="20"/>
              </w:rPr>
              <w:t>C</w:t>
            </w:r>
          </w:p>
        </w:tc>
        <w:tc>
          <w:tcPr>
            <w:tcW w:w="567" w:type="dxa"/>
            <w:tcBorders>
              <w:bottom w:val="single" w:sz="4" w:space="0" w:color="auto"/>
            </w:tcBorders>
            <w:shd w:val="clear" w:color="auto" w:fill="FFFFFF"/>
          </w:tcPr>
          <w:p w:rsidR="00100ECC" w:rsidRPr="00917CC7" w:rsidRDefault="00100ECC" w:rsidP="00C14EEF">
            <w:pPr>
              <w:pStyle w:val="27"/>
              <w:shd w:val="clear" w:color="auto" w:fill="auto"/>
              <w:spacing w:before="0" w:after="0" w:line="240" w:lineRule="auto"/>
              <w:ind w:left="260" w:firstLine="0"/>
              <w:jc w:val="left"/>
              <w:rPr>
                <w:rFonts w:ascii="Arial" w:hAnsi="Arial" w:cs="Arial"/>
                <w:sz w:val="20"/>
                <w:szCs w:val="20"/>
              </w:rPr>
            </w:pPr>
            <w:r>
              <w:rPr>
                <w:rStyle w:val="285pt"/>
                <w:rFonts w:ascii="Arial" w:hAnsi="Arial"/>
                <w:sz w:val="20"/>
                <w:szCs w:val="20"/>
              </w:rPr>
              <w:t>III</w:t>
            </w:r>
          </w:p>
        </w:tc>
        <w:tc>
          <w:tcPr>
            <w:tcW w:w="1119" w:type="dxa"/>
            <w:tcBorders>
              <w:bottom w:val="single" w:sz="4" w:space="0" w:color="auto"/>
            </w:tcBorders>
            <w:shd w:val="clear" w:color="auto" w:fill="FFFFFF"/>
          </w:tcPr>
          <w:p w:rsidR="00100ECC" w:rsidRPr="00917CC7" w:rsidRDefault="00100ECC" w:rsidP="00C14EEF">
            <w:pPr>
              <w:pStyle w:val="27"/>
              <w:shd w:val="clear" w:color="auto" w:fill="auto"/>
              <w:spacing w:before="0" w:after="0" w:line="240" w:lineRule="auto"/>
              <w:ind w:firstLine="0"/>
              <w:rPr>
                <w:rFonts w:ascii="Arial" w:hAnsi="Arial" w:cs="Arial"/>
                <w:sz w:val="20"/>
                <w:szCs w:val="20"/>
              </w:rPr>
            </w:pPr>
            <w:r>
              <w:rPr>
                <w:rStyle w:val="285pt"/>
                <w:rFonts w:ascii="Arial" w:hAnsi="Arial"/>
                <w:sz w:val="20"/>
                <w:szCs w:val="20"/>
              </w:rPr>
              <w:t>Помірний</w:t>
            </w:r>
          </w:p>
        </w:tc>
        <w:tc>
          <w:tcPr>
            <w:tcW w:w="4437" w:type="dxa"/>
            <w:tcBorders>
              <w:bottom w:val="single" w:sz="4" w:space="0" w:color="auto"/>
            </w:tcBorders>
            <w:shd w:val="clear" w:color="auto" w:fill="FFFFFF"/>
          </w:tcPr>
          <w:p w:rsidR="00100ECC" w:rsidRPr="00D831B7" w:rsidRDefault="00100ECC" w:rsidP="00C14EEF">
            <w:pPr>
              <w:pStyle w:val="27"/>
              <w:shd w:val="clear" w:color="auto" w:fill="auto"/>
              <w:spacing w:before="0" w:after="0" w:line="240" w:lineRule="auto"/>
              <w:ind w:firstLine="0"/>
              <w:jc w:val="both"/>
              <w:rPr>
                <w:rStyle w:val="285pt"/>
                <w:rFonts w:ascii="Arial" w:eastAsia="Times New Roman" w:hAnsi="Arial" w:cs="Arial"/>
                <w:color w:val="auto"/>
                <w:sz w:val="20"/>
                <w:szCs w:val="20"/>
                <w:shd w:val="clear" w:color="auto" w:fill="auto"/>
              </w:rPr>
            </w:pPr>
            <w:r>
              <w:rPr>
                <w:rStyle w:val="285pt"/>
                <w:rFonts w:ascii="Arial" w:hAnsi="Arial"/>
                <w:sz w:val="20"/>
                <w:szCs w:val="20"/>
              </w:rPr>
              <w:t xml:space="preserve">Група реалізації проекту (ГРП) кінцевого </w:t>
            </w:r>
            <w:r w:rsidR="00064262">
              <w:rPr>
                <w:rStyle w:val="285pt"/>
                <w:rFonts w:ascii="Arial" w:hAnsi="Arial"/>
                <w:sz w:val="20"/>
                <w:szCs w:val="20"/>
              </w:rPr>
              <w:t>Бенефіці</w:t>
            </w:r>
            <w:r>
              <w:rPr>
                <w:rStyle w:val="285pt"/>
                <w:rFonts w:ascii="Arial" w:hAnsi="Arial"/>
                <w:sz w:val="20"/>
                <w:szCs w:val="20"/>
              </w:rPr>
              <w:t>ар</w:t>
            </w:r>
            <w:r w:rsidR="00064262">
              <w:rPr>
                <w:rStyle w:val="285pt"/>
                <w:rFonts w:ascii="Arial" w:hAnsi="Arial"/>
                <w:sz w:val="20"/>
                <w:szCs w:val="20"/>
              </w:rPr>
              <w:t>а</w:t>
            </w:r>
            <w:r>
              <w:rPr>
                <w:rStyle w:val="285pt"/>
                <w:rFonts w:ascii="Arial" w:hAnsi="Arial"/>
                <w:sz w:val="20"/>
                <w:szCs w:val="20"/>
              </w:rPr>
              <w:t xml:space="preserve"> має спеціальне технічне сприяння. Графік проведення закупівель та здійснення будівельних робіт здається реальним та потенційно відповідає дозволеному періоду виконання.</w:t>
            </w:r>
          </w:p>
          <w:p w:rsidR="00100ECC" w:rsidRPr="00B05DDA" w:rsidRDefault="00100ECC" w:rsidP="00C14EEF">
            <w:pPr>
              <w:pStyle w:val="27"/>
              <w:shd w:val="clear" w:color="auto" w:fill="auto"/>
              <w:spacing w:before="0" w:after="0" w:line="240" w:lineRule="auto"/>
              <w:ind w:firstLine="0"/>
              <w:jc w:val="both"/>
              <w:rPr>
                <w:rFonts w:ascii="Arial" w:hAnsi="Arial" w:cs="Arial"/>
                <w:sz w:val="20"/>
                <w:szCs w:val="20"/>
              </w:rPr>
            </w:pPr>
            <w:r>
              <w:rPr>
                <w:rStyle w:val="285pt"/>
                <w:rFonts w:ascii="Arial" w:hAnsi="Arial"/>
                <w:b/>
                <w:sz w:val="20"/>
                <w:szCs w:val="20"/>
              </w:rPr>
              <w:t>Відповідальна установа:</w:t>
            </w:r>
            <w:r>
              <w:rPr>
                <w:rStyle w:val="285pt"/>
                <w:rFonts w:ascii="Arial" w:hAnsi="Arial"/>
                <w:sz w:val="20"/>
                <w:szCs w:val="20"/>
              </w:rPr>
              <w:t xml:space="preserve"> Кінцевий </w:t>
            </w:r>
            <w:r w:rsidR="00064262">
              <w:rPr>
                <w:rStyle w:val="285pt"/>
                <w:rFonts w:ascii="Arial" w:hAnsi="Arial"/>
                <w:sz w:val="20"/>
                <w:szCs w:val="20"/>
              </w:rPr>
              <w:t>Бенефіці</w:t>
            </w:r>
            <w:r>
              <w:rPr>
                <w:rStyle w:val="285pt"/>
                <w:rFonts w:ascii="Arial" w:hAnsi="Arial"/>
                <w:sz w:val="20"/>
                <w:szCs w:val="20"/>
              </w:rPr>
              <w:t>ар, Центральна ГРП, Консультант</w:t>
            </w:r>
          </w:p>
        </w:tc>
        <w:tc>
          <w:tcPr>
            <w:tcW w:w="1261" w:type="dxa"/>
            <w:tcBorders>
              <w:bottom w:val="single" w:sz="4" w:space="0" w:color="auto"/>
            </w:tcBorders>
            <w:shd w:val="clear" w:color="auto" w:fill="FFFFFF"/>
          </w:tcPr>
          <w:p w:rsidR="00100ECC" w:rsidRPr="00917CC7" w:rsidRDefault="00100ECC" w:rsidP="00C14EEF">
            <w:pPr>
              <w:pStyle w:val="27"/>
              <w:shd w:val="clear" w:color="auto" w:fill="auto"/>
              <w:spacing w:before="0" w:after="0" w:line="240" w:lineRule="auto"/>
              <w:ind w:firstLine="0"/>
              <w:rPr>
                <w:rFonts w:ascii="Arial" w:hAnsi="Arial" w:cs="Arial"/>
                <w:sz w:val="20"/>
                <w:szCs w:val="20"/>
              </w:rPr>
            </w:pPr>
            <w:r>
              <w:rPr>
                <w:rStyle w:val="285pt"/>
                <w:rFonts w:ascii="Arial" w:hAnsi="Arial"/>
                <w:sz w:val="20"/>
                <w:szCs w:val="20"/>
              </w:rPr>
              <w:t>Низький</w:t>
            </w:r>
          </w:p>
        </w:tc>
      </w:tr>
      <w:tr w:rsidR="00100ECC" w:rsidRPr="00917CC7" w:rsidTr="00064262">
        <w:trPr>
          <w:trHeight w:hRule="exact" w:val="1702"/>
        </w:trPr>
        <w:tc>
          <w:tcPr>
            <w:tcW w:w="1473" w:type="dxa"/>
            <w:tcBorders>
              <w:bottom w:val="single" w:sz="4" w:space="0" w:color="auto"/>
            </w:tcBorders>
            <w:shd w:val="clear" w:color="auto" w:fill="FFFFFF"/>
          </w:tcPr>
          <w:p w:rsidR="00100ECC" w:rsidRPr="00064262" w:rsidRDefault="00100ECC" w:rsidP="00C14EEF">
            <w:pPr>
              <w:pStyle w:val="27"/>
              <w:shd w:val="clear" w:color="auto" w:fill="auto"/>
              <w:spacing w:before="0" w:after="0" w:line="240" w:lineRule="auto"/>
              <w:ind w:firstLine="0"/>
              <w:jc w:val="left"/>
              <w:rPr>
                <w:rStyle w:val="285pt"/>
                <w:rFonts w:ascii="Arial" w:hAnsi="Arial"/>
                <w:sz w:val="20"/>
                <w:szCs w:val="20"/>
              </w:rPr>
            </w:pPr>
            <w:r w:rsidRPr="00064262">
              <w:rPr>
                <w:rStyle w:val="285pt"/>
                <w:rFonts w:ascii="Arial" w:hAnsi="Arial"/>
                <w:sz w:val="20"/>
                <w:szCs w:val="20"/>
              </w:rPr>
              <w:t>Організаційні ризики (нестача мотивації персоналу КП до змін)</w:t>
            </w:r>
          </w:p>
        </w:tc>
        <w:tc>
          <w:tcPr>
            <w:tcW w:w="795" w:type="dxa"/>
            <w:gridSpan w:val="2"/>
            <w:tcBorders>
              <w:bottom w:val="single" w:sz="4" w:space="0" w:color="auto"/>
            </w:tcBorders>
            <w:shd w:val="clear" w:color="auto" w:fill="FFFFFF"/>
          </w:tcPr>
          <w:p w:rsidR="00100ECC" w:rsidRPr="00917CC7" w:rsidRDefault="00100ECC" w:rsidP="00C14EEF">
            <w:pPr>
              <w:pStyle w:val="27"/>
              <w:shd w:val="clear" w:color="auto" w:fill="auto"/>
              <w:spacing w:before="0" w:after="0" w:line="240" w:lineRule="auto"/>
              <w:ind w:left="300" w:firstLine="0"/>
              <w:jc w:val="left"/>
              <w:rPr>
                <w:rStyle w:val="285pt"/>
                <w:rFonts w:ascii="Arial" w:hAnsi="Arial" w:cs="Arial"/>
                <w:sz w:val="20"/>
                <w:szCs w:val="20"/>
              </w:rPr>
            </w:pPr>
            <w:r>
              <w:rPr>
                <w:rStyle w:val="285pt"/>
                <w:rFonts w:ascii="Arial" w:hAnsi="Arial"/>
                <w:sz w:val="20"/>
                <w:szCs w:val="20"/>
              </w:rPr>
              <w:t>C</w:t>
            </w:r>
          </w:p>
        </w:tc>
        <w:tc>
          <w:tcPr>
            <w:tcW w:w="567" w:type="dxa"/>
            <w:tcBorders>
              <w:bottom w:val="single" w:sz="4" w:space="0" w:color="auto"/>
            </w:tcBorders>
            <w:shd w:val="clear" w:color="auto" w:fill="FFFFFF"/>
          </w:tcPr>
          <w:p w:rsidR="00100ECC" w:rsidRPr="00917CC7" w:rsidRDefault="00100ECC" w:rsidP="00C14EEF">
            <w:pPr>
              <w:pStyle w:val="27"/>
              <w:shd w:val="clear" w:color="auto" w:fill="auto"/>
              <w:spacing w:before="0" w:after="0" w:line="240" w:lineRule="auto"/>
              <w:ind w:left="260" w:firstLine="0"/>
              <w:jc w:val="left"/>
              <w:rPr>
                <w:rStyle w:val="285pt"/>
                <w:rFonts w:ascii="Arial" w:hAnsi="Arial" w:cs="Arial"/>
                <w:sz w:val="20"/>
                <w:szCs w:val="20"/>
              </w:rPr>
            </w:pPr>
            <w:r>
              <w:rPr>
                <w:rStyle w:val="285pt"/>
                <w:rFonts w:ascii="Arial" w:hAnsi="Arial"/>
                <w:sz w:val="20"/>
                <w:szCs w:val="20"/>
              </w:rPr>
              <w:t>IV</w:t>
            </w:r>
          </w:p>
        </w:tc>
        <w:tc>
          <w:tcPr>
            <w:tcW w:w="1119" w:type="dxa"/>
            <w:tcBorders>
              <w:bottom w:val="single" w:sz="4" w:space="0" w:color="auto"/>
            </w:tcBorders>
            <w:shd w:val="clear" w:color="auto" w:fill="FFFFFF"/>
          </w:tcPr>
          <w:p w:rsidR="00100ECC" w:rsidRPr="00917CC7" w:rsidRDefault="00100ECC" w:rsidP="00C14EEF">
            <w:pPr>
              <w:pStyle w:val="27"/>
              <w:shd w:val="clear" w:color="auto" w:fill="auto"/>
              <w:spacing w:before="0" w:after="0" w:line="240" w:lineRule="auto"/>
              <w:ind w:firstLine="0"/>
              <w:rPr>
                <w:rStyle w:val="285pt"/>
                <w:rFonts w:ascii="Arial" w:hAnsi="Arial" w:cs="Arial"/>
                <w:sz w:val="20"/>
                <w:szCs w:val="20"/>
              </w:rPr>
            </w:pPr>
            <w:r>
              <w:rPr>
                <w:rStyle w:val="285pt"/>
                <w:rFonts w:ascii="Arial" w:hAnsi="Arial"/>
                <w:sz w:val="20"/>
                <w:szCs w:val="20"/>
              </w:rPr>
              <w:t>Помірний</w:t>
            </w:r>
          </w:p>
        </w:tc>
        <w:tc>
          <w:tcPr>
            <w:tcW w:w="4437" w:type="dxa"/>
            <w:tcBorders>
              <w:bottom w:val="single" w:sz="4" w:space="0" w:color="auto"/>
            </w:tcBorders>
            <w:shd w:val="clear" w:color="auto" w:fill="FFFFFF"/>
          </w:tcPr>
          <w:p w:rsidR="00100ECC" w:rsidRDefault="00100ECC" w:rsidP="00C14EEF">
            <w:pPr>
              <w:pStyle w:val="27"/>
              <w:shd w:val="clear" w:color="auto" w:fill="auto"/>
              <w:spacing w:before="0" w:after="0" w:line="240" w:lineRule="auto"/>
              <w:ind w:firstLine="0"/>
              <w:jc w:val="both"/>
              <w:rPr>
                <w:rStyle w:val="285pt"/>
                <w:rFonts w:ascii="Arial" w:hAnsi="Arial" w:cs="Arial"/>
                <w:sz w:val="20"/>
                <w:szCs w:val="20"/>
              </w:rPr>
            </w:pPr>
            <w:r>
              <w:rPr>
                <w:rStyle w:val="285pt"/>
                <w:rFonts w:ascii="Arial" w:hAnsi="Arial"/>
                <w:sz w:val="20"/>
                <w:szCs w:val="20"/>
              </w:rPr>
              <w:t>Нестача мотивації персоналу КП до змін може бути усунена шляхом проведення відповідних тренінгів та семінарів із формування команди, а також шляхом прийняття миттєвих рішень з боку керівництва КП.</w:t>
            </w:r>
          </w:p>
          <w:p w:rsidR="00100ECC" w:rsidRPr="00917CC7" w:rsidRDefault="00100ECC" w:rsidP="00C14EEF">
            <w:pPr>
              <w:pStyle w:val="27"/>
              <w:shd w:val="clear" w:color="auto" w:fill="auto"/>
              <w:spacing w:before="0" w:after="0" w:line="240" w:lineRule="auto"/>
              <w:ind w:firstLine="0"/>
              <w:jc w:val="both"/>
              <w:rPr>
                <w:rStyle w:val="285pt"/>
                <w:rFonts w:ascii="Arial" w:hAnsi="Arial" w:cs="Arial"/>
                <w:sz w:val="20"/>
                <w:szCs w:val="20"/>
              </w:rPr>
            </w:pPr>
            <w:r>
              <w:rPr>
                <w:rStyle w:val="285pt"/>
                <w:rFonts w:ascii="Arial" w:hAnsi="Arial"/>
                <w:b/>
                <w:sz w:val="20"/>
                <w:szCs w:val="20"/>
              </w:rPr>
              <w:t>Відповідальна установа:</w:t>
            </w:r>
            <w:r>
              <w:rPr>
                <w:rStyle w:val="285pt"/>
                <w:rFonts w:ascii="Arial" w:hAnsi="Arial"/>
                <w:sz w:val="20"/>
                <w:szCs w:val="20"/>
              </w:rPr>
              <w:t xml:space="preserve"> Команда керівництва Кінцевого </w:t>
            </w:r>
            <w:r w:rsidR="00064262">
              <w:rPr>
                <w:rStyle w:val="285pt"/>
                <w:rFonts w:ascii="Arial" w:hAnsi="Arial"/>
                <w:sz w:val="20"/>
                <w:szCs w:val="20"/>
              </w:rPr>
              <w:t>Бенефіці</w:t>
            </w:r>
            <w:r>
              <w:rPr>
                <w:rStyle w:val="285pt"/>
                <w:rFonts w:ascii="Arial" w:hAnsi="Arial"/>
                <w:sz w:val="20"/>
                <w:szCs w:val="20"/>
              </w:rPr>
              <w:t>ара</w:t>
            </w:r>
          </w:p>
        </w:tc>
        <w:tc>
          <w:tcPr>
            <w:tcW w:w="1261" w:type="dxa"/>
            <w:tcBorders>
              <w:bottom w:val="single" w:sz="4" w:space="0" w:color="auto"/>
            </w:tcBorders>
            <w:shd w:val="clear" w:color="auto" w:fill="FFFFFF"/>
          </w:tcPr>
          <w:p w:rsidR="00100ECC" w:rsidRPr="00917CC7" w:rsidRDefault="00100ECC" w:rsidP="00C14EEF">
            <w:pPr>
              <w:pStyle w:val="27"/>
              <w:shd w:val="clear" w:color="auto" w:fill="auto"/>
              <w:spacing w:before="0" w:after="0" w:line="240" w:lineRule="auto"/>
              <w:ind w:firstLine="0"/>
              <w:rPr>
                <w:rStyle w:val="285pt"/>
                <w:rFonts w:ascii="Arial" w:hAnsi="Arial" w:cs="Arial"/>
                <w:sz w:val="20"/>
                <w:szCs w:val="20"/>
              </w:rPr>
            </w:pPr>
            <w:r>
              <w:rPr>
                <w:rStyle w:val="285pt"/>
                <w:rFonts w:ascii="Arial" w:hAnsi="Arial"/>
                <w:sz w:val="20"/>
                <w:szCs w:val="20"/>
              </w:rPr>
              <w:t>Низький</w:t>
            </w:r>
          </w:p>
        </w:tc>
      </w:tr>
      <w:tr w:rsidR="00100ECC" w:rsidRPr="00917CC7" w:rsidTr="00064262">
        <w:trPr>
          <w:trHeight w:hRule="exact" w:val="3541"/>
        </w:trPr>
        <w:tc>
          <w:tcPr>
            <w:tcW w:w="1473" w:type="dxa"/>
            <w:tcBorders>
              <w:top w:val="single" w:sz="4" w:space="0" w:color="auto"/>
            </w:tcBorders>
            <w:shd w:val="clear" w:color="auto" w:fill="FFFFFF"/>
          </w:tcPr>
          <w:p w:rsidR="00100ECC" w:rsidRPr="00064262" w:rsidRDefault="00100ECC" w:rsidP="00C14EEF">
            <w:pPr>
              <w:pStyle w:val="27"/>
              <w:shd w:val="clear" w:color="auto" w:fill="auto"/>
              <w:spacing w:before="0" w:after="0" w:line="240" w:lineRule="auto"/>
              <w:ind w:firstLine="0"/>
              <w:jc w:val="left"/>
              <w:rPr>
                <w:rStyle w:val="285pt"/>
                <w:rFonts w:ascii="Arial" w:hAnsi="Arial"/>
                <w:sz w:val="20"/>
                <w:szCs w:val="20"/>
              </w:rPr>
            </w:pPr>
            <w:r w:rsidRPr="00064262">
              <w:rPr>
                <w:rStyle w:val="285pt"/>
                <w:rFonts w:ascii="Arial" w:hAnsi="Arial"/>
                <w:sz w:val="20"/>
                <w:szCs w:val="20"/>
              </w:rPr>
              <w:t>Ризик змін законодавчих та нормативних актів</w:t>
            </w:r>
          </w:p>
        </w:tc>
        <w:tc>
          <w:tcPr>
            <w:tcW w:w="795" w:type="dxa"/>
            <w:gridSpan w:val="2"/>
            <w:tcBorders>
              <w:top w:val="single" w:sz="4" w:space="0" w:color="auto"/>
            </w:tcBorders>
            <w:shd w:val="clear" w:color="auto" w:fill="FFFFFF"/>
          </w:tcPr>
          <w:p w:rsidR="00100ECC" w:rsidRDefault="00100ECC" w:rsidP="00C14EEF">
            <w:pPr>
              <w:pStyle w:val="27"/>
              <w:shd w:val="clear" w:color="auto" w:fill="auto"/>
              <w:spacing w:before="0" w:after="0" w:line="240" w:lineRule="auto"/>
              <w:ind w:left="300" w:firstLine="0"/>
              <w:jc w:val="left"/>
              <w:rPr>
                <w:rStyle w:val="285pt"/>
                <w:rFonts w:ascii="Arial" w:hAnsi="Arial" w:cs="Arial"/>
                <w:sz w:val="20"/>
                <w:szCs w:val="20"/>
              </w:rPr>
            </w:pPr>
            <w:r>
              <w:rPr>
                <w:rStyle w:val="285pt"/>
                <w:rFonts w:ascii="Arial" w:hAnsi="Arial"/>
                <w:sz w:val="20"/>
                <w:szCs w:val="20"/>
              </w:rPr>
              <w:t>C</w:t>
            </w:r>
          </w:p>
        </w:tc>
        <w:tc>
          <w:tcPr>
            <w:tcW w:w="567" w:type="dxa"/>
            <w:tcBorders>
              <w:top w:val="single" w:sz="4" w:space="0" w:color="auto"/>
            </w:tcBorders>
            <w:shd w:val="clear" w:color="auto" w:fill="FFFFFF"/>
          </w:tcPr>
          <w:p w:rsidR="00100ECC" w:rsidRDefault="00100ECC" w:rsidP="00C14EEF">
            <w:pPr>
              <w:pStyle w:val="27"/>
              <w:shd w:val="clear" w:color="auto" w:fill="auto"/>
              <w:spacing w:before="0" w:after="0" w:line="240" w:lineRule="auto"/>
              <w:ind w:left="260" w:firstLine="0"/>
              <w:jc w:val="left"/>
              <w:rPr>
                <w:rStyle w:val="285pt"/>
                <w:rFonts w:ascii="Arial" w:hAnsi="Arial" w:cs="Arial"/>
                <w:sz w:val="20"/>
                <w:szCs w:val="20"/>
              </w:rPr>
            </w:pPr>
            <w:r>
              <w:rPr>
                <w:rStyle w:val="285pt"/>
                <w:rFonts w:ascii="Arial" w:hAnsi="Arial"/>
                <w:sz w:val="20"/>
                <w:szCs w:val="20"/>
              </w:rPr>
              <w:t>IV</w:t>
            </w:r>
          </w:p>
        </w:tc>
        <w:tc>
          <w:tcPr>
            <w:tcW w:w="1119" w:type="dxa"/>
            <w:tcBorders>
              <w:top w:val="single" w:sz="4" w:space="0" w:color="auto"/>
            </w:tcBorders>
            <w:shd w:val="clear" w:color="auto" w:fill="FFFFFF"/>
          </w:tcPr>
          <w:p w:rsidR="00100ECC" w:rsidRDefault="00100ECC" w:rsidP="00C14EEF">
            <w:pPr>
              <w:pStyle w:val="27"/>
              <w:shd w:val="clear" w:color="auto" w:fill="auto"/>
              <w:spacing w:before="0" w:after="0" w:line="240" w:lineRule="auto"/>
              <w:ind w:firstLine="0"/>
              <w:rPr>
                <w:rStyle w:val="285pt"/>
                <w:rFonts w:ascii="Arial" w:hAnsi="Arial" w:cs="Arial"/>
                <w:sz w:val="20"/>
                <w:szCs w:val="20"/>
              </w:rPr>
            </w:pPr>
            <w:r>
              <w:rPr>
                <w:rStyle w:val="285pt"/>
                <w:rFonts w:ascii="Arial" w:hAnsi="Arial"/>
                <w:sz w:val="20"/>
                <w:szCs w:val="20"/>
              </w:rPr>
              <w:t>Помірний</w:t>
            </w:r>
          </w:p>
        </w:tc>
        <w:tc>
          <w:tcPr>
            <w:tcW w:w="4437" w:type="dxa"/>
            <w:tcBorders>
              <w:top w:val="single" w:sz="4" w:space="0" w:color="auto"/>
            </w:tcBorders>
            <w:shd w:val="clear" w:color="auto" w:fill="FFFFFF"/>
          </w:tcPr>
          <w:p w:rsidR="00100ECC" w:rsidRPr="00064262" w:rsidRDefault="00100ECC" w:rsidP="00C14EEF">
            <w:pPr>
              <w:pStyle w:val="27"/>
              <w:shd w:val="clear" w:color="auto" w:fill="auto"/>
              <w:spacing w:before="0" w:after="0" w:line="240" w:lineRule="auto"/>
              <w:ind w:firstLine="0"/>
              <w:jc w:val="both"/>
              <w:rPr>
                <w:rStyle w:val="285pt"/>
                <w:rFonts w:ascii="Arial" w:hAnsi="Arial"/>
                <w:sz w:val="20"/>
                <w:szCs w:val="20"/>
              </w:rPr>
            </w:pPr>
            <w:r>
              <w:rPr>
                <w:rStyle w:val="285pt"/>
                <w:rFonts w:ascii="Arial" w:hAnsi="Arial"/>
                <w:sz w:val="20"/>
                <w:szCs w:val="20"/>
              </w:rPr>
              <w:t>Ризик змін національних законодавчих актів може бути зменшений тим, що позика ЄІБ основана на окремій рамковій угоді, яка має статус національного законодавчого акту через відповідну ратифікацію в українському парламенті.</w:t>
            </w:r>
            <w:r w:rsidR="00CB1B48">
              <w:rPr>
                <w:rStyle w:val="285pt"/>
                <w:rFonts w:ascii="Arial" w:hAnsi="Arial"/>
                <w:sz w:val="20"/>
                <w:szCs w:val="20"/>
              </w:rPr>
              <w:t xml:space="preserve"> </w:t>
            </w:r>
          </w:p>
          <w:p w:rsidR="00100ECC" w:rsidRPr="00064262" w:rsidRDefault="00100ECC" w:rsidP="00C14EEF">
            <w:pPr>
              <w:pStyle w:val="27"/>
              <w:shd w:val="clear" w:color="auto" w:fill="auto"/>
              <w:spacing w:before="0" w:after="0" w:line="240" w:lineRule="auto"/>
              <w:ind w:firstLine="0"/>
              <w:jc w:val="both"/>
              <w:rPr>
                <w:rStyle w:val="285pt"/>
                <w:rFonts w:ascii="Arial" w:hAnsi="Arial"/>
                <w:sz w:val="20"/>
                <w:szCs w:val="20"/>
              </w:rPr>
            </w:pPr>
            <w:r>
              <w:rPr>
                <w:rStyle w:val="285pt"/>
                <w:rFonts w:ascii="Arial" w:hAnsi="Arial"/>
                <w:sz w:val="20"/>
                <w:szCs w:val="20"/>
              </w:rPr>
              <w:t xml:space="preserve">Крім того, кінцевий </w:t>
            </w:r>
            <w:r w:rsidR="00064262">
              <w:rPr>
                <w:rStyle w:val="285pt"/>
                <w:rFonts w:ascii="Arial" w:hAnsi="Arial"/>
                <w:sz w:val="20"/>
                <w:szCs w:val="20"/>
              </w:rPr>
              <w:t>Бенефіці</w:t>
            </w:r>
            <w:r>
              <w:rPr>
                <w:rStyle w:val="285pt"/>
                <w:rFonts w:ascii="Arial" w:hAnsi="Arial"/>
                <w:sz w:val="20"/>
                <w:szCs w:val="20"/>
              </w:rPr>
              <w:t>ар повинен використовувати</w:t>
            </w:r>
            <w:r w:rsidRPr="00064262">
              <w:rPr>
                <w:rStyle w:val="285pt"/>
                <w:rFonts w:ascii="Arial" w:hAnsi="Arial"/>
                <w:sz w:val="20"/>
                <w:szCs w:val="20"/>
              </w:rPr>
              <w:t xml:space="preserve"> Асоціацію з водокористування для лобіювання та брати активну участь у розробці відповідних нормативно-правових актів.</w:t>
            </w:r>
          </w:p>
          <w:p w:rsidR="00D831B7" w:rsidRDefault="00100ECC" w:rsidP="00C14EEF">
            <w:pPr>
              <w:pStyle w:val="27"/>
              <w:shd w:val="clear" w:color="auto" w:fill="auto"/>
              <w:spacing w:before="0" w:after="0" w:line="240" w:lineRule="auto"/>
              <w:ind w:firstLine="0"/>
              <w:jc w:val="both"/>
              <w:rPr>
                <w:rStyle w:val="285pt"/>
                <w:rFonts w:ascii="Arial" w:hAnsi="Arial" w:cs="Arial"/>
                <w:sz w:val="20"/>
                <w:szCs w:val="20"/>
              </w:rPr>
            </w:pPr>
            <w:r w:rsidRPr="00064262">
              <w:rPr>
                <w:rStyle w:val="285pt"/>
                <w:rFonts w:ascii="Arial" w:hAnsi="Arial"/>
                <w:sz w:val="20"/>
                <w:szCs w:val="20"/>
              </w:rPr>
              <w:t>Відповідальна установа:</w:t>
            </w:r>
            <w:r>
              <w:rPr>
                <w:rStyle w:val="285pt"/>
                <w:rFonts w:ascii="Arial" w:hAnsi="Arial"/>
                <w:sz w:val="20"/>
                <w:szCs w:val="20"/>
              </w:rPr>
              <w:t xml:space="preserve"> Команда керівництва Кінцевого </w:t>
            </w:r>
            <w:r w:rsidR="00064262">
              <w:rPr>
                <w:rStyle w:val="285pt"/>
                <w:rFonts w:ascii="Arial" w:hAnsi="Arial"/>
                <w:sz w:val="20"/>
                <w:szCs w:val="20"/>
              </w:rPr>
              <w:t>Бенефіці</w:t>
            </w:r>
            <w:r>
              <w:rPr>
                <w:rStyle w:val="285pt"/>
                <w:rFonts w:ascii="Arial" w:hAnsi="Arial"/>
                <w:sz w:val="20"/>
                <w:szCs w:val="20"/>
              </w:rPr>
              <w:t>ара, Міські органи влади, члени українського парламенту з області Бенефіціара.</w:t>
            </w:r>
          </w:p>
        </w:tc>
        <w:tc>
          <w:tcPr>
            <w:tcW w:w="1261" w:type="dxa"/>
            <w:tcBorders>
              <w:top w:val="single" w:sz="4" w:space="0" w:color="auto"/>
            </w:tcBorders>
            <w:shd w:val="clear" w:color="auto" w:fill="FFFFFF"/>
          </w:tcPr>
          <w:p w:rsidR="00100ECC" w:rsidRDefault="00100ECC" w:rsidP="00C14EEF">
            <w:pPr>
              <w:pStyle w:val="27"/>
              <w:shd w:val="clear" w:color="auto" w:fill="auto"/>
              <w:spacing w:before="0" w:after="0" w:line="240" w:lineRule="auto"/>
              <w:ind w:firstLine="0"/>
              <w:rPr>
                <w:rStyle w:val="285pt"/>
                <w:rFonts w:ascii="Arial" w:hAnsi="Arial" w:cs="Arial"/>
                <w:sz w:val="20"/>
                <w:szCs w:val="20"/>
              </w:rPr>
            </w:pPr>
            <w:r>
              <w:rPr>
                <w:rStyle w:val="285pt"/>
                <w:rFonts w:ascii="Arial" w:hAnsi="Arial"/>
                <w:sz w:val="20"/>
                <w:szCs w:val="20"/>
              </w:rPr>
              <w:t>Низький</w:t>
            </w:r>
          </w:p>
        </w:tc>
      </w:tr>
      <w:tr w:rsidR="00100ECC" w:rsidRPr="00917CC7" w:rsidTr="00084592">
        <w:trPr>
          <w:trHeight w:hRule="exact" w:val="250"/>
        </w:trPr>
        <w:tc>
          <w:tcPr>
            <w:tcW w:w="9652" w:type="dxa"/>
            <w:gridSpan w:val="7"/>
            <w:shd w:val="clear" w:color="auto" w:fill="BFBFBF" w:themeFill="background1" w:themeFillShade="BF"/>
          </w:tcPr>
          <w:p w:rsidR="00100ECC" w:rsidRPr="00917CC7" w:rsidRDefault="00100ECC" w:rsidP="00C14EEF">
            <w:pPr>
              <w:pStyle w:val="27"/>
              <w:shd w:val="clear" w:color="auto" w:fill="auto"/>
              <w:spacing w:before="0" w:after="0" w:line="240" w:lineRule="auto"/>
              <w:ind w:firstLine="0"/>
              <w:jc w:val="left"/>
              <w:rPr>
                <w:rFonts w:ascii="Arial" w:hAnsi="Arial" w:cs="Arial"/>
                <w:sz w:val="20"/>
                <w:szCs w:val="20"/>
              </w:rPr>
            </w:pPr>
            <w:r>
              <w:rPr>
                <w:rStyle w:val="2a"/>
                <w:rFonts w:ascii="Arial" w:hAnsi="Arial"/>
                <w:sz w:val="20"/>
                <w:szCs w:val="20"/>
                <w:highlight w:val="lightGray"/>
              </w:rPr>
              <w:t>Операційні ризики</w:t>
            </w:r>
          </w:p>
        </w:tc>
      </w:tr>
      <w:tr w:rsidR="00100ECC" w:rsidRPr="00917CC7" w:rsidTr="00064262">
        <w:trPr>
          <w:trHeight w:hRule="exact" w:val="2164"/>
        </w:trPr>
        <w:tc>
          <w:tcPr>
            <w:tcW w:w="1473" w:type="dxa"/>
            <w:tcBorders>
              <w:bottom w:val="single" w:sz="4" w:space="0" w:color="auto"/>
            </w:tcBorders>
            <w:shd w:val="clear" w:color="auto" w:fill="FFFFFF"/>
          </w:tcPr>
          <w:p w:rsidR="00100ECC" w:rsidRPr="00B05DDA" w:rsidRDefault="00100ECC" w:rsidP="00C14EEF">
            <w:pPr>
              <w:pStyle w:val="27"/>
              <w:shd w:val="clear" w:color="auto" w:fill="auto"/>
              <w:spacing w:before="0" w:after="0" w:line="240" w:lineRule="auto"/>
              <w:ind w:firstLine="0"/>
              <w:jc w:val="left"/>
              <w:rPr>
                <w:rFonts w:ascii="Arial" w:hAnsi="Arial" w:cs="Arial"/>
                <w:sz w:val="20"/>
                <w:szCs w:val="20"/>
              </w:rPr>
            </w:pPr>
            <w:r>
              <w:rPr>
                <w:rStyle w:val="285pt"/>
                <w:rFonts w:ascii="Arial" w:hAnsi="Arial"/>
                <w:sz w:val="20"/>
                <w:szCs w:val="20"/>
              </w:rPr>
              <w:t>Неспроможність застосованого на КОС процесу досягнути цілей проекту</w:t>
            </w:r>
          </w:p>
        </w:tc>
        <w:tc>
          <w:tcPr>
            <w:tcW w:w="795" w:type="dxa"/>
            <w:gridSpan w:val="2"/>
            <w:tcBorders>
              <w:bottom w:val="single" w:sz="4" w:space="0" w:color="auto"/>
            </w:tcBorders>
            <w:shd w:val="clear" w:color="auto" w:fill="FFFFFF"/>
          </w:tcPr>
          <w:p w:rsidR="00100ECC" w:rsidRPr="00917CC7" w:rsidRDefault="00100ECC" w:rsidP="00C14EEF">
            <w:pPr>
              <w:pStyle w:val="27"/>
              <w:shd w:val="clear" w:color="auto" w:fill="auto"/>
              <w:spacing w:before="0" w:after="0" w:line="240" w:lineRule="auto"/>
              <w:ind w:left="300" w:firstLine="0"/>
              <w:jc w:val="left"/>
              <w:rPr>
                <w:rFonts w:ascii="Arial" w:hAnsi="Arial" w:cs="Arial"/>
                <w:sz w:val="20"/>
                <w:szCs w:val="20"/>
              </w:rPr>
            </w:pPr>
            <w:r>
              <w:rPr>
                <w:rStyle w:val="285pt"/>
                <w:rFonts w:ascii="Arial" w:hAnsi="Arial"/>
                <w:sz w:val="20"/>
                <w:szCs w:val="20"/>
              </w:rPr>
              <w:t>A</w:t>
            </w:r>
          </w:p>
        </w:tc>
        <w:tc>
          <w:tcPr>
            <w:tcW w:w="567" w:type="dxa"/>
            <w:tcBorders>
              <w:bottom w:val="single" w:sz="4" w:space="0" w:color="auto"/>
            </w:tcBorders>
            <w:shd w:val="clear" w:color="auto" w:fill="FFFFFF"/>
          </w:tcPr>
          <w:p w:rsidR="00100ECC" w:rsidRPr="00917CC7" w:rsidRDefault="00100ECC" w:rsidP="00C14EEF">
            <w:pPr>
              <w:pStyle w:val="27"/>
              <w:shd w:val="clear" w:color="auto" w:fill="auto"/>
              <w:spacing w:before="0" w:after="0" w:line="240" w:lineRule="auto"/>
              <w:ind w:left="260" w:firstLine="0"/>
              <w:jc w:val="left"/>
              <w:rPr>
                <w:rFonts w:ascii="Arial" w:hAnsi="Arial" w:cs="Arial"/>
                <w:sz w:val="20"/>
                <w:szCs w:val="20"/>
              </w:rPr>
            </w:pPr>
            <w:r>
              <w:rPr>
                <w:rStyle w:val="285pt"/>
                <w:rFonts w:ascii="Arial" w:hAnsi="Arial"/>
                <w:sz w:val="20"/>
                <w:szCs w:val="20"/>
              </w:rPr>
              <w:t>IV</w:t>
            </w:r>
          </w:p>
        </w:tc>
        <w:tc>
          <w:tcPr>
            <w:tcW w:w="1119" w:type="dxa"/>
            <w:tcBorders>
              <w:bottom w:val="single" w:sz="4" w:space="0" w:color="auto"/>
            </w:tcBorders>
            <w:shd w:val="clear" w:color="auto" w:fill="FFFFFF"/>
          </w:tcPr>
          <w:p w:rsidR="00100ECC" w:rsidRPr="00917CC7" w:rsidRDefault="00100ECC" w:rsidP="00C14EEF">
            <w:pPr>
              <w:pStyle w:val="27"/>
              <w:shd w:val="clear" w:color="auto" w:fill="auto"/>
              <w:spacing w:before="0" w:after="0" w:line="240" w:lineRule="auto"/>
              <w:ind w:firstLine="0"/>
              <w:rPr>
                <w:rFonts w:ascii="Arial" w:hAnsi="Arial" w:cs="Arial"/>
                <w:sz w:val="20"/>
                <w:szCs w:val="20"/>
              </w:rPr>
            </w:pPr>
            <w:r>
              <w:rPr>
                <w:rStyle w:val="285pt"/>
                <w:rFonts w:ascii="Arial" w:hAnsi="Arial"/>
                <w:sz w:val="20"/>
                <w:szCs w:val="20"/>
              </w:rPr>
              <w:t>Низький</w:t>
            </w:r>
          </w:p>
        </w:tc>
        <w:tc>
          <w:tcPr>
            <w:tcW w:w="4437" w:type="dxa"/>
            <w:tcBorders>
              <w:bottom w:val="single" w:sz="4" w:space="0" w:color="auto"/>
            </w:tcBorders>
            <w:shd w:val="clear" w:color="auto" w:fill="FFFFFF"/>
          </w:tcPr>
          <w:p w:rsidR="00100ECC" w:rsidRDefault="00100ECC" w:rsidP="00C14EEF">
            <w:pPr>
              <w:pStyle w:val="27"/>
              <w:shd w:val="clear" w:color="auto" w:fill="auto"/>
              <w:spacing w:before="0" w:after="0" w:line="240" w:lineRule="auto"/>
              <w:ind w:firstLine="0"/>
              <w:jc w:val="both"/>
              <w:rPr>
                <w:rStyle w:val="285pt"/>
                <w:rFonts w:ascii="Arial" w:hAnsi="Arial" w:cs="Arial"/>
                <w:sz w:val="20"/>
                <w:szCs w:val="20"/>
              </w:rPr>
            </w:pPr>
            <w:r>
              <w:rPr>
                <w:rStyle w:val="285pt"/>
                <w:rFonts w:ascii="Arial" w:hAnsi="Arial"/>
                <w:sz w:val="20"/>
                <w:szCs w:val="20"/>
              </w:rPr>
              <w:t>Обрання перевірених, найкращих технологій.</w:t>
            </w:r>
            <w:r w:rsidR="00CB1B48">
              <w:rPr>
                <w:rStyle w:val="285pt"/>
                <w:rFonts w:ascii="Arial" w:hAnsi="Arial"/>
                <w:sz w:val="20"/>
                <w:szCs w:val="20"/>
              </w:rPr>
              <w:t xml:space="preserve"> </w:t>
            </w:r>
            <w:r>
              <w:rPr>
                <w:rStyle w:val="285pt"/>
                <w:rFonts w:ascii="Arial" w:hAnsi="Arial"/>
                <w:sz w:val="20"/>
                <w:szCs w:val="20"/>
              </w:rPr>
              <w:t>Також, рекомендовано включити до тендерної документації (Розділ: Вимоги Замовника</w:t>
            </w:r>
            <w:r w:rsidR="00CB1B48">
              <w:rPr>
                <w:rStyle w:val="285pt"/>
                <w:rFonts w:ascii="Arial" w:hAnsi="Arial"/>
                <w:sz w:val="20"/>
                <w:szCs w:val="20"/>
              </w:rPr>
              <w:t xml:space="preserve"> </w:t>
            </w:r>
            <w:r>
              <w:rPr>
                <w:rStyle w:val="285pt"/>
                <w:rFonts w:ascii="Arial" w:hAnsi="Arial"/>
                <w:sz w:val="20"/>
                <w:szCs w:val="20"/>
              </w:rPr>
              <w:t xml:space="preserve">відповідальність Підрядника за роботу споруд після прийняття до експлуатації впродовж не менш ніж одного року + відповідні функціональні гарантії. </w:t>
            </w:r>
          </w:p>
          <w:p w:rsidR="00100ECC" w:rsidRPr="00B05DDA" w:rsidRDefault="00100ECC" w:rsidP="00C14EEF">
            <w:pPr>
              <w:pStyle w:val="27"/>
              <w:shd w:val="clear" w:color="auto" w:fill="auto"/>
              <w:spacing w:before="0" w:after="0" w:line="240" w:lineRule="auto"/>
              <w:ind w:firstLine="0"/>
              <w:jc w:val="both"/>
              <w:rPr>
                <w:rFonts w:ascii="Arial" w:hAnsi="Arial" w:cs="Arial"/>
                <w:sz w:val="20"/>
                <w:szCs w:val="20"/>
              </w:rPr>
            </w:pPr>
            <w:r>
              <w:rPr>
                <w:rStyle w:val="285pt"/>
                <w:rFonts w:ascii="Arial" w:hAnsi="Arial"/>
                <w:b/>
                <w:sz w:val="20"/>
                <w:szCs w:val="20"/>
              </w:rPr>
              <w:t>Відповідальна установа:</w:t>
            </w:r>
            <w:r>
              <w:rPr>
                <w:rStyle w:val="285pt"/>
                <w:rFonts w:ascii="Arial" w:hAnsi="Arial"/>
                <w:sz w:val="20"/>
                <w:szCs w:val="20"/>
              </w:rPr>
              <w:t xml:space="preserve"> Кінцевий </w:t>
            </w:r>
            <w:r w:rsidR="00064262">
              <w:rPr>
                <w:rStyle w:val="285pt"/>
                <w:rFonts w:ascii="Arial" w:hAnsi="Arial"/>
                <w:sz w:val="20"/>
                <w:szCs w:val="20"/>
              </w:rPr>
              <w:t>Бенефіці</w:t>
            </w:r>
            <w:r>
              <w:rPr>
                <w:rStyle w:val="285pt"/>
                <w:rFonts w:ascii="Arial" w:hAnsi="Arial"/>
                <w:sz w:val="20"/>
                <w:szCs w:val="20"/>
              </w:rPr>
              <w:t>ар.</w:t>
            </w:r>
          </w:p>
        </w:tc>
        <w:tc>
          <w:tcPr>
            <w:tcW w:w="1261" w:type="dxa"/>
            <w:tcBorders>
              <w:bottom w:val="single" w:sz="4" w:space="0" w:color="auto"/>
            </w:tcBorders>
            <w:shd w:val="clear" w:color="auto" w:fill="FFFFFF"/>
          </w:tcPr>
          <w:p w:rsidR="00100ECC" w:rsidRPr="00917CC7" w:rsidRDefault="00100ECC" w:rsidP="00C14EEF">
            <w:pPr>
              <w:pStyle w:val="27"/>
              <w:shd w:val="clear" w:color="auto" w:fill="auto"/>
              <w:spacing w:before="0" w:after="0" w:line="240" w:lineRule="auto"/>
              <w:ind w:firstLine="0"/>
              <w:rPr>
                <w:rFonts w:ascii="Arial" w:hAnsi="Arial" w:cs="Arial"/>
                <w:sz w:val="20"/>
                <w:szCs w:val="20"/>
              </w:rPr>
            </w:pPr>
            <w:r>
              <w:rPr>
                <w:rStyle w:val="285pt"/>
                <w:rFonts w:ascii="Arial" w:hAnsi="Arial"/>
                <w:sz w:val="20"/>
                <w:szCs w:val="20"/>
              </w:rPr>
              <w:t>Низький</w:t>
            </w:r>
          </w:p>
        </w:tc>
      </w:tr>
    </w:tbl>
    <w:p w:rsidR="00100ECC" w:rsidRDefault="00100ECC" w:rsidP="00C14EEF">
      <w:pPr>
        <w:pStyle w:val="29"/>
        <w:shd w:val="clear" w:color="auto" w:fill="auto"/>
        <w:tabs>
          <w:tab w:val="left" w:pos="1325"/>
        </w:tabs>
        <w:spacing w:line="240" w:lineRule="auto"/>
        <w:jc w:val="both"/>
        <w:rPr>
          <w:rStyle w:val="27pt"/>
          <w:rFonts w:ascii="Arial" w:hAnsi="Arial" w:cs="Arial"/>
          <w:i w:val="0"/>
          <w:sz w:val="16"/>
          <w:szCs w:val="16"/>
        </w:rPr>
      </w:pPr>
    </w:p>
    <w:p w:rsidR="00100ECC" w:rsidRPr="00917CC7" w:rsidRDefault="00100ECC" w:rsidP="00C14EEF">
      <w:pPr>
        <w:pStyle w:val="29"/>
        <w:shd w:val="clear" w:color="auto" w:fill="auto"/>
        <w:tabs>
          <w:tab w:val="left" w:pos="1325"/>
        </w:tabs>
        <w:spacing w:line="240" w:lineRule="auto"/>
        <w:jc w:val="both"/>
        <w:rPr>
          <w:rFonts w:ascii="Arial" w:hAnsi="Arial" w:cs="Arial"/>
          <w:b w:val="0"/>
          <w:sz w:val="16"/>
          <w:szCs w:val="16"/>
        </w:rPr>
      </w:pPr>
      <w:r>
        <w:rPr>
          <w:rStyle w:val="27pt"/>
          <w:rFonts w:ascii="Arial" w:hAnsi="Arial"/>
          <w:i w:val="0"/>
          <w:sz w:val="16"/>
          <w:szCs w:val="16"/>
        </w:rPr>
        <w:t xml:space="preserve">* </w:t>
      </w:r>
      <w:r>
        <w:rPr>
          <w:rFonts w:ascii="Arial" w:hAnsi="Arial"/>
          <w:iCs/>
          <w:sz w:val="16"/>
          <w:szCs w:val="16"/>
        </w:rPr>
        <w:t>Шкала оцінки</w:t>
      </w:r>
      <w:r>
        <w:rPr>
          <w:rFonts w:ascii="Arial" w:hAnsi="Arial"/>
          <w:b w:val="0"/>
          <w:iCs/>
          <w:sz w:val="16"/>
          <w:szCs w:val="16"/>
        </w:rPr>
        <w:tab/>
        <w:t>Прибутковість А. Дуже маловірогідна; В: Маловірогідна; C. Однаково вірогідна та не вірогідна; D. Вірогідна; E. Дуже вірогідна.</w:t>
      </w:r>
    </w:p>
    <w:p w:rsidR="00100ECC" w:rsidRPr="00917CC7" w:rsidRDefault="00100ECC" w:rsidP="00C14EEF">
      <w:pPr>
        <w:pStyle w:val="29"/>
        <w:shd w:val="clear" w:color="auto" w:fill="auto"/>
        <w:tabs>
          <w:tab w:val="left" w:pos="1339"/>
        </w:tabs>
        <w:spacing w:line="240" w:lineRule="auto"/>
        <w:jc w:val="both"/>
        <w:rPr>
          <w:rFonts w:ascii="Arial" w:hAnsi="Arial" w:cs="Arial"/>
          <w:b w:val="0"/>
          <w:sz w:val="16"/>
          <w:szCs w:val="16"/>
        </w:rPr>
      </w:pPr>
      <w:r>
        <w:rPr>
          <w:rFonts w:ascii="Arial" w:hAnsi="Arial"/>
          <w:iCs/>
          <w:sz w:val="16"/>
          <w:szCs w:val="16"/>
        </w:rPr>
        <w:t>Небезпека:</w:t>
      </w:r>
      <w:r>
        <w:rPr>
          <w:rFonts w:ascii="Arial" w:hAnsi="Arial"/>
          <w:b w:val="0"/>
          <w:iCs/>
          <w:sz w:val="16"/>
          <w:szCs w:val="16"/>
        </w:rPr>
        <w:tab/>
        <w:t>I. Немає впливу; II. Незначний; III. Помірний; IV. Критичний; V. Катастрофічний.</w:t>
      </w:r>
    </w:p>
    <w:p w:rsidR="000F4063" w:rsidRPr="007D02E8" w:rsidRDefault="00100ECC" w:rsidP="00C14EEF">
      <w:pPr>
        <w:pStyle w:val="29"/>
        <w:shd w:val="clear" w:color="auto" w:fill="auto"/>
        <w:tabs>
          <w:tab w:val="left" w:pos="1334"/>
        </w:tabs>
        <w:spacing w:line="240" w:lineRule="auto"/>
        <w:jc w:val="both"/>
        <w:rPr>
          <w:rFonts w:ascii="Arial" w:hAnsi="Arial" w:cs="Arial"/>
          <w:b w:val="0"/>
          <w:sz w:val="16"/>
          <w:szCs w:val="16"/>
        </w:rPr>
      </w:pPr>
      <w:r>
        <w:rPr>
          <w:rFonts w:ascii="Arial" w:hAnsi="Arial"/>
          <w:iCs/>
          <w:sz w:val="16"/>
          <w:szCs w:val="16"/>
        </w:rPr>
        <w:t>Рівень ризику:</w:t>
      </w:r>
      <w:r>
        <w:rPr>
          <w:rFonts w:ascii="Arial" w:hAnsi="Arial"/>
          <w:b w:val="0"/>
          <w:iCs/>
          <w:sz w:val="16"/>
          <w:szCs w:val="16"/>
        </w:rPr>
        <w:tab/>
        <w:t>Низький, Середній, Високий, Дуже високий</w:t>
      </w:r>
      <w:r>
        <w:rPr>
          <w:rFonts w:ascii="Arial" w:hAnsi="Arial"/>
        </w:rPr>
        <w:br w:type="page"/>
      </w:r>
    </w:p>
    <w:p w:rsidR="000F4063" w:rsidRPr="00DB43B5" w:rsidRDefault="000F4063" w:rsidP="00C14EEF">
      <w:pPr>
        <w:pStyle w:val="1"/>
        <w:spacing w:before="0" w:after="0"/>
        <w:contextualSpacing w:val="0"/>
      </w:pPr>
      <w:bookmarkStart w:id="203" w:name="_Toc30518443"/>
      <w:bookmarkStart w:id="204" w:name="_Toc31959658"/>
      <w:bookmarkStart w:id="205" w:name="_Toc43816079"/>
      <w:bookmarkStart w:id="206" w:name="_Toc48392565"/>
      <w:r>
        <w:t>Пояснення Консультанта по представленій моделі</w:t>
      </w:r>
      <w:bookmarkEnd w:id="203"/>
      <w:bookmarkEnd w:id="204"/>
      <w:bookmarkEnd w:id="205"/>
      <w:bookmarkEnd w:id="206"/>
    </w:p>
    <w:p w:rsidR="000F4063" w:rsidRDefault="000F4063" w:rsidP="00C14EEF">
      <w:pPr>
        <w:rPr>
          <w:rFonts w:ascii="Arial" w:hAnsi="Arial" w:cs="Arial"/>
          <w:lang w:val="en-US" w:bidi="en-US"/>
        </w:rPr>
      </w:pPr>
    </w:p>
    <w:p w:rsidR="000F4063" w:rsidRDefault="000F4063" w:rsidP="00C14EEF">
      <w:pPr>
        <w:rPr>
          <w:rFonts w:ascii="Arial" w:hAnsi="Arial" w:cs="Arial"/>
        </w:rPr>
      </w:pPr>
      <w:r>
        <w:rPr>
          <w:rFonts w:ascii="Arial" w:hAnsi="Arial"/>
        </w:rPr>
        <w:t>Наприкінці представленого вивчення, Консультант хотів би надати декілька пояснень щодо основних спостережень.</w:t>
      </w:r>
    </w:p>
    <w:p w:rsidR="000F4063" w:rsidRDefault="000F4063" w:rsidP="00C14EEF">
      <w:pPr>
        <w:rPr>
          <w:rFonts w:ascii="Arial" w:hAnsi="Arial" w:cs="Arial"/>
        </w:rPr>
      </w:pPr>
      <w:r>
        <w:rPr>
          <w:rFonts w:ascii="Arial" w:hAnsi="Arial"/>
        </w:rPr>
        <w:t>Перш за все, ми хотіли б привернути увагу до питання розумності обсягу позики.</w:t>
      </w:r>
      <w:r w:rsidR="00CB1B48">
        <w:rPr>
          <w:rFonts w:ascii="Arial" w:hAnsi="Arial"/>
        </w:rPr>
        <w:t xml:space="preserve"> </w:t>
      </w:r>
      <w:r>
        <w:rPr>
          <w:rFonts w:ascii="Arial" w:hAnsi="Arial"/>
        </w:rPr>
        <w:t>Є два основні фактори, які можуть вплинути на остаточне рішення: фінансові параметри (FRR та FNPV) з одного боку, та доступність тарифів - з іншого.</w:t>
      </w:r>
    </w:p>
    <w:p w:rsidR="000F4063" w:rsidRDefault="000F4063" w:rsidP="00C14EEF">
      <w:pPr>
        <w:rPr>
          <w:rFonts w:ascii="Arial" w:hAnsi="Arial" w:cs="Arial"/>
          <w:lang w:val="en-US" w:bidi="en-US"/>
        </w:rPr>
      </w:pPr>
    </w:p>
    <w:p w:rsidR="000F4063" w:rsidRDefault="000F4063" w:rsidP="00C14EEF">
      <w:pPr>
        <w:rPr>
          <w:rFonts w:ascii="Arial" w:hAnsi="Arial" w:cs="Arial"/>
        </w:rPr>
      </w:pPr>
      <w:r>
        <w:rPr>
          <w:rFonts w:ascii="Arial" w:hAnsi="Arial"/>
        </w:rPr>
        <w:t xml:space="preserve">З боку FRR та FNPV, як ми вже згадували вище, - </w:t>
      </w:r>
      <w:r w:rsidR="00BF6421">
        <w:rPr>
          <w:rFonts w:ascii="Arial" w:hAnsi="Arial"/>
        </w:rPr>
        <w:t xml:space="preserve">є </w:t>
      </w:r>
      <w:r>
        <w:rPr>
          <w:rFonts w:ascii="Arial" w:hAnsi="Arial"/>
        </w:rPr>
        <w:t>не дуже велика маржа для збільшення суми позики.</w:t>
      </w:r>
      <w:r w:rsidR="00CB1B48">
        <w:rPr>
          <w:rFonts w:ascii="Arial" w:hAnsi="Arial"/>
        </w:rPr>
        <w:t xml:space="preserve"> </w:t>
      </w:r>
      <w:r>
        <w:rPr>
          <w:rFonts w:ascii="Arial" w:hAnsi="Arial"/>
        </w:rPr>
        <w:t>З іншого боку, розрахунки доступності тарифів демонструють, що навіть достатнє збільшення позики (на 50%) не матиме суттєвого впливу на цей параметр, та він залишиться на розумному рівні доступності (менше 4%).</w:t>
      </w:r>
    </w:p>
    <w:p w:rsidR="000F4063" w:rsidRDefault="000F4063" w:rsidP="00C14EEF">
      <w:pPr>
        <w:rPr>
          <w:rFonts w:ascii="Arial" w:hAnsi="Arial" w:cs="Arial"/>
          <w:lang w:val="en-US" w:bidi="en-US"/>
        </w:rPr>
      </w:pPr>
    </w:p>
    <w:p w:rsidR="000F4063" w:rsidRDefault="000F4063" w:rsidP="00C14EEF">
      <w:pPr>
        <w:rPr>
          <w:rFonts w:ascii="Arial" w:hAnsi="Arial" w:cs="Arial"/>
        </w:rPr>
      </w:pPr>
      <w:r>
        <w:rPr>
          <w:rFonts w:ascii="Arial" w:hAnsi="Arial"/>
        </w:rPr>
        <w:t>Враховуючи потенційну економічну вигоду від збільшення обсягу позики (наприклад, 100% утилізація мулу), фінансовий аспект може бути не пріоритетним, оскільки комунальне господарство не є звичайним підприємство, та отримання прибутку - не основна мета його діяльності.</w:t>
      </w:r>
      <w:r w:rsidR="00CB1B48">
        <w:rPr>
          <w:rFonts w:ascii="Arial" w:hAnsi="Arial"/>
        </w:rPr>
        <w:t xml:space="preserve"> </w:t>
      </w:r>
      <w:r>
        <w:rPr>
          <w:rFonts w:ascii="Arial" w:hAnsi="Arial"/>
        </w:rPr>
        <w:t>Також у тарифі будуть враховані всі необхідні кошти на надання послуг за позикою.</w:t>
      </w:r>
      <w:r w:rsidR="00CB1B48">
        <w:rPr>
          <w:rFonts w:ascii="Arial" w:hAnsi="Arial"/>
        </w:rPr>
        <w:t xml:space="preserve"> </w:t>
      </w:r>
      <w:r>
        <w:rPr>
          <w:rFonts w:ascii="Arial" w:hAnsi="Arial"/>
        </w:rPr>
        <w:t>У цьому випадку рентабельність КП Луцькводоканал не є вирішальною для прийняття рішення про розмір позики.</w:t>
      </w:r>
      <w:r w:rsidR="00CB1B48">
        <w:rPr>
          <w:rFonts w:ascii="Arial" w:hAnsi="Arial"/>
        </w:rPr>
        <w:t xml:space="preserve"> </w:t>
      </w:r>
      <w:r>
        <w:rPr>
          <w:rFonts w:ascii="Arial" w:hAnsi="Arial"/>
        </w:rPr>
        <w:t>Основне питання - доступність цього тарифу для домогосподарств, оскільки, врешті решт - домогосподарства покривають витрати за кредитом, які включені до тарифу.</w:t>
      </w:r>
      <w:r w:rsidR="00CB1B48">
        <w:rPr>
          <w:rFonts w:ascii="Arial" w:hAnsi="Arial"/>
        </w:rPr>
        <w:t xml:space="preserve"> </w:t>
      </w:r>
      <w:r>
        <w:rPr>
          <w:rFonts w:ascii="Arial" w:hAnsi="Arial"/>
        </w:rPr>
        <w:t>Це той випадок, коли економічні та соціальні вигоди мають пріоритет над фінансовою доцільністю.</w:t>
      </w:r>
    </w:p>
    <w:p w:rsidR="000F4063" w:rsidRDefault="000F4063" w:rsidP="00C14EEF">
      <w:pPr>
        <w:rPr>
          <w:rFonts w:ascii="Arial" w:hAnsi="Arial" w:cs="Arial"/>
          <w:lang w:val="en-US" w:bidi="en-US"/>
        </w:rPr>
      </w:pPr>
    </w:p>
    <w:p w:rsidR="000F4063" w:rsidRDefault="000F4063" w:rsidP="00C14EEF">
      <w:pPr>
        <w:rPr>
          <w:rFonts w:ascii="Arial" w:hAnsi="Arial" w:cs="Arial"/>
        </w:rPr>
      </w:pPr>
      <w:r>
        <w:rPr>
          <w:rFonts w:ascii="Arial" w:hAnsi="Arial"/>
        </w:rPr>
        <w:t>Слід зазначити, що всі представлені висновки та розрахунки є досяжними лише у випадку 100% покриття тарифом операційних витрат.</w:t>
      </w:r>
      <w:r w:rsidR="00CB1B48">
        <w:rPr>
          <w:rFonts w:ascii="Arial" w:hAnsi="Arial"/>
        </w:rPr>
        <w:t xml:space="preserve"> </w:t>
      </w:r>
      <w:r>
        <w:rPr>
          <w:rFonts w:ascii="Arial" w:hAnsi="Arial"/>
        </w:rPr>
        <w:t>За особистим досвідом Консультанта, НКРЕКП часто не включає у тариф 100% операційних витрат</w:t>
      </w:r>
      <w:r w:rsidR="00CB1B48">
        <w:rPr>
          <w:rFonts w:ascii="Arial" w:hAnsi="Arial"/>
        </w:rPr>
        <w:t xml:space="preserve"> </w:t>
      </w:r>
      <w:r>
        <w:rPr>
          <w:rFonts w:ascii="Arial" w:hAnsi="Arial"/>
        </w:rPr>
        <w:t>або робить це з певною затримкою, що може негативно вплинути на фінансовий стан водоканалу.</w:t>
      </w:r>
      <w:r w:rsidR="00CB1B48">
        <w:rPr>
          <w:rFonts w:ascii="Arial" w:hAnsi="Arial"/>
        </w:rPr>
        <w:t xml:space="preserve"> </w:t>
      </w:r>
      <w:r>
        <w:rPr>
          <w:rFonts w:ascii="Arial" w:hAnsi="Arial"/>
        </w:rPr>
        <w:t>У такому випадку водоканал витрачає «інвестиційний фонд» на оплату праці та електроенергії.</w:t>
      </w:r>
    </w:p>
    <w:p w:rsidR="000F4063" w:rsidRDefault="000F4063" w:rsidP="00C14EEF">
      <w:pPr>
        <w:rPr>
          <w:rFonts w:ascii="Arial" w:hAnsi="Arial" w:cs="Arial"/>
          <w:lang w:val="en-US" w:bidi="en-US"/>
        </w:rPr>
      </w:pPr>
    </w:p>
    <w:p w:rsidR="000F4063" w:rsidRDefault="000F4063" w:rsidP="00C14EEF">
      <w:pPr>
        <w:rPr>
          <w:rFonts w:ascii="Arial" w:hAnsi="Arial" w:cs="Arial"/>
        </w:rPr>
      </w:pPr>
      <w:r>
        <w:rPr>
          <w:rFonts w:ascii="Arial" w:hAnsi="Arial"/>
        </w:rPr>
        <w:t>Ще одне питання - фінансові вигоди за Проектом.</w:t>
      </w:r>
      <w:r w:rsidR="00CB1B48">
        <w:rPr>
          <w:rFonts w:ascii="Arial" w:hAnsi="Arial"/>
        </w:rPr>
        <w:t xml:space="preserve"> </w:t>
      </w:r>
      <w:r>
        <w:rPr>
          <w:rFonts w:ascii="Arial" w:hAnsi="Arial"/>
        </w:rPr>
        <w:t>Для</w:t>
      </w:r>
      <w:r w:rsidR="00CB1B48">
        <w:rPr>
          <w:rFonts w:ascii="Arial" w:hAnsi="Arial"/>
        </w:rPr>
        <w:t xml:space="preserve"> </w:t>
      </w:r>
      <w:r>
        <w:rPr>
          <w:rFonts w:ascii="Arial" w:hAnsi="Arial"/>
        </w:rPr>
        <w:t>розрахунку FRR та FNPV застосовано вихідний та вхідний потік грошових коштів впродовж циклу проекту.</w:t>
      </w:r>
      <w:r w:rsidR="00CB1B48">
        <w:rPr>
          <w:rFonts w:ascii="Arial" w:hAnsi="Arial"/>
        </w:rPr>
        <w:t xml:space="preserve"> </w:t>
      </w:r>
      <w:r>
        <w:rPr>
          <w:rFonts w:ascii="Arial" w:hAnsi="Arial"/>
        </w:rPr>
        <w:t>Отримани</w:t>
      </w:r>
      <w:r w:rsidR="00497A25">
        <w:rPr>
          <w:rFonts w:ascii="Arial" w:hAnsi="Arial"/>
        </w:rPr>
        <w:t>й</w:t>
      </w:r>
      <w:r>
        <w:rPr>
          <w:rFonts w:ascii="Arial" w:hAnsi="Arial"/>
        </w:rPr>
        <w:t xml:space="preserve"> вхідний потік грошових коштів - фінансова вигода Проекту, що відіграє значну роль у фінансових розрахунках.</w:t>
      </w:r>
      <w:r w:rsidR="00CB1B48">
        <w:rPr>
          <w:rFonts w:ascii="Arial" w:hAnsi="Arial"/>
        </w:rPr>
        <w:t xml:space="preserve"> </w:t>
      </w:r>
      <w:r>
        <w:rPr>
          <w:rFonts w:ascii="Arial" w:hAnsi="Arial"/>
        </w:rPr>
        <w:t>Тим не менш, всі вигоди від реалізації проекту (наприклад, зменшення споживання електроенергії або витрат на ремонт)</w:t>
      </w:r>
      <w:r w:rsidR="00CB1B48">
        <w:rPr>
          <w:rFonts w:ascii="Arial" w:hAnsi="Arial"/>
        </w:rPr>
        <w:t xml:space="preserve"> </w:t>
      </w:r>
      <w:r>
        <w:rPr>
          <w:rFonts w:ascii="Arial" w:hAnsi="Arial"/>
        </w:rPr>
        <w:t>НКРЕКП може скасувати шляхом встановлення тарифів.</w:t>
      </w:r>
      <w:r w:rsidR="00CB1B48">
        <w:rPr>
          <w:rFonts w:ascii="Arial" w:hAnsi="Arial"/>
        </w:rPr>
        <w:t xml:space="preserve"> </w:t>
      </w:r>
      <w:r>
        <w:rPr>
          <w:rFonts w:ascii="Arial" w:hAnsi="Arial"/>
        </w:rPr>
        <w:t>Наприклад, щорічно водоканали мають подавати розрахунки тарифів, що включають споживання електроенергії за попередній рік, а також дані про конкретні норми споживання електроенергії.</w:t>
      </w:r>
      <w:r w:rsidR="00CB1B48">
        <w:rPr>
          <w:rFonts w:ascii="Arial" w:hAnsi="Arial"/>
        </w:rPr>
        <w:t xml:space="preserve"> </w:t>
      </w:r>
      <w:r>
        <w:rPr>
          <w:rFonts w:ascii="Arial" w:hAnsi="Arial"/>
        </w:rPr>
        <w:t>У разі зменшення цього параметру - відповідно зменшиться його частка в тарифі.</w:t>
      </w:r>
      <w:r w:rsidR="00CB1B48">
        <w:rPr>
          <w:rFonts w:ascii="Arial" w:hAnsi="Arial"/>
        </w:rPr>
        <w:t xml:space="preserve"> </w:t>
      </w:r>
      <w:r>
        <w:rPr>
          <w:rFonts w:ascii="Arial" w:hAnsi="Arial"/>
        </w:rPr>
        <w:t>Те саме відбувається з фондом ремонту - НКРЕКП включить у тариф суму, що відповідає фонду ремонту за попередній рік.</w:t>
      </w:r>
      <w:r w:rsidR="00CB1B48">
        <w:rPr>
          <w:rFonts w:ascii="Arial" w:hAnsi="Arial"/>
        </w:rPr>
        <w:t xml:space="preserve"> </w:t>
      </w:r>
      <w:r>
        <w:rPr>
          <w:rFonts w:ascii="Arial" w:hAnsi="Arial"/>
        </w:rPr>
        <w:t>Якщо водоканал витратить менше коштів на ремонт, у новому тарифі буде врахована відповідна менша сума.</w:t>
      </w:r>
      <w:r w:rsidR="00CB1B48">
        <w:rPr>
          <w:rFonts w:ascii="Arial" w:hAnsi="Arial"/>
        </w:rPr>
        <w:t xml:space="preserve"> </w:t>
      </w:r>
      <w:r>
        <w:rPr>
          <w:rFonts w:ascii="Arial" w:hAnsi="Arial"/>
        </w:rPr>
        <w:t>Слід обговорити це питання з НКРЕКП. Сторони мають розуміти, що "базовий" тариф (тариф на початок Проекту) не буде знижений відповідно.</w:t>
      </w:r>
    </w:p>
    <w:p w:rsidR="000F4063" w:rsidRDefault="000F4063" w:rsidP="00C14EEF">
      <w:pPr>
        <w:rPr>
          <w:rFonts w:ascii="Arial" w:hAnsi="Arial" w:cs="Arial"/>
          <w:lang w:val="en-US" w:bidi="en-US"/>
        </w:rPr>
      </w:pPr>
    </w:p>
    <w:p w:rsidR="000F4063" w:rsidRDefault="000F4063" w:rsidP="00C14EEF">
      <w:pPr>
        <w:rPr>
          <w:rFonts w:ascii="Arial" w:hAnsi="Arial" w:cs="Arial"/>
        </w:rPr>
      </w:pPr>
      <w:r>
        <w:rPr>
          <w:rFonts w:ascii="Arial" w:hAnsi="Arial"/>
        </w:rPr>
        <w:t>"Базовий тариф" - дуже важливе питання, оскільки є початковим пунктом для всіх розрахунків за проектом.</w:t>
      </w:r>
      <w:r w:rsidR="00CB1B48">
        <w:rPr>
          <w:rFonts w:ascii="Arial" w:hAnsi="Arial"/>
        </w:rPr>
        <w:t xml:space="preserve"> </w:t>
      </w:r>
      <w:r>
        <w:rPr>
          <w:rFonts w:ascii="Arial" w:hAnsi="Arial"/>
        </w:rPr>
        <w:t>Тариф "за застосування проекту" має бути стабільним принаймні до кінця виплат за кредитом. Водоканали можуть реінвестувати всі фінансові вигоди у складові проекту для цілей співфінансування (виплати ПДВ, покриття збільшення вартості проекту). тощо).</w:t>
      </w:r>
    </w:p>
    <w:p w:rsidR="000F4063" w:rsidRDefault="000F4063" w:rsidP="00C14EEF">
      <w:pPr>
        <w:rPr>
          <w:rFonts w:ascii="Arial" w:hAnsi="Arial" w:cs="Arial"/>
          <w:lang w:val="en-US" w:bidi="en-US"/>
        </w:rPr>
      </w:pPr>
    </w:p>
    <w:p w:rsidR="006A2094" w:rsidRPr="002C7F16" w:rsidRDefault="000F4063" w:rsidP="00C14EEF">
      <w:pPr>
        <w:rPr>
          <w:rFonts w:ascii="Arial" w:hAnsi="Arial" w:cs="Arial"/>
        </w:rPr>
      </w:pPr>
      <w:r>
        <w:rPr>
          <w:rFonts w:ascii="Arial" w:hAnsi="Arial"/>
        </w:rPr>
        <w:t>Питання фінансового стану водоканалу.</w:t>
      </w:r>
      <w:r w:rsidR="00CB1B48">
        <w:rPr>
          <w:rFonts w:ascii="Arial" w:hAnsi="Arial"/>
        </w:rPr>
        <w:t xml:space="preserve"> </w:t>
      </w:r>
      <w:r>
        <w:rPr>
          <w:rFonts w:ascii="Arial" w:hAnsi="Arial"/>
        </w:rPr>
        <w:t>Навіть якщо цей стан не є ідеальним - це не аргумент для відхилення проект</w:t>
      </w:r>
      <w:r w:rsidR="00497A25">
        <w:rPr>
          <w:rFonts w:ascii="Arial" w:hAnsi="Arial"/>
        </w:rPr>
        <w:t>у</w:t>
      </w:r>
      <w:r>
        <w:rPr>
          <w:rFonts w:ascii="Arial" w:hAnsi="Arial"/>
        </w:rPr>
        <w:t xml:space="preserve">, оскільки проект </w:t>
      </w:r>
      <w:r w:rsidR="00497A25">
        <w:rPr>
          <w:rFonts w:ascii="Arial" w:hAnsi="Arial"/>
        </w:rPr>
        <w:t>принесе</w:t>
      </w:r>
      <w:r>
        <w:rPr>
          <w:rFonts w:ascii="Arial" w:hAnsi="Arial"/>
        </w:rPr>
        <w:t xml:space="preserve"> значн</w:t>
      </w:r>
      <w:r w:rsidR="00497A25">
        <w:rPr>
          <w:rFonts w:ascii="Arial" w:hAnsi="Arial"/>
        </w:rPr>
        <w:t xml:space="preserve">і </w:t>
      </w:r>
      <w:r>
        <w:rPr>
          <w:rFonts w:ascii="Arial" w:hAnsi="Arial"/>
        </w:rPr>
        <w:t>соціально-економічн</w:t>
      </w:r>
      <w:r w:rsidR="00497A25">
        <w:rPr>
          <w:rFonts w:ascii="Arial" w:hAnsi="Arial"/>
        </w:rPr>
        <w:t>і</w:t>
      </w:r>
      <w:r>
        <w:rPr>
          <w:rFonts w:ascii="Arial" w:hAnsi="Arial"/>
        </w:rPr>
        <w:t xml:space="preserve"> та екологічн</w:t>
      </w:r>
      <w:r w:rsidR="00497A25">
        <w:rPr>
          <w:rFonts w:ascii="Arial" w:hAnsi="Arial"/>
        </w:rPr>
        <w:t>і</w:t>
      </w:r>
      <w:r>
        <w:rPr>
          <w:rFonts w:ascii="Arial" w:hAnsi="Arial"/>
        </w:rPr>
        <w:t xml:space="preserve"> вигід.</w:t>
      </w:r>
      <w:r w:rsidR="00CB1B48">
        <w:rPr>
          <w:rFonts w:ascii="Arial" w:hAnsi="Arial"/>
        </w:rPr>
        <w:t xml:space="preserve"> </w:t>
      </w:r>
      <w:r>
        <w:rPr>
          <w:rFonts w:ascii="Arial" w:hAnsi="Arial"/>
        </w:rPr>
        <w:t>Виплати за кредитом будуть забезпечені тарифом, який буде на рівні доступності.</w:t>
      </w:r>
      <w:r w:rsidR="00CB1B48">
        <w:rPr>
          <w:rFonts w:ascii="Arial" w:hAnsi="Arial"/>
        </w:rPr>
        <w:t xml:space="preserve"> </w:t>
      </w:r>
      <w:r>
        <w:rPr>
          <w:rFonts w:ascii="Arial" w:hAnsi="Arial"/>
        </w:rPr>
        <w:t>Існує лише ризик витрат додаткових «інвестиційних фондів», включених до тарифу, з метою компенсації фінансового розриву при покритті 100% операційних витрат водоканалу.</w:t>
      </w:r>
      <w:r w:rsidR="00CB1B48">
        <w:rPr>
          <w:rFonts w:ascii="Arial" w:hAnsi="Arial"/>
        </w:rPr>
        <w:t xml:space="preserve"> </w:t>
      </w:r>
      <w:r w:rsidR="00497A25">
        <w:rPr>
          <w:rFonts w:ascii="Arial" w:hAnsi="Arial"/>
        </w:rPr>
        <w:t>Міські о</w:t>
      </w:r>
      <w:r>
        <w:rPr>
          <w:rFonts w:ascii="Arial" w:hAnsi="Arial"/>
        </w:rPr>
        <w:t>ргани влади м. Луцьк,</w:t>
      </w:r>
      <w:r w:rsidR="00CB1B48">
        <w:rPr>
          <w:rFonts w:ascii="Arial" w:hAnsi="Arial"/>
        </w:rPr>
        <w:t xml:space="preserve"> </w:t>
      </w:r>
      <w:r>
        <w:rPr>
          <w:rFonts w:ascii="Arial" w:hAnsi="Arial"/>
        </w:rPr>
        <w:t xml:space="preserve">НКРЕКП та кінцевий </w:t>
      </w:r>
      <w:r w:rsidR="00064262">
        <w:rPr>
          <w:rFonts w:ascii="Arial" w:hAnsi="Arial"/>
        </w:rPr>
        <w:t>Бенефіці</w:t>
      </w:r>
      <w:r>
        <w:rPr>
          <w:rFonts w:ascii="Arial" w:hAnsi="Arial"/>
        </w:rPr>
        <w:t>ар (КП Луцькводоканал) мають постійно контролювати цю проблему,</w:t>
      </w:r>
      <w:r w:rsidR="00497A25">
        <w:rPr>
          <w:rFonts w:ascii="Arial" w:hAnsi="Arial"/>
        </w:rPr>
        <w:t xml:space="preserve"> </w:t>
      </w:r>
      <w:r>
        <w:rPr>
          <w:rFonts w:ascii="Arial" w:hAnsi="Arial"/>
        </w:rPr>
        <w:t>та негайно вживати заходів для стабілізації покриття операційних витрат.</w:t>
      </w:r>
      <w:bookmarkEnd w:id="73"/>
    </w:p>
    <w:p w:rsidR="006A2094" w:rsidRDefault="006A2094" w:rsidP="00C14EEF">
      <w:pPr>
        <w:jc w:val="left"/>
        <w:sectPr w:rsidR="006A2094" w:rsidSect="00EB5D32">
          <w:pgSz w:w="11906" w:h="16838" w:code="9"/>
          <w:pgMar w:top="1418" w:right="851" w:bottom="851" w:left="1418" w:header="567" w:footer="454" w:gutter="0"/>
          <w:cols w:space="720"/>
          <w:docGrid w:linePitch="299"/>
        </w:sectPr>
      </w:pPr>
    </w:p>
    <w:p w:rsidR="00CB446A" w:rsidRDefault="00CB446A" w:rsidP="00C14EEF">
      <w:pPr>
        <w:jc w:val="left"/>
      </w:pPr>
    </w:p>
    <w:p w:rsidR="00B736BA" w:rsidRPr="0064329D" w:rsidRDefault="00B736BA" w:rsidP="00C14EEF">
      <w:pPr>
        <w:pStyle w:val="1"/>
        <w:numPr>
          <w:ilvl w:val="0"/>
          <w:numId w:val="0"/>
        </w:numPr>
        <w:spacing w:before="0" w:after="0"/>
        <w:ind w:left="432" w:hanging="432"/>
        <w:contextualSpacing w:val="0"/>
      </w:pPr>
      <w:bookmarkStart w:id="207" w:name="_Annex_WS5:_Water"/>
      <w:bookmarkStart w:id="208" w:name="_Annex_WS7:_Water"/>
      <w:bookmarkStart w:id="209" w:name="_Toc48392566"/>
      <w:bookmarkEnd w:id="207"/>
      <w:bookmarkEnd w:id="208"/>
      <w:r>
        <w:t>Додаток 1: Прогнози щодо попиту води, водяного балансу та фізичних втрат</w:t>
      </w:r>
      <w:bookmarkEnd w:id="209"/>
    </w:p>
    <w:p w:rsidR="00CB446A" w:rsidRDefault="005F6021" w:rsidP="00C14EEF">
      <w:pPr>
        <w:pStyle w:val="HydrophilStandard"/>
        <w:spacing w:after="0"/>
        <w:contextualSpacing w:val="0"/>
        <w:rPr>
          <w:noProof w:val="0"/>
        </w:rPr>
      </w:pPr>
      <w:r>
        <w:t>ДОДАТОК 1: Прогноз попиту</w:t>
      </w:r>
      <w:r w:rsidR="00CB1B48">
        <w:t xml:space="preserve"> </w:t>
      </w:r>
      <w:r>
        <w:t>на 2016-2028 рр</w:t>
      </w:r>
    </w:p>
    <w:p w:rsidR="00CB446A" w:rsidRDefault="006524FF" w:rsidP="00C14EEF">
      <w:pPr>
        <w:jc w:val="left"/>
      </w:pPr>
      <w:r w:rsidRPr="006524FF">
        <w:rPr>
          <w:noProof/>
          <w:lang w:eastAsia="uk-UA"/>
        </w:rPr>
        <w:drawing>
          <wp:inline distT="0" distB="0" distL="0" distR="0" wp14:anchorId="5C5A27A4" wp14:editId="09AF9FD7">
            <wp:extent cx="9251315" cy="4375622"/>
            <wp:effectExtent l="0" t="0" r="6985" b="635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251315" cy="4375622"/>
                    </a:xfrm>
                    <a:prstGeom prst="rect">
                      <a:avLst/>
                    </a:prstGeom>
                    <a:noFill/>
                    <a:ln>
                      <a:noFill/>
                    </a:ln>
                  </pic:spPr>
                </pic:pic>
              </a:graphicData>
            </a:graphic>
          </wp:inline>
        </w:drawing>
      </w:r>
    </w:p>
    <w:p w:rsidR="00CB446A" w:rsidRDefault="00CB446A" w:rsidP="00C14EEF">
      <w:pPr>
        <w:jc w:val="left"/>
      </w:pPr>
    </w:p>
    <w:p w:rsidR="00CB446A" w:rsidRDefault="00CB446A" w:rsidP="00C14EEF">
      <w:pPr>
        <w:jc w:val="left"/>
      </w:pPr>
      <w:r>
        <w:br w:type="page"/>
      </w:r>
    </w:p>
    <w:p w:rsidR="00CB446A" w:rsidRDefault="00A812DF" w:rsidP="00C14EEF">
      <w:pPr>
        <w:pStyle w:val="HydrophilStandard"/>
        <w:spacing w:after="0"/>
        <w:contextualSpacing w:val="0"/>
        <w:rPr>
          <w:noProof w:val="0"/>
        </w:rPr>
      </w:pPr>
      <w:r>
        <w:t>ДОДАТОК 1: Прогноз попиту</w:t>
      </w:r>
      <w:r w:rsidR="00CB1B48">
        <w:t xml:space="preserve"> </w:t>
      </w:r>
      <w:r>
        <w:t>на 2029-2040 рр</w:t>
      </w:r>
    </w:p>
    <w:p w:rsidR="00CB446A" w:rsidRDefault="006524FF" w:rsidP="00C14EEF">
      <w:pPr>
        <w:jc w:val="left"/>
      </w:pPr>
      <w:r w:rsidRPr="006524FF">
        <w:rPr>
          <w:noProof/>
          <w:lang w:eastAsia="uk-UA"/>
        </w:rPr>
        <w:drawing>
          <wp:inline distT="0" distB="0" distL="0" distR="0" wp14:anchorId="3193A5BE" wp14:editId="084A2B11">
            <wp:extent cx="9251315" cy="5033099"/>
            <wp:effectExtent l="0" t="0" r="698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251315" cy="5033099"/>
                    </a:xfrm>
                    <a:prstGeom prst="rect">
                      <a:avLst/>
                    </a:prstGeom>
                    <a:noFill/>
                    <a:ln>
                      <a:noFill/>
                    </a:ln>
                  </pic:spPr>
                </pic:pic>
              </a:graphicData>
            </a:graphic>
          </wp:inline>
        </w:drawing>
      </w:r>
    </w:p>
    <w:p w:rsidR="00CB446A" w:rsidRDefault="00CB446A" w:rsidP="00C14EEF">
      <w:pPr>
        <w:jc w:val="left"/>
      </w:pPr>
    </w:p>
    <w:p w:rsidR="006524FF" w:rsidRDefault="006524FF" w:rsidP="00C14EEF">
      <w:pPr>
        <w:jc w:val="left"/>
      </w:pPr>
    </w:p>
    <w:p w:rsidR="006524FF" w:rsidRDefault="006524FF" w:rsidP="00C14EEF">
      <w:pPr>
        <w:jc w:val="left"/>
      </w:pPr>
    </w:p>
    <w:p w:rsidR="00CB446A" w:rsidRDefault="00CB446A" w:rsidP="00C14EEF">
      <w:pPr>
        <w:jc w:val="left"/>
        <w:rPr>
          <w:rFonts w:asciiTheme="minorHAnsi" w:hAnsiTheme="minorHAnsi"/>
        </w:rPr>
      </w:pPr>
      <w:r>
        <w:br w:type="page"/>
      </w:r>
    </w:p>
    <w:p w:rsidR="00CB446A" w:rsidRDefault="00CB446A" w:rsidP="00C14EEF">
      <w:pPr>
        <w:pStyle w:val="HydrophilStandard"/>
        <w:spacing w:after="0"/>
        <w:contextualSpacing w:val="0"/>
        <w:rPr>
          <w:noProof w:val="0"/>
          <w:lang w:val="en-GB"/>
        </w:rPr>
      </w:pPr>
    </w:p>
    <w:p w:rsidR="006C2303" w:rsidRDefault="007222E7" w:rsidP="00C14EEF">
      <w:pPr>
        <w:pStyle w:val="HydrophilStandard"/>
        <w:spacing w:after="0"/>
        <w:contextualSpacing w:val="0"/>
        <w:rPr>
          <w:noProof w:val="0"/>
        </w:rPr>
      </w:pPr>
      <w:r>
        <w:t>ДОДАТОК 1: Прогноз Водяного балансу на 2016-2028 рр</w:t>
      </w:r>
    </w:p>
    <w:p w:rsidR="00B736BA" w:rsidRDefault="006524FF" w:rsidP="00C14EEF">
      <w:pPr>
        <w:pStyle w:val="HydrophilStandard"/>
        <w:spacing w:after="0"/>
        <w:contextualSpacing w:val="0"/>
        <w:rPr>
          <w:noProof w:val="0"/>
        </w:rPr>
      </w:pPr>
      <w:r w:rsidRPr="006524FF">
        <w:rPr>
          <w:lang w:eastAsia="uk-UA"/>
        </w:rPr>
        <w:drawing>
          <wp:inline distT="0" distB="0" distL="0" distR="0" wp14:anchorId="2062D1C4" wp14:editId="0A161496">
            <wp:extent cx="9251315" cy="3550766"/>
            <wp:effectExtent l="0" t="0" r="698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9251315" cy="3550766"/>
                    </a:xfrm>
                    <a:prstGeom prst="rect">
                      <a:avLst/>
                    </a:prstGeom>
                    <a:noFill/>
                    <a:ln>
                      <a:noFill/>
                    </a:ln>
                  </pic:spPr>
                </pic:pic>
              </a:graphicData>
            </a:graphic>
          </wp:inline>
        </w:drawing>
      </w:r>
    </w:p>
    <w:p w:rsidR="00B736BA" w:rsidRDefault="00B736BA" w:rsidP="00C14EEF">
      <w:pPr>
        <w:pStyle w:val="HydrophilStandard"/>
        <w:spacing w:after="0"/>
        <w:contextualSpacing w:val="0"/>
        <w:rPr>
          <w:noProof w:val="0"/>
          <w:lang w:val="en-GB"/>
        </w:rPr>
      </w:pPr>
    </w:p>
    <w:p w:rsidR="00CB446A" w:rsidRDefault="00CB446A" w:rsidP="00C14EEF">
      <w:pPr>
        <w:jc w:val="left"/>
        <w:rPr>
          <w:rFonts w:asciiTheme="minorHAnsi" w:hAnsiTheme="minorHAnsi"/>
        </w:rPr>
      </w:pPr>
      <w:r>
        <w:br w:type="page"/>
      </w:r>
    </w:p>
    <w:p w:rsidR="00CB446A" w:rsidRDefault="007222E7" w:rsidP="00C14EEF">
      <w:pPr>
        <w:pStyle w:val="HydrophilStandard"/>
        <w:spacing w:after="0"/>
        <w:contextualSpacing w:val="0"/>
        <w:rPr>
          <w:noProof w:val="0"/>
        </w:rPr>
      </w:pPr>
      <w:r>
        <w:t>ДОДАТОК 1: Прогноз Водяного балансу на 2029-2040 рр</w:t>
      </w:r>
    </w:p>
    <w:p w:rsidR="00B736BA" w:rsidRDefault="006524FF" w:rsidP="00C14EEF">
      <w:pPr>
        <w:pStyle w:val="HydrophilStandard"/>
        <w:spacing w:after="0"/>
        <w:contextualSpacing w:val="0"/>
        <w:rPr>
          <w:noProof w:val="0"/>
        </w:rPr>
      </w:pPr>
      <w:r w:rsidRPr="006524FF">
        <w:rPr>
          <w:lang w:eastAsia="uk-UA"/>
        </w:rPr>
        <w:drawing>
          <wp:inline distT="0" distB="0" distL="0" distR="0" wp14:anchorId="0C2083CE" wp14:editId="566D29FC">
            <wp:extent cx="9251315" cy="3674343"/>
            <wp:effectExtent l="0" t="0" r="6985" b="2540"/>
            <wp:docPr id="452" name="Рисунок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251315" cy="3674343"/>
                    </a:xfrm>
                    <a:prstGeom prst="rect">
                      <a:avLst/>
                    </a:prstGeom>
                    <a:noFill/>
                    <a:ln>
                      <a:noFill/>
                    </a:ln>
                  </pic:spPr>
                </pic:pic>
              </a:graphicData>
            </a:graphic>
          </wp:inline>
        </w:drawing>
      </w:r>
    </w:p>
    <w:p w:rsidR="00CB446A" w:rsidRDefault="00CB446A" w:rsidP="00C14EEF">
      <w:pPr>
        <w:pStyle w:val="HydrophilStandard"/>
        <w:spacing w:after="0"/>
        <w:contextualSpacing w:val="0"/>
        <w:rPr>
          <w:noProof w:val="0"/>
          <w:lang w:val="en-GB"/>
        </w:rPr>
      </w:pPr>
    </w:p>
    <w:p w:rsidR="00CB446A" w:rsidRDefault="00CB446A" w:rsidP="00C14EEF">
      <w:pPr>
        <w:jc w:val="left"/>
        <w:rPr>
          <w:rFonts w:asciiTheme="minorHAnsi" w:hAnsiTheme="minorHAnsi"/>
        </w:rPr>
      </w:pPr>
      <w:r>
        <w:br w:type="page"/>
      </w:r>
    </w:p>
    <w:p w:rsidR="00CB446A" w:rsidRDefault="007222E7" w:rsidP="00C14EEF">
      <w:pPr>
        <w:pStyle w:val="HydrophilStandard"/>
        <w:spacing w:after="0"/>
        <w:contextualSpacing w:val="0"/>
        <w:rPr>
          <w:noProof w:val="0"/>
        </w:rPr>
      </w:pPr>
      <w:r>
        <w:t>ДОДАТОК 1: Прогноз Фізичних втрат на 2018-2028 рр</w:t>
      </w:r>
    </w:p>
    <w:p w:rsidR="00CB446A" w:rsidRDefault="006524FF" w:rsidP="00C14EEF">
      <w:pPr>
        <w:pStyle w:val="HydrophilStandard"/>
        <w:spacing w:after="0"/>
        <w:contextualSpacing w:val="0"/>
        <w:rPr>
          <w:noProof w:val="0"/>
        </w:rPr>
      </w:pPr>
      <w:r w:rsidRPr="006524FF">
        <w:rPr>
          <w:lang w:eastAsia="uk-UA"/>
        </w:rPr>
        <w:drawing>
          <wp:inline distT="0" distB="0" distL="0" distR="0" wp14:anchorId="34F09292" wp14:editId="0C33C5B5">
            <wp:extent cx="9251315" cy="2447760"/>
            <wp:effectExtent l="0" t="0" r="6985" b="0"/>
            <wp:docPr id="454" name="Рисунок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9251315" cy="2447760"/>
                    </a:xfrm>
                    <a:prstGeom prst="rect">
                      <a:avLst/>
                    </a:prstGeom>
                    <a:noFill/>
                    <a:ln>
                      <a:noFill/>
                    </a:ln>
                  </pic:spPr>
                </pic:pic>
              </a:graphicData>
            </a:graphic>
          </wp:inline>
        </w:drawing>
      </w:r>
    </w:p>
    <w:p w:rsidR="00CB446A" w:rsidRDefault="00CB446A" w:rsidP="00C14EEF">
      <w:pPr>
        <w:pStyle w:val="HydrophilStandard"/>
        <w:spacing w:after="0"/>
        <w:contextualSpacing w:val="0"/>
        <w:rPr>
          <w:noProof w:val="0"/>
          <w:lang w:val="en-GB"/>
        </w:rPr>
      </w:pPr>
    </w:p>
    <w:p w:rsidR="007222E7" w:rsidRDefault="007222E7" w:rsidP="00C14EEF">
      <w:pPr>
        <w:jc w:val="left"/>
        <w:rPr>
          <w:rFonts w:asciiTheme="minorHAnsi" w:hAnsiTheme="minorHAnsi"/>
        </w:rPr>
      </w:pPr>
      <w:r>
        <w:br w:type="page"/>
      </w:r>
    </w:p>
    <w:p w:rsidR="005F6021" w:rsidRDefault="005F6021" w:rsidP="00C14EEF">
      <w:pPr>
        <w:pStyle w:val="HydrophilStandard"/>
        <w:spacing w:after="0"/>
        <w:contextualSpacing w:val="0"/>
        <w:rPr>
          <w:noProof w:val="0"/>
          <w:lang w:val="en-GB"/>
        </w:rPr>
      </w:pPr>
    </w:p>
    <w:p w:rsidR="005F6021" w:rsidRDefault="007222E7" w:rsidP="00C14EEF">
      <w:pPr>
        <w:pStyle w:val="HydrophilStandard"/>
        <w:spacing w:after="0"/>
        <w:contextualSpacing w:val="0"/>
        <w:rPr>
          <w:noProof w:val="0"/>
        </w:rPr>
      </w:pPr>
      <w:r>
        <w:t>ДОДАТОК 1: Прогноз Фізичних втрат на 2029-2040 рр</w:t>
      </w:r>
    </w:p>
    <w:p w:rsidR="00CB446A" w:rsidRDefault="006524FF" w:rsidP="00C14EEF">
      <w:pPr>
        <w:pStyle w:val="HydrophilStandard"/>
        <w:spacing w:after="0"/>
        <w:contextualSpacing w:val="0"/>
        <w:rPr>
          <w:noProof w:val="0"/>
        </w:rPr>
      </w:pPr>
      <w:r w:rsidRPr="006524FF">
        <w:rPr>
          <w:lang w:eastAsia="uk-UA"/>
        </w:rPr>
        <w:drawing>
          <wp:inline distT="0" distB="0" distL="0" distR="0" wp14:anchorId="39345BFD" wp14:editId="28B9CB55">
            <wp:extent cx="9251315" cy="2880970"/>
            <wp:effectExtent l="0" t="0" r="6985" b="0"/>
            <wp:docPr id="455" name="Рисунок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251315" cy="2880970"/>
                    </a:xfrm>
                    <a:prstGeom prst="rect">
                      <a:avLst/>
                    </a:prstGeom>
                    <a:noFill/>
                    <a:ln>
                      <a:noFill/>
                    </a:ln>
                  </pic:spPr>
                </pic:pic>
              </a:graphicData>
            </a:graphic>
          </wp:inline>
        </w:drawing>
      </w:r>
    </w:p>
    <w:p w:rsidR="00B736BA" w:rsidRDefault="00B736BA" w:rsidP="00C14EEF">
      <w:pPr>
        <w:pStyle w:val="HydrophilStandard"/>
        <w:spacing w:after="0"/>
        <w:contextualSpacing w:val="0"/>
        <w:rPr>
          <w:noProof w:val="0"/>
          <w:lang w:val="en-GB"/>
        </w:rPr>
      </w:pPr>
    </w:p>
    <w:p w:rsidR="005F6021" w:rsidRDefault="003B30EB" w:rsidP="00C14EEF">
      <w:pPr>
        <w:pStyle w:val="HydrophilStandard"/>
        <w:spacing w:after="0"/>
        <w:contextualSpacing w:val="0"/>
        <w:rPr>
          <w:noProof w:val="0"/>
        </w:rPr>
      </w:pPr>
      <w:r>
        <w:rPr>
          <w:lang w:eastAsia="uk-UA"/>
        </w:rPr>
        <w:drawing>
          <wp:inline distT="0" distB="0" distL="0" distR="0" wp14:anchorId="7ABA4E39" wp14:editId="5857D272">
            <wp:extent cx="4895850" cy="2629309"/>
            <wp:effectExtent l="0" t="0" r="0" b="0"/>
            <wp:docPr id="456" name="Рисунок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896802" cy="2629820"/>
                    </a:xfrm>
                    <a:prstGeom prst="rect">
                      <a:avLst/>
                    </a:prstGeom>
                    <a:noFill/>
                  </pic:spPr>
                </pic:pic>
              </a:graphicData>
            </a:graphic>
          </wp:inline>
        </w:drawing>
      </w:r>
    </w:p>
    <w:p w:rsidR="007222E7" w:rsidRPr="0064329D" w:rsidRDefault="007222E7" w:rsidP="00C14EEF">
      <w:pPr>
        <w:pStyle w:val="1"/>
        <w:numPr>
          <w:ilvl w:val="0"/>
          <w:numId w:val="0"/>
        </w:numPr>
        <w:spacing w:before="0" w:after="0"/>
        <w:ind w:left="432" w:hanging="432"/>
        <w:contextualSpacing w:val="0"/>
      </w:pPr>
      <w:bookmarkStart w:id="210" w:name="_Toc48392567"/>
      <w:r>
        <w:t>Додаток 2: Розрахунок зниження вартості інвестиційних складових</w:t>
      </w:r>
      <w:bookmarkEnd w:id="210"/>
    </w:p>
    <w:p w:rsidR="007222E7" w:rsidRDefault="007222E7" w:rsidP="00C14EEF">
      <w:pPr>
        <w:pStyle w:val="HydrophilStandard"/>
        <w:spacing w:after="0"/>
        <w:contextualSpacing w:val="0"/>
        <w:rPr>
          <w:noProof w:val="0"/>
        </w:rPr>
      </w:pPr>
      <w:r>
        <w:rPr>
          <w:rFonts w:ascii="Arial" w:hAnsi="Arial"/>
        </w:rPr>
        <w:t>Додаток 2: Розрахунок зниження вартості інвестиційних складових( 2021</w:t>
      </w:r>
      <w:r w:rsidR="00CB1B48">
        <w:rPr>
          <w:rFonts w:ascii="Arial" w:hAnsi="Arial"/>
        </w:rPr>
        <w:t xml:space="preserve"> </w:t>
      </w:r>
      <w:r>
        <w:rPr>
          <w:rFonts w:ascii="Arial" w:hAnsi="Arial"/>
        </w:rPr>
        <w:t>-2032)</w:t>
      </w:r>
    </w:p>
    <w:p w:rsidR="007222E7" w:rsidRDefault="003531A3" w:rsidP="00C14EEF">
      <w:pPr>
        <w:pStyle w:val="HydrophilStandard"/>
        <w:spacing w:after="0"/>
        <w:contextualSpacing w:val="0"/>
        <w:rPr>
          <w:noProof w:val="0"/>
        </w:rPr>
      </w:pPr>
      <w:r w:rsidRPr="003531A3">
        <w:rPr>
          <w:lang w:eastAsia="uk-UA"/>
        </w:rPr>
        <w:drawing>
          <wp:inline distT="0" distB="0" distL="0" distR="0" wp14:anchorId="3C31556D" wp14:editId="4BA713A9">
            <wp:extent cx="9251315" cy="2841260"/>
            <wp:effectExtent l="0" t="0" r="698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9251315" cy="2841260"/>
                    </a:xfrm>
                    <a:prstGeom prst="rect">
                      <a:avLst/>
                    </a:prstGeom>
                    <a:noFill/>
                    <a:ln>
                      <a:noFill/>
                    </a:ln>
                  </pic:spPr>
                </pic:pic>
              </a:graphicData>
            </a:graphic>
          </wp:inline>
        </w:drawing>
      </w:r>
    </w:p>
    <w:p w:rsidR="007222E7" w:rsidRDefault="007222E7" w:rsidP="00C14EEF">
      <w:pPr>
        <w:pStyle w:val="HydrophilStandard"/>
        <w:spacing w:after="0"/>
        <w:contextualSpacing w:val="0"/>
        <w:rPr>
          <w:noProof w:val="0"/>
          <w:lang w:val="en-GB"/>
        </w:rPr>
      </w:pPr>
    </w:p>
    <w:p w:rsidR="007222E7" w:rsidRDefault="007222E7" w:rsidP="00C14EEF">
      <w:pPr>
        <w:jc w:val="left"/>
        <w:rPr>
          <w:rFonts w:asciiTheme="minorHAnsi" w:hAnsiTheme="minorHAnsi"/>
        </w:rPr>
      </w:pPr>
      <w:r>
        <w:br w:type="page"/>
      </w:r>
    </w:p>
    <w:p w:rsidR="007222E7" w:rsidRDefault="007222E7" w:rsidP="00C14EEF">
      <w:pPr>
        <w:pStyle w:val="HydrophilStandard"/>
        <w:spacing w:after="0"/>
        <w:contextualSpacing w:val="0"/>
        <w:rPr>
          <w:noProof w:val="0"/>
        </w:rPr>
      </w:pPr>
      <w:r>
        <w:rPr>
          <w:rFonts w:ascii="Arial" w:hAnsi="Arial"/>
        </w:rPr>
        <w:t>Додаток 2: Розрахунок зниження вартості інвестиційних складових( 2033</w:t>
      </w:r>
      <w:r w:rsidR="00CB1B48">
        <w:rPr>
          <w:rFonts w:ascii="Arial" w:hAnsi="Arial"/>
        </w:rPr>
        <w:t xml:space="preserve"> </w:t>
      </w:r>
      <w:r>
        <w:rPr>
          <w:rFonts w:ascii="Arial" w:hAnsi="Arial"/>
        </w:rPr>
        <w:t>-2043)</w:t>
      </w:r>
    </w:p>
    <w:p w:rsidR="007222E7" w:rsidRDefault="003531A3" w:rsidP="00C14EEF">
      <w:pPr>
        <w:pStyle w:val="HydrophilStandard"/>
        <w:spacing w:after="0"/>
        <w:contextualSpacing w:val="0"/>
        <w:rPr>
          <w:noProof w:val="0"/>
        </w:rPr>
      </w:pPr>
      <w:r w:rsidRPr="003531A3">
        <w:rPr>
          <w:lang w:eastAsia="uk-UA"/>
        </w:rPr>
        <w:drawing>
          <wp:inline distT="0" distB="0" distL="0" distR="0" wp14:anchorId="63AA04CC" wp14:editId="0C86EE1D">
            <wp:extent cx="9251315" cy="2987215"/>
            <wp:effectExtent l="0" t="0" r="6985" b="381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9251315" cy="2987215"/>
                    </a:xfrm>
                    <a:prstGeom prst="rect">
                      <a:avLst/>
                    </a:prstGeom>
                    <a:noFill/>
                    <a:ln>
                      <a:noFill/>
                    </a:ln>
                  </pic:spPr>
                </pic:pic>
              </a:graphicData>
            </a:graphic>
          </wp:inline>
        </w:drawing>
      </w:r>
    </w:p>
    <w:p w:rsidR="007222E7" w:rsidRDefault="007222E7" w:rsidP="00C14EEF">
      <w:pPr>
        <w:pStyle w:val="HydrophilStandard"/>
        <w:spacing w:after="0"/>
        <w:contextualSpacing w:val="0"/>
        <w:rPr>
          <w:noProof w:val="0"/>
        </w:rPr>
      </w:pPr>
    </w:p>
    <w:p w:rsidR="007222E7" w:rsidRDefault="007222E7" w:rsidP="00C14EEF">
      <w:pPr>
        <w:jc w:val="left"/>
        <w:rPr>
          <w:rFonts w:asciiTheme="minorHAnsi" w:hAnsiTheme="minorHAnsi"/>
        </w:rPr>
      </w:pPr>
      <w:r>
        <w:br w:type="page"/>
      </w:r>
    </w:p>
    <w:p w:rsidR="007222E7" w:rsidRDefault="007222E7" w:rsidP="00C14EEF">
      <w:pPr>
        <w:pStyle w:val="HydrophilStandard"/>
        <w:spacing w:after="0"/>
        <w:contextualSpacing w:val="0"/>
        <w:rPr>
          <w:noProof w:val="0"/>
        </w:rPr>
      </w:pPr>
      <w:r>
        <w:rPr>
          <w:rFonts w:ascii="Arial" w:hAnsi="Arial"/>
        </w:rPr>
        <w:t>Додаток 2: Розрахунок зниження вартості інвестиційних складових( 2044</w:t>
      </w:r>
      <w:r w:rsidR="00CB1B48">
        <w:rPr>
          <w:rFonts w:ascii="Arial" w:hAnsi="Arial"/>
        </w:rPr>
        <w:t xml:space="preserve"> </w:t>
      </w:r>
      <w:r>
        <w:rPr>
          <w:rFonts w:ascii="Arial" w:hAnsi="Arial"/>
        </w:rPr>
        <w:t>-2054)</w:t>
      </w:r>
    </w:p>
    <w:p w:rsidR="007222E7" w:rsidRPr="007222E7" w:rsidRDefault="003531A3" w:rsidP="00C14EEF">
      <w:pPr>
        <w:pStyle w:val="HydrophilStandard"/>
        <w:spacing w:after="0"/>
        <w:contextualSpacing w:val="0"/>
        <w:rPr>
          <w:noProof w:val="0"/>
        </w:rPr>
      </w:pPr>
      <w:r w:rsidRPr="003531A3">
        <w:rPr>
          <w:lang w:eastAsia="uk-UA"/>
        </w:rPr>
        <w:drawing>
          <wp:inline distT="0" distB="0" distL="0" distR="0" wp14:anchorId="2F698682" wp14:editId="7E59F700">
            <wp:extent cx="9251315" cy="2892405"/>
            <wp:effectExtent l="0" t="0" r="6985" b="381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9251315" cy="2892405"/>
                    </a:xfrm>
                    <a:prstGeom prst="rect">
                      <a:avLst/>
                    </a:prstGeom>
                    <a:noFill/>
                    <a:ln>
                      <a:noFill/>
                    </a:ln>
                  </pic:spPr>
                </pic:pic>
              </a:graphicData>
            </a:graphic>
          </wp:inline>
        </w:drawing>
      </w:r>
    </w:p>
    <w:p w:rsidR="007222E7" w:rsidRDefault="007222E7" w:rsidP="00C14EEF">
      <w:pPr>
        <w:pStyle w:val="HydrophilStandard"/>
        <w:spacing w:after="0"/>
        <w:contextualSpacing w:val="0"/>
        <w:rPr>
          <w:noProof w:val="0"/>
        </w:rPr>
      </w:pPr>
    </w:p>
    <w:p w:rsidR="00964AC6" w:rsidRDefault="00964AC6" w:rsidP="00C14EEF">
      <w:pPr>
        <w:jc w:val="left"/>
        <w:rPr>
          <w:rFonts w:asciiTheme="minorHAnsi" w:hAnsiTheme="minorHAnsi"/>
        </w:rPr>
      </w:pPr>
      <w:r>
        <w:br w:type="page"/>
      </w:r>
    </w:p>
    <w:p w:rsidR="00964AC6" w:rsidRDefault="00964AC6" w:rsidP="00C14EEF">
      <w:pPr>
        <w:pStyle w:val="1"/>
        <w:numPr>
          <w:ilvl w:val="0"/>
          <w:numId w:val="0"/>
        </w:numPr>
        <w:spacing w:before="0" w:after="0"/>
        <w:ind w:left="432" w:hanging="432"/>
        <w:contextualSpacing w:val="0"/>
      </w:pPr>
      <w:bookmarkStart w:id="211" w:name="_Toc27163811"/>
      <w:bookmarkStart w:id="212" w:name="_Toc48392568"/>
      <w:r>
        <w:t>Додаток 3: Розрахунок додаткових витрат та отриманого вхідного потоку інвестицій</w:t>
      </w:r>
      <w:bookmarkEnd w:id="211"/>
      <w:bookmarkEnd w:id="212"/>
    </w:p>
    <w:p w:rsidR="00964AC6" w:rsidRPr="00964AC6" w:rsidRDefault="00964AC6" w:rsidP="00C14EEF">
      <w:pPr>
        <w:pStyle w:val="HydrophilStandard"/>
        <w:spacing w:after="0"/>
        <w:contextualSpacing w:val="0"/>
        <w:rPr>
          <w:noProof w:val="0"/>
        </w:rPr>
      </w:pPr>
    </w:p>
    <w:p w:rsidR="00DB0575" w:rsidRPr="00623495" w:rsidRDefault="00DB0575" w:rsidP="00C14EEF">
      <w:pPr>
        <w:jc w:val="left"/>
        <w:rPr>
          <w:rFonts w:ascii="Arial" w:hAnsi="Arial" w:cs="Arial"/>
        </w:rPr>
      </w:pPr>
      <w:r>
        <w:rPr>
          <w:rFonts w:ascii="Arial" w:hAnsi="Arial"/>
        </w:rPr>
        <w:t>Додаток 3: Розрахунок додаткових витрат та отриманого вхідного потоку інвестицій( 2021</w:t>
      </w:r>
      <w:r w:rsidR="00CB1B48">
        <w:rPr>
          <w:rFonts w:ascii="Arial" w:hAnsi="Arial"/>
        </w:rPr>
        <w:t xml:space="preserve"> </w:t>
      </w:r>
      <w:r>
        <w:rPr>
          <w:rFonts w:ascii="Arial" w:hAnsi="Arial"/>
        </w:rPr>
        <w:t>-2032)</w:t>
      </w:r>
    </w:p>
    <w:p w:rsidR="00964AC6" w:rsidRPr="00DB0575" w:rsidRDefault="001250F7" w:rsidP="00C14EEF">
      <w:pPr>
        <w:pStyle w:val="HydrophilStandard"/>
        <w:spacing w:after="0"/>
        <w:contextualSpacing w:val="0"/>
        <w:rPr>
          <w:noProof w:val="0"/>
        </w:rPr>
      </w:pPr>
      <w:r w:rsidRPr="001250F7">
        <w:rPr>
          <w:lang w:eastAsia="uk-UA"/>
        </w:rPr>
        <w:drawing>
          <wp:inline distT="0" distB="0" distL="0" distR="0" wp14:anchorId="5C65A9AB" wp14:editId="432AE9E6">
            <wp:extent cx="9251315" cy="3408863"/>
            <wp:effectExtent l="0" t="0" r="6985" b="1270"/>
            <wp:docPr id="482" name="Рисунок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9251315" cy="3408863"/>
                    </a:xfrm>
                    <a:prstGeom prst="rect">
                      <a:avLst/>
                    </a:prstGeom>
                    <a:noFill/>
                    <a:ln>
                      <a:noFill/>
                    </a:ln>
                  </pic:spPr>
                </pic:pic>
              </a:graphicData>
            </a:graphic>
          </wp:inline>
        </w:drawing>
      </w:r>
    </w:p>
    <w:p w:rsidR="007222E7" w:rsidRDefault="007222E7" w:rsidP="00C14EEF">
      <w:pPr>
        <w:pStyle w:val="HydrophilStandard"/>
        <w:spacing w:after="0"/>
        <w:contextualSpacing w:val="0"/>
        <w:rPr>
          <w:noProof w:val="0"/>
        </w:rPr>
      </w:pPr>
    </w:p>
    <w:p w:rsidR="00DB0575" w:rsidRDefault="00DB0575" w:rsidP="00C14EEF">
      <w:pPr>
        <w:jc w:val="left"/>
        <w:rPr>
          <w:rFonts w:asciiTheme="minorHAnsi" w:hAnsiTheme="minorHAnsi"/>
        </w:rPr>
      </w:pPr>
      <w:r>
        <w:br w:type="page"/>
      </w:r>
    </w:p>
    <w:p w:rsidR="00DB0575" w:rsidRPr="00623495" w:rsidRDefault="00DB0575" w:rsidP="00C14EEF">
      <w:pPr>
        <w:jc w:val="left"/>
        <w:rPr>
          <w:rFonts w:ascii="Arial" w:hAnsi="Arial" w:cs="Arial"/>
        </w:rPr>
      </w:pPr>
      <w:r>
        <w:rPr>
          <w:rFonts w:ascii="Arial" w:hAnsi="Arial"/>
        </w:rPr>
        <w:t>Додаток 3: Розрахунок додаткових витрат та отриманого вхідного потоку інвестицій( 2033</w:t>
      </w:r>
      <w:r w:rsidR="00CB1B48">
        <w:rPr>
          <w:rFonts w:ascii="Arial" w:hAnsi="Arial"/>
        </w:rPr>
        <w:t xml:space="preserve"> </w:t>
      </w:r>
      <w:r>
        <w:rPr>
          <w:rFonts w:ascii="Arial" w:hAnsi="Arial"/>
        </w:rPr>
        <w:t>-2043)</w:t>
      </w:r>
    </w:p>
    <w:p w:rsidR="00DB0575" w:rsidRPr="00DB0575" w:rsidRDefault="001250F7" w:rsidP="00C14EEF">
      <w:pPr>
        <w:pStyle w:val="HydrophilStandard"/>
        <w:spacing w:after="0"/>
        <w:contextualSpacing w:val="0"/>
        <w:rPr>
          <w:noProof w:val="0"/>
        </w:rPr>
      </w:pPr>
      <w:r w:rsidRPr="001250F7">
        <w:rPr>
          <w:lang w:eastAsia="uk-UA"/>
        </w:rPr>
        <w:drawing>
          <wp:inline distT="0" distB="0" distL="0" distR="0" wp14:anchorId="605C0228" wp14:editId="44CB9E0F">
            <wp:extent cx="9251315" cy="3443106"/>
            <wp:effectExtent l="0" t="0" r="6985" b="5080"/>
            <wp:docPr id="483" name="Рисунок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9251315" cy="3443106"/>
                    </a:xfrm>
                    <a:prstGeom prst="rect">
                      <a:avLst/>
                    </a:prstGeom>
                    <a:noFill/>
                    <a:ln>
                      <a:noFill/>
                    </a:ln>
                  </pic:spPr>
                </pic:pic>
              </a:graphicData>
            </a:graphic>
          </wp:inline>
        </w:drawing>
      </w:r>
    </w:p>
    <w:p w:rsidR="00DB0575" w:rsidRDefault="00DB0575" w:rsidP="00C14EEF">
      <w:pPr>
        <w:pStyle w:val="HydrophilStandard"/>
        <w:spacing w:after="0"/>
        <w:contextualSpacing w:val="0"/>
        <w:rPr>
          <w:noProof w:val="0"/>
        </w:rPr>
      </w:pPr>
    </w:p>
    <w:p w:rsidR="00DB0575" w:rsidRDefault="00DB0575" w:rsidP="00C14EEF">
      <w:pPr>
        <w:pStyle w:val="HydrophilStandard"/>
        <w:spacing w:after="0"/>
        <w:contextualSpacing w:val="0"/>
        <w:rPr>
          <w:noProof w:val="0"/>
        </w:rPr>
      </w:pPr>
    </w:p>
    <w:p w:rsidR="0043118E" w:rsidRDefault="0043118E" w:rsidP="00C14EEF">
      <w:pPr>
        <w:jc w:val="left"/>
        <w:rPr>
          <w:rFonts w:asciiTheme="minorHAnsi" w:hAnsiTheme="minorHAnsi"/>
        </w:rPr>
      </w:pPr>
      <w:r>
        <w:br w:type="page"/>
      </w:r>
    </w:p>
    <w:p w:rsidR="0043118E" w:rsidRPr="00623495" w:rsidRDefault="0043118E" w:rsidP="00C14EEF">
      <w:pPr>
        <w:jc w:val="left"/>
        <w:rPr>
          <w:rFonts w:ascii="Arial" w:hAnsi="Arial" w:cs="Arial"/>
        </w:rPr>
      </w:pPr>
      <w:r>
        <w:rPr>
          <w:rFonts w:ascii="Arial" w:hAnsi="Arial"/>
        </w:rPr>
        <w:t>Додаток 3: Розрахунок додаткових витрат та отриманого вхідного потоку інвестицій( 2044</w:t>
      </w:r>
      <w:r w:rsidR="00CB1B48">
        <w:rPr>
          <w:rFonts w:ascii="Arial" w:hAnsi="Arial"/>
        </w:rPr>
        <w:t xml:space="preserve"> </w:t>
      </w:r>
      <w:r>
        <w:rPr>
          <w:rFonts w:ascii="Arial" w:hAnsi="Arial"/>
        </w:rPr>
        <w:t>-2054)</w:t>
      </w:r>
    </w:p>
    <w:p w:rsidR="0043118E" w:rsidRDefault="001250F7" w:rsidP="00C14EEF">
      <w:pPr>
        <w:pStyle w:val="HydrophilStandard"/>
        <w:spacing w:after="0"/>
        <w:contextualSpacing w:val="0"/>
        <w:rPr>
          <w:noProof w:val="0"/>
        </w:rPr>
      </w:pPr>
      <w:r w:rsidRPr="001250F7">
        <w:rPr>
          <w:lang w:eastAsia="uk-UA"/>
        </w:rPr>
        <w:drawing>
          <wp:inline distT="0" distB="0" distL="0" distR="0" wp14:anchorId="527B8402" wp14:editId="67842368">
            <wp:extent cx="9251315" cy="3555614"/>
            <wp:effectExtent l="0" t="0" r="6985" b="6985"/>
            <wp:docPr id="484" name="Рисунок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9251315" cy="3555614"/>
                    </a:xfrm>
                    <a:prstGeom prst="rect">
                      <a:avLst/>
                    </a:prstGeom>
                    <a:noFill/>
                    <a:ln>
                      <a:noFill/>
                    </a:ln>
                  </pic:spPr>
                </pic:pic>
              </a:graphicData>
            </a:graphic>
          </wp:inline>
        </w:drawing>
      </w:r>
    </w:p>
    <w:p w:rsidR="0043118E" w:rsidRPr="0043118E" w:rsidRDefault="0043118E" w:rsidP="00C14EEF">
      <w:pPr>
        <w:pStyle w:val="HydrophilStandard"/>
        <w:spacing w:after="0"/>
        <w:contextualSpacing w:val="0"/>
        <w:rPr>
          <w:noProof w:val="0"/>
        </w:rPr>
      </w:pPr>
    </w:p>
    <w:p w:rsidR="00DB0575" w:rsidRDefault="00DB0575" w:rsidP="00C14EEF">
      <w:pPr>
        <w:pStyle w:val="HydrophilStandard"/>
        <w:spacing w:after="0"/>
        <w:contextualSpacing w:val="0"/>
        <w:rPr>
          <w:noProof w:val="0"/>
        </w:rPr>
      </w:pPr>
    </w:p>
    <w:p w:rsidR="00ED580E" w:rsidRDefault="00ED580E" w:rsidP="00C14EEF">
      <w:pPr>
        <w:jc w:val="left"/>
        <w:rPr>
          <w:rFonts w:asciiTheme="minorHAnsi" w:hAnsiTheme="minorHAnsi"/>
        </w:rPr>
      </w:pPr>
      <w:r>
        <w:br w:type="page"/>
      </w:r>
    </w:p>
    <w:p w:rsidR="00ED580E" w:rsidRDefault="00ED580E" w:rsidP="00C14EEF">
      <w:pPr>
        <w:pStyle w:val="1"/>
        <w:numPr>
          <w:ilvl w:val="0"/>
          <w:numId w:val="0"/>
        </w:numPr>
        <w:spacing w:before="0" w:after="0"/>
        <w:ind w:left="432" w:hanging="432"/>
        <w:contextualSpacing w:val="0"/>
      </w:pPr>
      <w:bookmarkStart w:id="213" w:name="_Toc27163812"/>
      <w:bookmarkStart w:id="214" w:name="_Toc48392569"/>
      <w:r>
        <w:t>Додаток 4: Аналіз доступності тарифів</w:t>
      </w:r>
      <w:bookmarkEnd w:id="213"/>
      <w:bookmarkEnd w:id="214"/>
    </w:p>
    <w:p w:rsidR="00ED580E" w:rsidRDefault="00ED580E" w:rsidP="00C14EEF">
      <w:pPr>
        <w:pStyle w:val="HydrophilStandard"/>
        <w:spacing w:after="0"/>
        <w:contextualSpacing w:val="0"/>
        <w:rPr>
          <w:rFonts w:ascii="Arial" w:hAnsi="Arial" w:cs="Arial"/>
        </w:rPr>
      </w:pPr>
    </w:p>
    <w:p w:rsidR="00ED580E" w:rsidRPr="00EC21E4" w:rsidRDefault="00ED580E" w:rsidP="00C14EEF">
      <w:pPr>
        <w:pStyle w:val="HydrophilStandard"/>
        <w:spacing w:after="0"/>
        <w:contextualSpacing w:val="0"/>
        <w:rPr>
          <w:rFonts w:ascii="Arial" w:hAnsi="Arial" w:cs="Arial"/>
        </w:rPr>
      </w:pPr>
      <w:r>
        <w:rPr>
          <w:rFonts w:ascii="Arial" w:hAnsi="Arial"/>
        </w:rPr>
        <w:t>Додаток 4: Аналіз доступності тарифів 2021-2032</w:t>
      </w:r>
    </w:p>
    <w:p w:rsidR="00ED580E" w:rsidRPr="00ED580E" w:rsidRDefault="004C6A01" w:rsidP="00C14EEF">
      <w:pPr>
        <w:pStyle w:val="HydrophilStandard"/>
        <w:spacing w:after="0"/>
        <w:contextualSpacing w:val="0"/>
        <w:rPr>
          <w:noProof w:val="0"/>
        </w:rPr>
      </w:pPr>
      <w:r w:rsidRPr="004C6A01">
        <w:rPr>
          <w:lang w:eastAsia="uk-UA"/>
        </w:rPr>
        <w:drawing>
          <wp:inline distT="0" distB="0" distL="0" distR="0" wp14:anchorId="534F2F16" wp14:editId="1FCE44D2">
            <wp:extent cx="9251315" cy="4239967"/>
            <wp:effectExtent l="0" t="0" r="6985" b="8255"/>
            <wp:docPr id="485" name="Рисунок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9251315" cy="4239967"/>
                    </a:xfrm>
                    <a:prstGeom prst="rect">
                      <a:avLst/>
                    </a:prstGeom>
                    <a:noFill/>
                    <a:ln>
                      <a:noFill/>
                    </a:ln>
                  </pic:spPr>
                </pic:pic>
              </a:graphicData>
            </a:graphic>
          </wp:inline>
        </w:drawing>
      </w:r>
    </w:p>
    <w:p w:rsidR="006C2303" w:rsidRDefault="006C2303" w:rsidP="00C14EEF">
      <w:pPr>
        <w:pStyle w:val="HydrophilStandard"/>
        <w:spacing w:after="0"/>
        <w:contextualSpacing w:val="0"/>
        <w:rPr>
          <w:noProof w:val="0"/>
        </w:rPr>
      </w:pPr>
    </w:p>
    <w:p w:rsidR="00ED580E" w:rsidRDefault="00ED580E" w:rsidP="00C14EEF">
      <w:pPr>
        <w:pStyle w:val="HydrophilStandard"/>
        <w:spacing w:after="0"/>
        <w:contextualSpacing w:val="0"/>
        <w:rPr>
          <w:noProof w:val="0"/>
        </w:rPr>
      </w:pPr>
    </w:p>
    <w:p w:rsidR="004C6A01" w:rsidRDefault="004C6A01" w:rsidP="00C14EEF">
      <w:pPr>
        <w:jc w:val="left"/>
        <w:rPr>
          <w:rFonts w:asciiTheme="minorHAnsi" w:hAnsiTheme="minorHAnsi"/>
        </w:rPr>
      </w:pPr>
      <w:r>
        <w:br w:type="page"/>
      </w:r>
    </w:p>
    <w:p w:rsidR="00ED580E" w:rsidRDefault="00ED580E" w:rsidP="00C14EEF">
      <w:pPr>
        <w:pStyle w:val="HydrophilStandard"/>
        <w:spacing w:after="0"/>
        <w:contextualSpacing w:val="0"/>
        <w:rPr>
          <w:noProof w:val="0"/>
        </w:rPr>
      </w:pPr>
    </w:p>
    <w:p w:rsidR="00ED580E" w:rsidRPr="00EC21E4" w:rsidRDefault="00ED580E" w:rsidP="00C14EEF">
      <w:pPr>
        <w:pStyle w:val="HydrophilStandard"/>
        <w:spacing w:after="0"/>
        <w:contextualSpacing w:val="0"/>
        <w:rPr>
          <w:rFonts w:ascii="Arial" w:hAnsi="Arial" w:cs="Arial"/>
        </w:rPr>
      </w:pPr>
      <w:r>
        <w:rPr>
          <w:rFonts w:ascii="Arial" w:hAnsi="Arial"/>
        </w:rPr>
        <w:t>Додаток 4: Аналіз доступності тарифів 2033-2043</w:t>
      </w:r>
    </w:p>
    <w:p w:rsidR="00ED580E" w:rsidRDefault="004C6A01" w:rsidP="00C14EEF">
      <w:pPr>
        <w:pStyle w:val="HydrophilStandard"/>
        <w:spacing w:after="0"/>
        <w:contextualSpacing w:val="0"/>
        <w:rPr>
          <w:noProof w:val="0"/>
        </w:rPr>
      </w:pPr>
      <w:r w:rsidRPr="004C6A01">
        <w:rPr>
          <w:lang w:eastAsia="uk-UA"/>
        </w:rPr>
        <w:drawing>
          <wp:inline distT="0" distB="0" distL="0" distR="0" wp14:anchorId="4733005C" wp14:editId="0AA19B9F">
            <wp:extent cx="9251315" cy="4484141"/>
            <wp:effectExtent l="0" t="0" r="6985" b="0"/>
            <wp:docPr id="486" name="Рисунок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251315" cy="4484141"/>
                    </a:xfrm>
                    <a:prstGeom prst="rect">
                      <a:avLst/>
                    </a:prstGeom>
                    <a:noFill/>
                    <a:ln>
                      <a:noFill/>
                    </a:ln>
                  </pic:spPr>
                </pic:pic>
              </a:graphicData>
            </a:graphic>
          </wp:inline>
        </w:drawing>
      </w:r>
    </w:p>
    <w:p w:rsidR="00ED580E" w:rsidRDefault="00ED580E" w:rsidP="00C14EEF">
      <w:pPr>
        <w:jc w:val="left"/>
        <w:rPr>
          <w:rFonts w:asciiTheme="minorHAnsi" w:hAnsiTheme="minorHAnsi"/>
        </w:rPr>
      </w:pPr>
      <w:r>
        <w:br w:type="page"/>
      </w:r>
    </w:p>
    <w:p w:rsidR="00ED580E" w:rsidRPr="00EC21E4" w:rsidRDefault="00ED580E" w:rsidP="00C14EEF">
      <w:pPr>
        <w:pStyle w:val="HydrophilStandard"/>
        <w:spacing w:after="0"/>
        <w:contextualSpacing w:val="0"/>
        <w:rPr>
          <w:rFonts w:ascii="Arial" w:hAnsi="Arial" w:cs="Arial"/>
        </w:rPr>
      </w:pPr>
      <w:r>
        <w:rPr>
          <w:rFonts w:ascii="Arial" w:hAnsi="Arial"/>
        </w:rPr>
        <w:t>Додаток 4: Аналіз доступності тарифів 2044-2054</w:t>
      </w:r>
    </w:p>
    <w:p w:rsidR="00ED580E" w:rsidRDefault="004C6A01" w:rsidP="00C14EEF">
      <w:pPr>
        <w:pStyle w:val="HydrophilStandard"/>
        <w:spacing w:after="0"/>
        <w:contextualSpacing w:val="0"/>
        <w:rPr>
          <w:noProof w:val="0"/>
        </w:rPr>
      </w:pPr>
      <w:r w:rsidRPr="004C6A01">
        <w:rPr>
          <w:lang w:eastAsia="uk-UA"/>
        </w:rPr>
        <w:drawing>
          <wp:inline distT="0" distB="0" distL="0" distR="0" wp14:anchorId="74DBE033" wp14:editId="323502A2">
            <wp:extent cx="9251315" cy="4404869"/>
            <wp:effectExtent l="0" t="0" r="6985" b="0"/>
            <wp:docPr id="487" name="Рисунок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9251315" cy="4404869"/>
                    </a:xfrm>
                    <a:prstGeom prst="rect">
                      <a:avLst/>
                    </a:prstGeom>
                    <a:noFill/>
                    <a:ln>
                      <a:noFill/>
                    </a:ln>
                  </pic:spPr>
                </pic:pic>
              </a:graphicData>
            </a:graphic>
          </wp:inline>
        </w:drawing>
      </w:r>
    </w:p>
    <w:p w:rsidR="00B15FF4" w:rsidRDefault="00B15FF4" w:rsidP="00C14EEF">
      <w:pPr>
        <w:jc w:val="left"/>
        <w:rPr>
          <w:rFonts w:asciiTheme="minorHAnsi" w:hAnsiTheme="minorHAnsi"/>
        </w:rPr>
      </w:pPr>
      <w:r>
        <w:br w:type="page"/>
      </w:r>
    </w:p>
    <w:p w:rsidR="00B15FF4" w:rsidRPr="003B3601" w:rsidRDefault="00B15FF4" w:rsidP="00C14EEF">
      <w:pPr>
        <w:pStyle w:val="1"/>
        <w:numPr>
          <w:ilvl w:val="0"/>
          <w:numId w:val="0"/>
        </w:numPr>
        <w:spacing w:before="0" w:after="0"/>
        <w:ind w:left="432" w:hanging="432"/>
        <w:contextualSpacing w:val="0"/>
      </w:pPr>
      <w:bookmarkStart w:id="215" w:name="_Toc27163813"/>
      <w:bookmarkStart w:id="216" w:name="_Toc48392570"/>
      <w:r>
        <w:t>Додаток 5: Розрахунок рентабельності інвестицій (FNPV, FRR)</w:t>
      </w:r>
      <w:bookmarkEnd w:id="215"/>
      <w:bookmarkEnd w:id="216"/>
    </w:p>
    <w:p w:rsidR="00B15FF4" w:rsidRPr="003B6E37" w:rsidRDefault="00B15FF4" w:rsidP="00C14EEF">
      <w:pPr>
        <w:rPr>
          <w:rFonts w:ascii="Arial" w:hAnsi="Arial" w:cs="Arial"/>
        </w:rPr>
      </w:pPr>
      <w:r>
        <w:rPr>
          <w:rFonts w:ascii="Arial" w:hAnsi="Arial"/>
        </w:rPr>
        <w:t>Додаток 5: Розрахунок рентабельності інвестицій (FNPV, FRR) 2021</w:t>
      </w:r>
      <w:r w:rsidR="00CB1B48">
        <w:rPr>
          <w:rFonts w:ascii="Arial" w:hAnsi="Arial"/>
        </w:rPr>
        <w:t xml:space="preserve"> </w:t>
      </w:r>
      <w:r>
        <w:rPr>
          <w:rFonts w:ascii="Arial" w:hAnsi="Arial"/>
        </w:rPr>
        <w:t>-2031</w:t>
      </w:r>
    </w:p>
    <w:p w:rsidR="00ED580E" w:rsidRDefault="000C1E01" w:rsidP="00C14EEF">
      <w:pPr>
        <w:pStyle w:val="HydrophilStandard"/>
        <w:spacing w:after="0"/>
        <w:contextualSpacing w:val="0"/>
        <w:rPr>
          <w:noProof w:val="0"/>
        </w:rPr>
      </w:pPr>
      <w:r w:rsidRPr="000C1E01">
        <w:rPr>
          <w:lang w:eastAsia="uk-UA"/>
        </w:rPr>
        <w:drawing>
          <wp:inline distT="0" distB="0" distL="0" distR="0" wp14:anchorId="36B2CF4D" wp14:editId="04C79DA2">
            <wp:extent cx="9251315" cy="977634"/>
            <wp:effectExtent l="0" t="0" r="0" b="0"/>
            <wp:docPr id="488" name="Рисунок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9251315" cy="977634"/>
                    </a:xfrm>
                    <a:prstGeom prst="rect">
                      <a:avLst/>
                    </a:prstGeom>
                    <a:noFill/>
                    <a:ln>
                      <a:noFill/>
                    </a:ln>
                  </pic:spPr>
                </pic:pic>
              </a:graphicData>
            </a:graphic>
          </wp:inline>
        </w:drawing>
      </w:r>
    </w:p>
    <w:p w:rsidR="00B15FF4" w:rsidRDefault="00B15FF4" w:rsidP="00C14EEF">
      <w:pPr>
        <w:pStyle w:val="HydrophilStandard"/>
        <w:spacing w:after="0"/>
        <w:contextualSpacing w:val="0"/>
        <w:rPr>
          <w:noProof w:val="0"/>
        </w:rPr>
      </w:pPr>
    </w:p>
    <w:p w:rsidR="00AE3989" w:rsidRPr="00AE3989" w:rsidRDefault="00AE3989" w:rsidP="00C14EEF">
      <w:pPr>
        <w:pStyle w:val="HydrophilStandard"/>
        <w:spacing w:after="0"/>
        <w:contextualSpacing w:val="0"/>
        <w:rPr>
          <w:noProof w:val="0"/>
        </w:rPr>
      </w:pPr>
    </w:p>
    <w:p w:rsidR="00B15FF4" w:rsidRPr="00846AAB" w:rsidRDefault="00B15FF4" w:rsidP="00C14EEF">
      <w:pPr>
        <w:rPr>
          <w:rFonts w:ascii="Arial" w:hAnsi="Arial" w:cs="Arial"/>
        </w:rPr>
      </w:pPr>
      <w:r>
        <w:rPr>
          <w:rFonts w:ascii="Arial" w:hAnsi="Arial"/>
        </w:rPr>
        <w:t>Додаток 5: Розрахунок рентабельності інвестицій (FNPV, FRR) 2032</w:t>
      </w:r>
      <w:r w:rsidR="00CB1B48">
        <w:rPr>
          <w:rFonts w:ascii="Arial" w:hAnsi="Arial"/>
        </w:rPr>
        <w:t xml:space="preserve"> </w:t>
      </w:r>
      <w:r>
        <w:rPr>
          <w:rFonts w:ascii="Arial" w:hAnsi="Arial"/>
        </w:rPr>
        <w:t>-2043</w:t>
      </w:r>
    </w:p>
    <w:p w:rsidR="00B15FF4" w:rsidRPr="00B15FF4" w:rsidRDefault="000C1E01" w:rsidP="00C14EEF">
      <w:pPr>
        <w:pStyle w:val="HydrophilStandard"/>
        <w:spacing w:after="0"/>
        <w:contextualSpacing w:val="0"/>
        <w:rPr>
          <w:noProof w:val="0"/>
        </w:rPr>
      </w:pPr>
      <w:r w:rsidRPr="000C1E01">
        <w:rPr>
          <w:lang w:eastAsia="uk-UA"/>
        </w:rPr>
        <w:drawing>
          <wp:inline distT="0" distB="0" distL="0" distR="0" wp14:anchorId="78F70F76" wp14:editId="39192A3D">
            <wp:extent cx="9251315" cy="933778"/>
            <wp:effectExtent l="0" t="0" r="0" b="0"/>
            <wp:docPr id="489" name="Рисунок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9251315" cy="933778"/>
                    </a:xfrm>
                    <a:prstGeom prst="rect">
                      <a:avLst/>
                    </a:prstGeom>
                    <a:noFill/>
                    <a:ln>
                      <a:noFill/>
                    </a:ln>
                  </pic:spPr>
                </pic:pic>
              </a:graphicData>
            </a:graphic>
          </wp:inline>
        </w:drawing>
      </w:r>
    </w:p>
    <w:p w:rsidR="00B15FF4" w:rsidRDefault="00B15FF4" w:rsidP="00C14EEF">
      <w:pPr>
        <w:pStyle w:val="HydrophilStandard"/>
        <w:spacing w:after="0"/>
        <w:contextualSpacing w:val="0"/>
        <w:rPr>
          <w:noProof w:val="0"/>
        </w:rPr>
      </w:pPr>
    </w:p>
    <w:p w:rsidR="00AE3989" w:rsidRPr="00AE3989" w:rsidRDefault="00AE3989" w:rsidP="00C14EEF">
      <w:pPr>
        <w:pStyle w:val="HydrophilStandard"/>
        <w:spacing w:after="0"/>
        <w:contextualSpacing w:val="0"/>
        <w:rPr>
          <w:noProof w:val="0"/>
        </w:rPr>
      </w:pPr>
    </w:p>
    <w:p w:rsidR="00B15FF4" w:rsidRPr="003B6E37" w:rsidRDefault="00B15FF4" w:rsidP="00C14EEF">
      <w:pPr>
        <w:rPr>
          <w:rFonts w:ascii="Arial" w:hAnsi="Arial" w:cs="Arial"/>
        </w:rPr>
      </w:pPr>
      <w:r>
        <w:rPr>
          <w:rFonts w:ascii="Arial" w:hAnsi="Arial"/>
        </w:rPr>
        <w:t>Додаток 5: Розрахунок рентабельності інвестицій (FNPV, FRR) 2044</w:t>
      </w:r>
      <w:r w:rsidR="00CB1B48">
        <w:rPr>
          <w:rFonts w:ascii="Arial" w:hAnsi="Arial"/>
        </w:rPr>
        <w:t xml:space="preserve"> </w:t>
      </w:r>
      <w:r>
        <w:rPr>
          <w:rFonts w:ascii="Arial" w:hAnsi="Arial"/>
        </w:rPr>
        <w:t>-2054</w:t>
      </w:r>
    </w:p>
    <w:p w:rsidR="00B15FF4" w:rsidRPr="00B15FF4" w:rsidRDefault="000C1E01" w:rsidP="00C14EEF">
      <w:pPr>
        <w:pStyle w:val="HydrophilStandard"/>
        <w:spacing w:after="0"/>
        <w:contextualSpacing w:val="0"/>
        <w:rPr>
          <w:noProof w:val="0"/>
        </w:rPr>
      </w:pPr>
      <w:r w:rsidRPr="000C1E01">
        <w:rPr>
          <w:lang w:eastAsia="uk-UA"/>
        </w:rPr>
        <w:drawing>
          <wp:inline distT="0" distB="0" distL="0" distR="0" wp14:anchorId="1576301E" wp14:editId="7220AD16">
            <wp:extent cx="9251315" cy="996485"/>
            <wp:effectExtent l="0" t="0" r="6985" b="0"/>
            <wp:docPr id="490" name="Рисунок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9251315" cy="996485"/>
                    </a:xfrm>
                    <a:prstGeom prst="rect">
                      <a:avLst/>
                    </a:prstGeom>
                    <a:noFill/>
                    <a:ln>
                      <a:noFill/>
                    </a:ln>
                  </pic:spPr>
                </pic:pic>
              </a:graphicData>
            </a:graphic>
          </wp:inline>
        </w:drawing>
      </w:r>
    </w:p>
    <w:p w:rsidR="00B15FF4" w:rsidRDefault="00B15FF4" w:rsidP="00C14EEF">
      <w:pPr>
        <w:pStyle w:val="HydrophilStandard"/>
        <w:spacing w:after="0"/>
        <w:contextualSpacing w:val="0"/>
        <w:rPr>
          <w:noProof w:val="0"/>
        </w:rPr>
      </w:pPr>
    </w:p>
    <w:p w:rsidR="00D563FD" w:rsidRDefault="00D563FD" w:rsidP="00C14EEF">
      <w:pPr>
        <w:pStyle w:val="HydrophilStandard"/>
        <w:spacing w:after="0"/>
        <w:contextualSpacing w:val="0"/>
        <w:rPr>
          <w:noProof w:val="0"/>
        </w:rPr>
      </w:pPr>
    </w:p>
    <w:p w:rsidR="00D563FD" w:rsidRDefault="00D563FD" w:rsidP="00C14EEF">
      <w:pPr>
        <w:jc w:val="left"/>
        <w:rPr>
          <w:rFonts w:asciiTheme="minorHAnsi" w:hAnsiTheme="minorHAnsi"/>
        </w:rPr>
      </w:pPr>
      <w:r>
        <w:br w:type="page"/>
      </w:r>
    </w:p>
    <w:p w:rsidR="00D563FD" w:rsidRPr="003B3601" w:rsidRDefault="00D563FD" w:rsidP="00C14EEF">
      <w:pPr>
        <w:pStyle w:val="1"/>
        <w:numPr>
          <w:ilvl w:val="0"/>
          <w:numId w:val="0"/>
        </w:numPr>
        <w:spacing w:before="0" w:after="0"/>
        <w:ind w:left="432" w:hanging="432"/>
        <w:contextualSpacing w:val="0"/>
      </w:pPr>
      <w:bookmarkStart w:id="217" w:name="_Toc27163814"/>
      <w:bookmarkStart w:id="218" w:name="_Toc48392571"/>
      <w:r>
        <w:t xml:space="preserve">Додаток 6: Розрахунок рентабельності інвестицій (FNPV, FRR, Співвідношення </w:t>
      </w:r>
      <w:r w:rsidR="00CB1B48">
        <w:t xml:space="preserve">вигід </w:t>
      </w:r>
      <w:r>
        <w:t>та витрат)</w:t>
      </w:r>
      <w:bookmarkEnd w:id="217"/>
      <w:bookmarkEnd w:id="218"/>
    </w:p>
    <w:p w:rsidR="00D563FD" w:rsidRDefault="00D563FD" w:rsidP="00C14EEF">
      <w:pPr>
        <w:rPr>
          <w:rFonts w:ascii="Arial" w:hAnsi="Arial" w:cs="Arial"/>
        </w:rPr>
      </w:pPr>
      <w:r>
        <w:rPr>
          <w:rFonts w:ascii="Arial" w:hAnsi="Arial"/>
        </w:rPr>
        <w:t xml:space="preserve">Додаток 6: Розрахунок рентабельності інвестицій (FNPV, FRR, Співвідношення </w:t>
      </w:r>
      <w:r w:rsidR="00CB1B48">
        <w:rPr>
          <w:rFonts w:ascii="Arial" w:hAnsi="Arial"/>
        </w:rPr>
        <w:t xml:space="preserve">вигід </w:t>
      </w:r>
      <w:r>
        <w:rPr>
          <w:rFonts w:ascii="Arial" w:hAnsi="Arial"/>
        </w:rPr>
        <w:t>та витрат) 2021</w:t>
      </w:r>
      <w:r w:rsidR="00CB1B48">
        <w:rPr>
          <w:rFonts w:ascii="Arial" w:hAnsi="Arial"/>
        </w:rPr>
        <w:t xml:space="preserve"> </w:t>
      </w:r>
      <w:r>
        <w:rPr>
          <w:rFonts w:ascii="Arial" w:hAnsi="Arial"/>
        </w:rPr>
        <w:t>-2031</w:t>
      </w:r>
    </w:p>
    <w:p w:rsidR="00D563FD" w:rsidRDefault="001B2DFE" w:rsidP="00C14EEF">
      <w:pPr>
        <w:pStyle w:val="HydrophilStandard"/>
        <w:spacing w:after="0"/>
        <w:contextualSpacing w:val="0"/>
        <w:rPr>
          <w:noProof w:val="0"/>
        </w:rPr>
      </w:pPr>
      <w:r w:rsidRPr="001B2DFE">
        <w:rPr>
          <w:lang w:eastAsia="uk-UA"/>
        </w:rPr>
        <w:drawing>
          <wp:inline distT="0" distB="0" distL="0" distR="0" wp14:anchorId="6A9D1C0D" wp14:editId="284A10B1">
            <wp:extent cx="9251315" cy="1122469"/>
            <wp:effectExtent l="0" t="0" r="0" b="1905"/>
            <wp:docPr id="492" name="Рисунок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9251315" cy="1122469"/>
                    </a:xfrm>
                    <a:prstGeom prst="rect">
                      <a:avLst/>
                    </a:prstGeom>
                    <a:noFill/>
                    <a:ln>
                      <a:noFill/>
                    </a:ln>
                  </pic:spPr>
                </pic:pic>
              </a:graphicData>
            </a:graphic>
          </wp:inline>
        </w:drawing>
      </w:r>
    </w:p>
    <w:p w:rsidR="00D563FD" w:rsidRDefault="00D563FD" w:rsidP="00C14EEF">
      <w:pPr>
        <w:pStyle w:val="HydrophilStandard"/>
        <w:spacing w:after="0"/>
        <w:contextualSpacing w:val="0"/>
        <w:rPr>
          <w:noProof w:val="0"/>
        </w:rPr>
      </w:pPr>
    </w:p>
    <w:p w:rsidR="00D563FD" w:rsidRDefault="00D563FD" w:rsidP="00C14EEF">
      <w:pPr>
        <w:rPr>
          <w:rFonts w:ascii="Arial" w:hAnsi="Arial" w:cs="Arial"/>
        </w:rPr>
      </w:pPr>
      <w:r>
        <w:rPr>
          <w:rFonts w:ascii="Arial" w:hAnsi="Arial"/>
        </w:rPr>
        <w:t xml:space="preserve">Додаток 6: Розрахунок рентабельності інвестицій (FNPV, FRR, Співвідношення </w:t>
      </w:r>
      <w:r w:rsidR="00CB1B48">
        <w:rPr>
          <w:rFonts w:ascii="Arial" w:hAnsi="Arial"/>
        </w:rPr>
        <w:t xml:space="preserve">вигід </w:t>
      </w:r>
      <w:r>
        <w:rPr>
          <w:rFonts w:ascii="Arial" w:hAnsi="Arial"/>
        </w:rPr>
        <w:t>та витрат) 2032</w:t>
      </w:r>
      <w:r w:rsidR="00CB1B48">
        <w:rPr>
          <w:rFonts w:ascii="Arial" w:hAnsi="Arial"/>
        </w:rPr>
        <w:t xml:space="preserve"> </w:t>
      </w:r>
      <w:r>
        <w:rPr>
          <w:rFonts w:ascii="Arial" w:hAnsi="Arial"/>
        </w:rPr>
        <w:t>-2043</w:t>
      </w:r>
    </w:p>
    <w:p w:rsidR="00D563FD" w:rsidRDefault="001B2DFE" w:rsidP="00C14EEF">
      <w:pPr>
        <w:pStyle w:val="HydrophilStandard"/>
        <w:spacing w:after="0"/>
        <w:contextualSpacing w:val="0"/>
        <w:rPr>
          <w:noProof w:val="0"/>
        </w:rPr>
      </w:pPr>
      <w:r w:rsidRPr="001B2DFE">
        <w:rPr>
          <w:lang w:eastAsia="uk-UA"/>
        </w:rPr>
        <w:drawing>
          <wp:inline distT="0" distB="0" distL="0" distR="0" wp14:anchorId="3C6F1458" wp14:editId="0C6C36BC">
            <wp:extent cx="9251315" cy="1072115"/>
            <wp:effectExtent l="0" t="0" r="6985" b="0"/>
            <wp:docPr id="493" name="Рисунок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9251315" cy="1072115"/>
                    </a:xfrm>
                    <a:prstGeom prst="rect">
                      <a:avLst/>
                    </a:prstGeom>
                    <a:noFill/>
                    <a:ln>
                      <a:noFill/>
                    </a:ln>
                  </pic:spPr>
                </pic:pic>
              </a:graphicData>
            </a:graphic>
          </wp:inline>
        </w:drawing>
      </w:r>
    </w:p>
    <w:p w:rsidR="00D563FD" w:rsidRDefault="00D563FD" w:rsidP="00C14EEF">
      <w:pPr>
        <w:pStyle w:val="HydrophilStandard"/>
        <w:spacing w:after="0"/>
        <w:contextualSpacing w:val="0"/>
        <w:rPr>
          <w:noProof w:val="0"/>
        </w:rPr>
      </w:pPr>
    </w:p>
    <w:p w:rsidR="00D563FD" w:rsidRDefault="00D563FD" w:rsidP="00C14EEF">
      <w:pPr>
        <w:rPr>
          <w:rFonts w:ascii="Arial" w:hAnsi="Arial" w:cs="Arial"/>
        </w:rPr>
      </w:pPr>
      <w:r>
        <w:rPr>
          <w:rFonts w:ascii="Arial" w:hAnsi="Arial"/>
        </w:rPr>
        <w:t xml:space="preserve">Додаток 6: Розрахунок рентабельності інвестицій (FNPV, FRR, Співвідношення </w:t>
      </w:r>
      <w:r w:rsidR="00CB1B48">
        <w:rPr>
          <w:rFonts w:ascii="Arial" w:hAnsi="Arial"/>
        </w:rPr>
        <w:t xml:space="preserve">вигід </w:t>
      </w:r>
      <w:r>
        <w:rPr>
          <w:rFonts w:ascii="Arial" w:hAnsi="Arial"/>
        </w:rPr>
        <w:t>та витрат) 2044</w:t>
      </w:r>
      <w:r w:rsidR="00CB1B48">
        <w:rPr>
          <w:rFonts w:ascii="Arial" w:hAnsi="Arial"/>
        </w:rPr>
        <w:t xml:space="preserve"> </w:t>
      </w:r>
      <w:r>
        <w:rPr>
          <w:rFonts w:ascii="Arial" w:hAnsi="Arial"/>
        </w:rPr>
        <w:t>-2054</w:t>
      </w:r>
    </w:p>
    <w:p w:rsidR="00D563FD" w:rsidRPr="00D563FD" w:rsidRDefault="001B2DFE" w:rsidP="00C14EEF">
      <w:pPr>
        <w:pStyle w:val="HydrophilStandard"/>
        <w:spacing w:after="0"/>
        <w:contextualSpacing w:val="0"/>
        <w:rPr>
          <w:noProof w:val="0"/>
        </w:rPr>
      </w:pPr>
      <w:r w:rsidRPr="001B2DFE">
        <w:rPr>
          <w:lang w:eastAsia="uk-UA"/>
        </w:rPr>
        <w:drawing>
          <wp:inline distT="0" distB="0" distL="0" distR="0" wp14:anchorId="2E7C77B4" wp14:editId="78091113">
            <wp:extent cx="9251315" cy="1144112"/>
            <wp:effectExtent l="0" t="0" r="0" b="0"/>
            <wp:docPr id="491" name="Рисунок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9251315" cy="1144112"/>
                    </a:xfrm>
                    <a:prstGeom prst="rect">
                      <a:avLst/>
                    </a:prstGeom>
                    <a:noFill/>
                    <a:ln>
                      <a:noFill/>
                    </a:ln>
                  </pic:spPr>
                </pic:pic>
              </a:graphicData>
            </a:graphic>
          </wp:inline>
        </w:drawing>
      </w:r>
    </w:p>
    <w:p w:rsidR="00ED580E" w:rsidRDefault="00ED580E" w:rsidP="00C14EEF">
      <w:pPr>
        <w:pStyle w:val="HydrophilStandard"/>
        <w:spacing w:after="0"/>
        <w:contextualSpacing w:val="0"/>
        <w:rPr>
          <w:noProof w:val="0"/>
        </w:rPr>
      </w:pPr>
    </w:p>
    <w:p w:rsidR="003C0C20" w:rsidRDefault="003C0C20" w:rsidP="00C14EEF">
      <w:pPr>
        <w:jc w:val="left"/>
        <w:rPr>
          <w:rFonts w:asciiTheme="minorHAnsi" w:hAnsiTheme="minorHAnsi"/>
        </w:rPr>
      </w:pPr>
      <w:r>
        <w:br w:type="page"/>
      </w:r>
    </w:p>
    <w:p w:rsidR="003C0C20" w:rsidRPr="003B3601" w:rsidRDefault="003C0C20" w:rsidP="00C14EEF">
      <w:pPr>
        <w:pStyle w:val="1"/>
        <w:numPr>
          <w:ilvl w:val="0"/>
          <w:numId w:val="0"/>
        </w:numPr>
        <w:spacing w:before="0" w:after="0"/>
        <w:ind w:left="432" w:hanging="432"/>
        <w:contextualSpacing w:val="0"/>
      </w:pPr>
      <w:bookmarkStart w:id="219" w:name="_Toc27163815"/>
      <w:bookmarkStart w:id="220" w:name="_Toc48392572"/>
      <w:r>
        <w:t>Додаток 7: Фінансова стійкість</w:t>
      </w:r>
      <w:bookmarkEnd w:id="219"/>
      <w:bookmarkEnd w:id="220"/>
    </w:p>
    <w:p w:rsidR="003C0C20" w:rsidRDefault="003C0C20" w:rsidP="00C14EEF">
      <w:pPr>
        <w:pStyle w:val="HydrophilStandard"/>
        <w:spacing w:after="0"/>
        <w:contextualSpacing w:val="0"/>
        <w:rPr>
          <w:noProof w:val="0"/>
        </w:rPr>
      </w:pPr>
      <w:r>
        <w:t>Додаток 5: Фінансова стійкість (2021-2032)</w:t>
      </w:r>
    </w:p>
    <w:p w:rsidR="003C0C20" w:rsidRDefault="00893294" w:rsidP="00C14EEF">
      <w:pPr>
        <w:pStyle w:val="HydrophilStandard"/>
        <w:spacing w:after="0"/>
        <w:contextualSpacing w:val="0"/>
        <w:rPr>
          <w:noProof w:val="0"/>
        </w:rPr>
      </w:pPr>
      <w:r w:rsidRPr="00893294">
        <w:rPr>
          <w:lang w:eastAsia="uk-UA"/>
        </w:rPr>
        <w:drawing>
          <wp:inline distT="0" distB="0" distL="0" distR="0" wp14:anchorId="0EE0FA32" wp14:editId="67EB000B">
            <wp:extent cx="9251315" cy="2266965"/>
            <wp:effectExtent l="0" t="0" r="6985" b="0"/>
            <wp:docPr id="494" name="Рисунок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9251315" cy="2266965"/>
                    </a:xfrm>
                    <a:prstGeom prst="rect">
                      <a:avLst/>
                    </a:prstGeom>
                    <a:noFill/>
                    <a:ln>
                      <a:noFill/>
                    </a:ln>
                  </pic:spPr>
                </pic:pic>
              </a:graphicData>
            </a:graphic>
          </wp:inline>
        </w:drawing>
      </w:r>
    </w:p>
    <w:p w:rsidR="003C0C20" w:rsidRDefault="003C0C20" w:rsidP="00C14EEF">
      <w:pPr>
        <w:pStyle w:val="HydrophilStandard"/>
        <w:spacing w:after="0"/>
        <w:contextualSpacing w:val="0"/>
        <w:rPr>
          <w:noProof w:val="0"/>
        </w:rPr>
      </w:pPr>
    </w:p>
    <w:p w:rsidR="003C0C20" w:rsidRDefault="003C0C20" w:rsidP="00C14EEF">
      <w:pPr>
        <w:pStyle w:val="HydrophilStandard"/>
        <w:spacing w:after="0"/>
        <w:contextualSpacing w:val="0"/>
        <w:rPr>
          <w:noProof w:val="0"/>
        </w:rPr>
      </w:pPr>
      <w:r>
        <w:t>Додаток 5: Фінансова стійкість (2033-2043)</w:t>
      </w:r>
    </w:p>
    <w:p w:rsidR="003C0C20" w:rsidRDefault="00893294" w:rsidP="00C14EEF">
      <w:pPr>
        <w:pStyle w:val="HydrophilStandard"/>
        <w:spacing w:after="0"/>
        <w:contextualSpacing w:val="0"/>
        <w:rPr>
          <w:noProof w:val="0"/>
        </w:rPr>
      </w:pPr>
      <w:r w:rsidRPr="00893294">
        <w:rPr>
          <w:lang w:eastAsia="uk-UA"/>
        </w:rPr>
        <w:drawing>
          <wp:inline distT="0" distB="0" distL="0" distR="0" wp14:anchorId="3D6D8275" wp14:editId="2D32A1E4">
            <wp:extent cx="9251315" cy="2394132"/>
            <wp:effectExtent l="0" t="0" r="6985" b="6350"/>
            <wp:docPr id="495" name="Рисунок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9251315" cy="2394132"/>
                    </a:xfrm>
                    <a:prstGeom prst="rect">
                      <a:avLst/>
                    </a:prstGeom>
                    <a:noFill/>
                    <a:ln>
                      <a:noFill/>
                    </a:ln>
                  </pic:spPr>
                </pic:pic>
              </a:graphicData>
            </a:graphic>
          </wp:inline>
        </w:drawing>
      </w:r>
    </w:p>
    <w:p w:rsidR="0094555B" w:rsidRDefault="0094555B" w:rsidP="00C14EEF">
      <w:pPr>
        <w:pStyle w:val="HydrophilStandard"/>
        <w:spacing w:after="0"/>
        <w:contextualSpacing w:val="0"/>
        <w:rPr>
          <w:noProof w:val="0"/>
        </w:rPr>
      </w:pPr>
    </w:p>
    <w:p w:rsidR="00893294" w:rsidRDefault="00893294" w:rsidP="00C14EEF">
      <w:pPr>
        <w:pStyle w:val="HydrophilStandard"/>
        <w:spacing w:after="0"/>
        <w:contextualSpacing w:val="0"/>
        <w:rPr>
          <w:noProof w:val="0"/>
        </w:rPr>
      </w:pPr>
    </w:p>
    <w:p w:rsidR="004603CA" w:rsidRPr="0094555B" w:rsidRDefault="004603CA" w:rsidP="00C14EEF">
      <w:pPr>
        <w:pStyle w:val="HydrophilStandard"/>
        <w:spacing w:after="0"/>
        <w:contextualSpacing w:val="0"/>
        <w:rPr>
          <w:noProof w:val="0"/>
        </w:rPr>
      </w:pPr>
    </w:p>
    <w:p w:rsidR="00497A25" w:rsidRDefault="00497A25">
      <w:pPr>
        <w:jc w:val="left"/>
        <w:rPr>
          <w:rFonts w:asciiTheme="minorHAnsi" w:hAnsiTheme="minorHAnsi"/>
          <w:noProof/>
        </w:rPr>
      </w:pPr>
      <w:r>
        <w:br w:type="page"/>
      </w:r>
    </w:p>
    <w:p w:rsidR="003C0C20" w:rsidRDefault="003C0C20" w:rsidP="00C14EEF">
      <w:pPr>
        <w:pStyle w:val="HydrophilStandard"/>
        <w:spacing w:after="0"/>
        <w:contextualSpacing w:val="0"/>
        <w:rPr>
          <w:noProof w:val="0"/>
        </w:rPr>
      </w:pPr>
      <w:r>
        <w:t>Додаток 5: Фінансова стійкість (2044-2054)</w:t>
      </w:r>
    </w:p>
    <w:p w:rsidR="003C0C20" w:rsidRDefault="00893294" w:rsidP="00C14EEF">
      <w:pPr>
        <w:pStyle w:val="HydrophilStandard"/>
        <w:spacing w:after="0"/>
        <w:contextualSpacing w:val="0"/>
        <w:rPr>
          <w:noProof w:val="0"/>
        </w:rPr>
      </w:pPr>
      <w:r w:rsidRPr="00893294">
        <w:rPr>
          <w:lang w:eastAsia="uk-UA"/>
        </w:rPr>
        <w:drawing>
          <wp:inline distT="0" distB="0" distL="0" distR="0" wp14:anchorId="0A796413" wp14:editId="6E00E1E0">
            <wp:extent cx="9251315" cy="2447213"/>
            <wp:effectExtent l="0" t="0" r="6985" b="0"/>
            <wp:docPr id="496" name="Рисунок 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9251315" cy="2447213"/>
                    </a:xfrm>
                    <a:prstGeom prst="rect">
                      <a:avLst/>
                    </a:prstGeom>
                    <a:noFill/>
                    <a:ln>
                      <a:noFill/>
                    </a:ln>
                  </pic:spPr>
                </pic:pic>
              </a:graphicData>
            </a:graphic>
          </wp:inline>
        </w:drawing>
      </w:r>
    </w:p>
    <w:p w:rsidR="003C0C20" w:rsidRDefault="003C0C20" w:rsidP="00C14EEF">
      <w:pPr>
        <w:pStyle w:val="HydrophilStandard"/>
        <w:spacing w:after="0"/>
        <w:contextualSpacing w:val="0"/>
        <w:rPr>
          <w:noProof w:val="0"/>
        </w:rPr>
      </w:pPr>
    </w:p>
    <w:p w:rsidR="00C27F6A" w:rsidRPr="00C27F6A" w:rsidRDefault="00C27F6A" w:rsidP="00C14EEF">
      <w:pPr>
        <w:jc w:val="left"/>
      </w:pPr>
    </w:p>
    <w:p w:rsidR="00C27F6A" w:rsidRDefault="00C27F6A" w:rsidP="00C14EEF">
      <w:pPr>
        <w:pStyle w:val="1"/>
        <w:numPr>
          <w:ilvl w:val="0"/>
          <w:numId w:val="0"/>
        </w:numPr>
        <w:spacing w:before="0" w:after="0"/>
        <w:ind w:left="432" w:hanging="432"/>
        <w:contextualSpacing w:val="0"/>
        <w:sectPr w:rsidR="00C27F6A" w:rsidSect="00CB446A">
          <w:pgSz w:w="16838" w:h="11906" w:orient="landscape" w:code="9"/>
          <w:pgMar w:top="1418" w:right="1418" w:bottom="851" w:left="851" w:header="567" w:footer="454" w:gutter="0"/>
          <w:cols w:space="720"/>
          <w:docGrid w:linePitch="299"/>
        </w:sectPr>
      </w:pPr>
      <w:bookmarkStart w:id="221" w:name="_Toc27163816"/>
    </w:p>
    <w:p w:rsidR="00C27F6A" w:rsidRPr="003B3601" w:rsidRDefault="00C27F6A" w:rsidP="00C14EEF">
      <w:pPr>
        <w:pStyle w:val="1"/>
        <w:numPr>
          <w:ilvl w:val="0"/>
          <w:numId w:val="0"/>
        </w:numPr>
        <w:spacing w:before="0" w:after="0"/>
        <w:ind w:left="432" w:hanging="432"/>
        <w:contextualSpacing w:val="0"/>
      </w:pPr>
      <w:bookmarkStart w:id="222" w:name="_Toc48392573"/>
      <w:r>
        <w:t>Додаток 8: Розрахунок повернення позики ЄІБ</w:t>
      </w:r>
      <w:bookmarkEnd w:id="221"/>
      <w:bookmarkEnd w:id="222"/>
    </w:p>
    <w:p w:rsidR="00C27F6A" w:rsidRDefault="00C27F6A" w:rsidP="00C14EEF">
      <w:pPr>
        <w:pStyle w:val="HydrophilStandard"/>
        <w:spacing w:after="0"/>
        <w:contextualSpacing w:val="0"/>
        <w:rPr>
          <w:noProof w:val="0"/>
        </w:rPr>
      </w:pPr>
      <w:r>
        <w:t>ДОДАТОК 8: Перша виплата</w:t>
      </w:r>
    </w:p>
    <w:p w:rsidR="00C27F6A" w:rsidRDefault="00AA33A2" w:rsidP="00C14EEF">
      <w:pPr>
        <w:pStyle w:val="HydrophilStandard"/>
        <w:spacing w:after="0"/>
        <w:contextualSpacing w:val="0"/>
        <w:rPr>
          <w:noProof w:val="0"/>
        </w:rPr>
      </w:pPr>
      <w:r w:rsidRPr="00AA33A2">
        <w:rPr>
          <w:lang w:eastAsia="uk-UA"/>
        </w:rPr>
        <w:drawing>
          <wp:inline distT="0" distB="0" distL="0" distR="0" wp14:anchorId="32E63853" wp14:editId="450B9BFF">
            <wp:extent cx="6119495" cy="6153119"/>
            <wp:effectExtent l="0" t="0" r="0" b="635"/>
            <wp:docPr id="498" name="Рисунок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119495" cy="6153119"/>
                    </a:xfrm>
                    <a:prstGeom prst="rect">
                      <a:avLst/>
                    </a:prstGeom>
                    <a:noFill/>
                    <a:ln>
                      <a:noFill/>
                    </a:ln>
                  </pic:spPr>
                </pic:pic>
              </a:graphicData>
            </a:graphic>
          </wp:inline>
        </w:drawing>
      </w:r>
    </w:p>
    <w:p w:rsidR="003C0C20" w:rsidRDefault="003C0C20" w:rsidP="00C14EEF">
      <w:pPr>
        <w:pStyle w:val="HydrophilStandard"/>
        <w:spacing w:after="0"/>
        <w:contextualSpacing w:val="0"/>
        <w:rPr>
          <w:noProof w:val="0"/>
        </w:rPr>
      </w:pPr>
    </w:p>
    <w:p w:rsidR="00AA33A2" w:rsidRDefault="00E23BD8" w:rsidP="00C14EEF">
      <w:pPr>
        <w:pStyle w:val="HydrophilStandard"/>
        <w:spacing w:after="0"/>
        <w:contextualSpacing w:val="0"/>
        <w:rPr>
          <w:noProof w:val="0"/>
        </w:rPr>
      </w:pPr>
      <w:r w:rsidRPr="00E23BD8">
        <w:rPr>
          <w:lang w:eastAsia="uk-UA"/>
        </w:rPr>
        <w:drawing>
          <wp:inline distT="0" distB="0" distL="0" distR="0" wp14:anchorId="696C694A" wp14:editId="7F102C0C">
            <wp:extent cx="4549140" cy="609600"/>
            <wp:effectExtent l="0" t="0" r="3810" b="0"/>
            <wp:docPr id="509" name="Рисунок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549140" cy="609600"/>
                    </a:xfrm>
                    <a:prstGeom prst="rect">
                      <a:avLst/>
                    </a:prstGeom>
                    <a:noFill/>
                    <a:ln>
                      <a:noFill/>
                    </a:ln>
                  </pic:spPr>
                </pic:pic>
              </a:graphicData>
            </a:graphic>
          </wp:inline>
        </w:drawing>
      </w:r>
    </w:p>
    <w:p w:rsidR="00FD3C4E" w:rsidRDefault="00FD3C4E" w:rsidP="00C14EEF">
      <w:pPr>
        <w:jc w:val="left"/>
        <w:rPr>
          <w:rFonts w:asciiTheme="minorHAnsi" w:hAnsiTheme="minorHAnsi"/>
        </w:rPr>
      </w:pPr>
      <w:r>
        <w:br w:type="page"/>
      </w:r>
    </w:p>
    <w:p w:rsidR="00FD3C4E" w:rsidRDefault="00FD3C4E" w:rsidP="00C14EEF">
      <w:pPr>
        <w:pStyle w:val="HydrophilStandard"/>
        <w:spacing w:after="0"/>
        <w:contextualSpacing w:val="0"/>
        <w:rPr>
          <w:noProof w:val="0"/>
        </w:rPr>
      </w:pPr>
      <w:r>
        <w:t>ДОДАТОК 8: Друга виплата</w:t>
      </w:r>
    </w:p>
    <w:p w:rsidR="00FD3C4E" w:rsidRDefault="00AA33A2" w:rsidP="00C14EEF">
      <w:pPr>
        <w:pStyle w:val="HydrophilStandard"/>
        <w:spacing w:after="0"/>
        <w:contextualSpacing w:val="0"/>
        <w:rPr>
          <w:noProof w:val="0"/>
        </w:rPr>
      </w:pPr>
      <w:r w:rsidRPr="00AA33A2">
        <w:rPr>
          <w:lang w:eastAsia="uk-UA"/>
        </w:rPr>
        <w:drawing>
          <wp:inline distT="0" distB="0" distL="0" distR="0" wp14:anchorId="2A76C557" wp14:editId="297D738C">
            <wp:extent cx="6119495" cy="6348456"/>
            <wp:effectExtent l="0" t="0" r="0" b="0"/>
            <wp:docPr id="499" name="Рисунок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119495" cy="6348456"/>
                    </a:xfrm>
                    <a:prstGeom prst="rect">
                      <a:avLst/>
                    </a:prstGeom>
                    <a:noFill/>
                    <a:ln>
                      <a:noFill/>
                    </a:ln>
                  </pic:spPr>
                </pic:pic>
              </a:graphicData>
            </a:graphic>
          </wp:inline>
        </w:drawing>
      </w:r>
    </w:p>
    <w:p w:rsidR="00FD3C4E" w:rsidRDefault="00FD3C4E" w:rsidP="00C14EEF">
      <w:pPr>
        <w:pStyle w:val="HydrophilStandard"/>
        <w:spacing w:after="0"/>
        <w:contextualSpacing w:val="0"/>
        <w:rPr>
          <w:noProof w:val="0"/>
        </w:rPr>
      </w:pPr>
    </w:p>
    <w:p w:rsidR="00FD3C4E" w:rsidRDefault="00FD3C4E" w:rsidP="00C14EEF">
      <w:pPr>
        <w:jc w:val="left"/>
        <w:rPr>
          <w:rFonts w:asciiTheme="minorHAnsi" w:hAnsiTheme="minorHAnsi"/>
        </w:rPr>
      </w:pPr>
      <w:r>
        <w:br w:type="page"/>
      </w:r>
    </w:p>
    <w:p w:rsidR="00FD3C4E" w:rsidRDefault="00FD3C4E" w:rsidP="00C14EEF">
      <w:pPr>
        <w:pStyle w:val="HydrophilStandard"/>
        <w:spacing w:after="0"/>
        <w:contextualSpacing w:val="0"/>
        <w:rPr>
          <w:noProof w:val="0"/>
        </w:rPr>
      </w:pPr>
      <w:r>
        <w:t>ДОДАТОК 8: Третя виплата</w:t>
      </w:r>
    </w:p>
    <w:p w:rsidR="00FD3C4E" w:rsidRDefault="00AA33A2" w:rsidP="00C14EEF">
      <w:pPr>
        <w:pStyle w:val="HydrophilStandard"/>
        <w:spacing w:after="0"/>
        <w:contextualSpacing w:val="0"/>
        <w:rPr>
          <w:noProof w:val="0"/>
        </w:rPr>
      </w:pPr>
      <w:r w:rsidRPr="00AA33A2">
        <w:rPr>
          <w:lang w:eastAsia="uk-UA"/>
        </w:rPr>
        <w:drawing>
          <wp:inline distT="0" distB="0" distL="0" distR="0" wp14:anchorId="4CC68CA3" wp14:editId="780E2DB1">
            <wp:extent cx="6119495" cy="6193958"/>
            <wp:effectExtent l="0" t="0" r="0" b="0"/>
            <wp:docPr id="501" name="Рисунок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119495" cy="6193958"/>
                    </a:xfrm>
                    <a:prstGeom prst="rect">
                      <a:avLst/>
                    </a:prstGeom>
                    <a:noFill/>
                    <a:ln>
                      <a:noFill/>
                    </a:ln>
                  </pic:spPr>
                </pic:pic>
              </a:graphicData>
            </a:graphic>
          </wp:inline>
        </w:drawing>
      </w:r>
    </w:p>
    <w:p w:rsidR="00FD3C4E" w:rsidRDefault="00FD3C4E" w:rsidP="00C14EEF">
      <w:pPr>
        <w:pStyle w:val="HydrophilStandard"/>
        <w:spacing w:after="0"/>
        <w:contextualSpacing w:val="0"/>
        <w:rPr>
          <w:noProof w:val="0"/>
        </w:rPr>
      </w:pPr>
    </w:p>
    <w:p w:rsidR="00FD3C4E" w:rsidRDefault="00FD3C4E" w:rsidP="00C14EEF">
      <w:pPr>
        <w:jc w:val="left"/>
        <w:rPr>
          <w:rFonts w:asciiTheme="minorHAnsi" w:hAnsiTheme="minorHAnsi"/>
        </w:rPr>
      </w:pPr>
      <w:r>
        <w:br w:type="page"/>
      </w:r>
    </w:p>
    <w:p w:rsidR="00FD3C4E" w:rsidRDefault="00FD3C4E" w:rsidP="00C14EEF">
      <w:pPr>
        <w:pStyle w:val="HydrophilStandard"/>
        <w:spacing w:after="0"/>
        <w:contextualSpacing w:val="0"/>
        <w:rPr>
          <w:noProof w:val="0"/>
        </w:rPr>
      </w:pPr>
      <w:r>
        <w:t>ДОДАТОК 8: Четверта виплата</w:t>
      </w:r>
    </w:p>
    <w:p w:rsidR="00FD3C4E" w:rsidRDefault="00AA33A2" w:rsidP="00C14EEF">
      <w:pPr>
        <w:pStyle w:val="HydrophilStandard"/>
        <w:spacing w:after="0"/>
        <w:contextualSpacing w:val="0"/>
        <w:rPr>
          <w:noProof w:val="0"/>
        </w:rPr>
      </w:pPr>
      <w:r w:rsidRPr="00AA33A2">
        <w:rPr>
          <w:lang w:eastAsia="uk-UA"/>
        </w:rPr>
        <w:drawing>
          <wp:inline distT="0" distB="0" distL="0" distR="0" wp14:anchorId="52FBCF65" wp14:editId="21502558">
            <wp:extent cx="6119495" cy="6146394"/>
            <wp:effectExtent l="0" t="0" r="0" b="6985"/>
            <wp:docPr id="502" name="Рисунок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119495" cy="6146394"/>
                    </a:xfrm>
                    <a:prstGeom prst="rect">
                      <a:avLst/>
                    </a:prstGeom>
                    <a:noFill/>
                    <a:ln>
                      <a:noFill/>
                    </a:ln>
                  </pic:spPr>
                </pic:pic>
              </a:graphicData>
            </a:graphic>
          </wp:inline>
        </w:drawing>
      </w:r>
    </w:p>
    <w:p w:rsidR="00FD3C4E" w:rsidRDefault="00FD3C4E" w:rsidP="00C14EEF">
      <w:pPr>
        <w:pStyle w:val="HydrophilStandard"/>
        <w:spacing w:after="0"/>
        <w:contextualSpacing w:val="0"/>
        <w:rPr>
          <w:noProof w:val="0"/>
        </w:rPr>
      </w:pPr>
    </w:p>
    <w:p w:rsidR="00AD0A3C" w:rsidRDefault="00AD0A3C" w:rsidP="00C14EEF">
      <w:pPr>
        <w:jc w:val="left"/>
        <w:rPr>
          <w:rFonts w:asciiTheme="minorHAnsi" w:hAnsiTheme="minorHAnsi"/>
        </w:rPr>
      </w:pPr>
      <w:r>
        <w:br w:type="page"/>
      </w:r>
    </w:p>
    <w:p w:rsidR="00AD0A3C" w:rsidRDefault="00AD0A3C" w:rsidP="00C14EEF">
      <w:pPr>
        <w:pStyle w:val="HydrophilStandard"/>
        <w:spacing w:after="0"/>
        <w:contextualSpacing w:val="0"/>
        <w:rPr>
          <w:noProof w:val="0"/>
        </w:rPr>
      </w:pPr>
      <w:r>
        <w:t>ДОДАТОК 8: П'ята виплата</w:t>
      </w:r>
    </w:p>
    <w:p w:rsidR="00AD0A3C" w:rsidRDefault="00AA33A2" w:rsidP="00C14EEF">
      <w:pPr>
        <w:pStyle w:val="HydrophilStandard"/>
        <w:spacing w:after="0"/>
        <w:contextualSpacing w:val="0"/>
        <w:rPr>
          <w:noProof w:val="0"/>
        </w:rPr>
      </w:pPr>
      <w:r w:rsidRPr="00AA33A2">
        <w:rPr>
          <w:lang w:eastAsia="uk-UA"/>
        </w:rPr>
        <w:drawing>
          <wp:inline distT="0" distB="0" distL="0" distR="0" wp14:anchorId="1AB557AB" wp14:editId="39F10587">
            <wp:extent cx="6119495" cy="6341517"/>
            <wp:effectExtent l="0" t="0" r="0" b="2540"/>
            <wp:docPr id="503" name="Рисунок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119495" cy="6341517"/>
                    </a:xfrm>
                    <a:prstGeom prst="rect">
                      <a:avLst/>
                    </a:prstGeom>
                    <a:noFill/>
                    <a:ln>
                      <a:noFill/>
                    </a:ln>
                  </pic:spPr>
                </pic:pic>
              </a:graphicData>
            </a:graphic>
          </wp:inline>
        </w:drawing>
      </w:r>
    </w:p>
    <w:p w:rsidR="00AD0A3C" w:rsidRPr="00AD0A3C" w:rsidRDefault="00AD0A3C" w:rsidP="00C14EEF">
      <w:pPr>
        <w:pStyle w:val="HydrophilStandard"/>
        <w:spacing w:after="0"/>
        <w:contextualSpacing w:val="0"/>
        <w:rPr>
          <w:noProof w:val="0"/>
        </w:rPr>
      </w:pPr>
    </w:p>
    <w:p w:rsidR="00FD3C4E" w:rsidRDefault="00FD3C4E" w:rsidP="00C14EEF">
      <w:pPr>
        <w:pStyle w:val="HydrophilStandard"/>
        <w:spacing w:after="0"/>
        <w:contextualSpacing w:val="0"/>
        <w:rPr>
          <w:noProof w:val="0"/>
        </w:rPr>
      </w:pPr>
    </w:p>
    <w:p w:rsidR="00C27F6A" w:rsidRDefault="00C27F6A" w:rsidP="00C14EEF">
      <w:pPr>
        <w:pStyle w:val="HydrophilStandard"/>
        <w:spacing w:after="0"/>
        <w:contextualSpacing w:val="0"/>
        <w:rPr>
          <w:noProof w:val="0"/>
        </w:rPr>
        <w:sectPr w:rsidR="00C27F6A" w:rsidSect="00C27F6A">
          <w:pgSz w:w="11906" w:h="16838" w:code="9"/>
          <w:pgMar w:top="851" w:right="1418" w:bottom="1418" w:left="851" w:header="567" w:footer="454" w:gutter="0"/>
          <w:cols w:space="720"/>
          <w:docGrid w:linePitch="299"/>
        </w:sectPr>
      </w:pPr>
    </w:p>
    <w:p w:rsidR="00FD3C4E" w:rsidRPr="003B3601" w:rsidRDefault="00FD3C4E" w:rsidP="00C14EEF">
      <w:pPr>
        <w:pStyle w:val="1"/>
        <w:numPr>
          <w:ilvl w:val="0"/>
          <w:numId w:val="0"/>
        </w:numPr>
        <w:spacing w:before="0" w:after="0"/>
        <w:ind w:left="432" w:hanging="432"/>
        <w:contextualSpacing w:val="0"/>
      </w:pPr>
      <w:bookmarkStart w:id="223" w:name="_Toc27163817"/>
      <w:bookmarkStart w:id="224" w:name="_Toc48392574"/>
      <w:r>
        <w:t>Додаток 9: Коефіцієнт покриття платежів за позикою (DSCR)</w:t>
      </w:r>
      <w:bookmarkEnd w:id="223"/>
      <w:bookmarkEnd w:id="224"/>
    </w:p>
    <w:p w:rsidR="00FD3C4E" w:rsidRDefault="005A01F2" w:rsidP="00C14EEF">
      <w:pPr>
        <w:pStyle w:val="HydrophilStandard"/>
        <w:spacing w:after="0"/>
        <w:contextualSpacing w:val="0"/>
        <w:rPr>
          <w:noProof w:val="0"/>
        </w:rPr>
      </w:pPr>
      <w:r>
        <w:t>ДОДАТОК 9: DSCR (2026-2034)</w:t>
      </w:r>
    </w:p>
    <w:p w:rsidR="003C0C20" w:rsidRDefault="00AA33A2" w:rsidP="00C14EEF">
      <w:pPr>
        <w:pStyle w:val="HydrophilStandard"/>
        <w:spacing w:after="0"/>
        <w:contextualSpacing w:val="0"/>
        <w:rPr>
          <w:noProof w:val="0"/>
        </w:rPr>
      </w:pPr>
      <w:r w:rsidRPr="00AA33A2">
        <w:rPr>
          <w:lang w:eastAsia="uk-UA"/>
        </w:rPr>
        <w:drawing>
          <wp:inline distT="0" distB="0" distL="0" distR="0" wp14:anchorId="6E6DCDAD" wp14:editId="05786A8D">
            <wp:extent cx="9251315" cy="774142"/>
            <wp:effectExtent l="0" t="0" r="6985" b="6985"/>
            <wp:docPr id="504" name="Рисунок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9251315" cy="774142"/>
                    </a:xfrm>
                    <a:prstGeom prst="rect">
                      <a:avLst/>
                    </a:prstGeom>
                    <a:noFill/>
                    <a:ln>
                      <a:noFill/>
                    </a:ln>
                  </pic:spPr>
                </pic:pic>
              </a:graphicData>
            </a:graphic>
          </wp:inline>
        </w:drawing>
      </w:r>
    </w:p>
    <w:p w:rsidR="00FD3C4E" w:rsidRDefault="00FD3C4E" w:rsidP="00C14EEF">
      <w:pPr>
        <w:pStyle w:val="HydrophilStandard"/>
        <w:spacing w:after="0"/>
        <w:contextualSpacing w:val="0"/>
        <w:rPr>
          <w:noProof w:val="0"/>
        </w:rPr>
      </w:pPr>
    </w:p>
    <w:p w:rsidR="00FD3C4E" w:rsidRDefault="00FD3C4E" w:rsidP="00C14EEF">
      <w:pPr>
        <w:pStyle w:val="HydrophilStandard"/>
        <w:spacing w:after="0"/>
        <w:contextualSpacing w:val="0"/>
        <w:rPr>
          <w:noProof w:val="0"/>
        </w:rPr>
      </w:pPr>
      <w:r>
        <w:t>ДОДАТОК 9: DSCR (2035-2043)</w:t>
      </w:r>
    </w:p>
    <w:p w:rsidR="00FD3C4E" w:rsidRDefault="00637B33" w:rsidP="00C14EEF">
      <w:pPr>
        <w:pStyle w:val="HydrophilStandard"/>
        <w:spacing w:after="0"/>
        <w:contextualSpacing w:val="0"/>
        <w:rPr>
          <w:noProof w:val="0"/>
        </w:rPr>
      </w:pPr>
      <w:r w:rsidRPr="00637B33">
        <w:rPr>
          <w:lang w:eastAsia="uk-UA"/>
        </w:rPr>
        <w:drawing>
          <wp:inline distT="0" distB="0" distL="0" distR="0" wp14:anchorId="779C4AB5" wp14:editId="41EAF764">
            <wp:extent cx="9251315" cy="733077"/>
            <wp:effectExtent l="0" t="0" r="0" b="0"/>
            <wp:docPr id="505" name="Рисунок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251315" cy="733077"/>
                    </a:xfrm>
                    <a:prstGeom prst="rect">
                      <a:avLst/>
                    </a:prstGeom>
                    <a:noFill/>
                    <a:ln>
                      <a:noFill/>
                    </a:ln>
                  </pic:spPr>
                </pic:pic>
              </a:graphicData>
            </a:graphic>
          </wp:inline>
        </w:drawing>
      </w:r>
    </w:p>
    <w:p w:rsidR="00FD3C4E" w:rsidRDefault="00FD3C4E" w:rsidP="00C14EEF">
      <w:pPr>
        <w:pStyle w:val="HydrophilStandard"/>
        <w:spacing w:after="0"/>
        <w:contextualSpacing w:val="0"/>
        <w:rPr>
          <w:noProof w:val="0"/>
        </w:rPr>
      </w:pPr>
    </w:p>
    <w:p w:rsidR="00FD3C4E" w:rsidRDefault="00FD3C4E" w:rsidP="00C14EEF">
      <w:pPr>
        <w:pStyle w:val="HydrophilStandard"/>
        <w:spacing w:after="0"/>
        <w:contextualSpacing w:val="0"/>
        <w:rPr>
          <w:noProof w:val="0"/>
        </w:rPr>
      </w:pPr>
    </w:p>
    <w:p w:rsidR="00FD3C4E" w:rsidRDefault="00FD3C4E" w:rsidP="00C14EEF">
      <w:pPr>
        <w:pStyle w:val="HydrophilStandard"/>
        <w:spacing w:after="0"/>
        <w:contextualSpacing w:val="0"/>
        <w:rPr>
          <w:noProof w:val="0"/>
        </w:rPr>
      </w:pPr>
      <w:r>
        <w:t>ДОДАТОК 9: DSCR (2044-2054)</w:t>
      </w:r>
    </w:p>
    <w:p w:rsidR="00FD3C4E" w:rsidRDefault="00637B33" w:rsidP="00C14EEF">
      <w:pPr>
        <w:pStyle w:val="HydrophilStandard"/>
        <w:spacing w:after="0"/>
        <w:contextualSpacing w:val="0"/>
        <w:rPr>
          <w:noProof w:val="0"/>
        </w:rPr>
      </w:pPr>
      <w:r w:rsidRPr="00637B33">
        <w:rPr>
          <w:lang w:eastAsia="uk-UA"/>
        </w:rPr>
        <w:drawing>
          <wp:inline distT="0" distB="0" distL="0" distR="0" wp14:anchorId="6E21980F" wp14:editId="19D36466">
            <wp:extent cx="9251315" cy="699631"/>
            <wp:effectExtent l="0" t="0" r="0" b="5715"/>
            <wp:docPr id="508" name="Рисунок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9251315" cy="699631"/>
                    </a:xfrm>
                    <a:prstGeom prst="rect">
                      <a:avLst/>
                    </a:prstGeom>
                    <a:noFill/>
                    <a:ln>
                      <a:noFill/>
                    </a:ln>
                  </pic:spPr>
                </pic:pic>
              </a:graphicData>
            </a:graphic>
          </wp:inline>
        </w:drawing>
      </w:r>
    </w:p>
    <w:p w:rsidR="00FD3C4E" w:rsidRDefault="00FD3C4E" w:rsidP="00C14EEF">
      <w:pPr>
        <w:pStyle w:val="HydrophilStandard"/>
        <w:spacing w:after="0"/>
        <w:contextualSpacing w:val="0"/>
        <w:rPr>
          <w:noProof w:val="0"/>
        </w:rPr>
      </w:pPr>
    </w:p>
    <w:p w:rsidR="00FD3C4E" w:rsidRDefault="00FD3C4E" w:rsidP="00C14EEF">
      <w:pPr>
        <w:pStyle w:val="HydrophilStandard"/>
        <w:spacing w:after="0"/>
        <w:contextualSpacing w:val="0"/>
        <w:rPr>
          <w:noProof w:val="0"/>
        </w:rPr>
      </w:pPr>
    </w:p>
    <w:p w:rsidR="00FD3C4E" w:rsidRDefault="00FD3C4E" w:rsidP="00C14EEF">
      <w:pPr>
        <w:pStyle w:val="HydrophilStandard"/>
        <w:spacing w:after="0"/>
        <w:contextualSpacing w:val="0"/>
        <w:rPr>
          <w:noProof w:val="0"/>
        </w:rPr>
      </w:pPr>
    </w:p>
    <w:p w:rsidR="00ED580E" w:rsidRPr="00ED580E" w:rsidRDefault="00ED580E" w:rsidP="00C14EEF">
      <w:pPr>
        <w:pStyle w:val="HydrophilStandard"/>
        <w:spacing w:after="0"/>
        <w:contextualSpacing w:val="0"/>
        <w:rPr>
          <w:noProof w:val="0"/>
        </w:rPr>
        <w:sectPr w:rsidR="00ED580E" w:rsidRPr="00ED580E" w:rsidSect="00CB446A">
          <w:pgSz w:w="16838" w:h="11906" w:orient="landscape" w:code="9"/>
          <w:pgMar w:top="1418" w:right="1418" w:bottom="851" w:left="851" w:header="567" w:footer="454" w:gutter="0"/>
          <w:cols w:space="720"/>
          <w:docGrid w:linePitch="299"/>
        </w:sectPr>
      </w:pPr>
    </w:p>
    <w:bookmarkEnd w:id="67"/>
    <w:p w:rsidR="002E35F8" w:rsidRPr="0064329D" w:rsidRDefault="002E35F8" w:rsidP="00C14EEF">
      <w:pPr>
        <w:pStyle w:val="HydrophilStandard"/>
        <w:spacing w:after="0"/>
        <w:contextualSpacing w:val="0"/>
        <w:rPr>
          <w:noProof w:val="0"/>
          <w:lang w:val="en-GB"/>
        </w:rPr>
        <w:sectPr w:rsidR="002E35F8" w:rsidRPr="0064329D" w:rsidSect="00EB5D32">
          <w:headerReference w:type="default" r:id="rId73"/>
          <w:footerReference w:type="default" r:id="rId74"/>
          <w:headerReference w:type="first" r:id="rId75"/>
          <w:pgSz w:w="11906" w:h="16838" w:code="9"/>
          <w:pgMar w:top="1418" w:right="851" w:bottom="851" w:left="1418" w:header="567" w:footer="454" w:gutter="0"/>
          <w:cols w:space="720"/>
          <w:docGrid w:linePitch="299"/>
        </w:sectPr>
      </w:pPr>
    </w:p>
    <w:p w:rsidR="006C2303" w:rsidRPr="0064329D" w:rsidRDefault="006C2303" w:rsidP="00C14EEF"/>
    <w:sectPr w:rsidR="006C2303" w:rsidRPr="0064329D" w:rsidSect="00EB5D32">
      <w:headerReference w:type="default" r:id="rId76"/>
      <w:footerReference w:type="default" r:id="rId77"/>
      <w:pgSz w:w="11906" w:h="16838" w:code="9"/>
      <w:pgMar w:top="1418" w:right="851" w:bottom="851" w:left="1418" w:header="567" w:footer="45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18A2" w:rsidRDefault="000718A2" w:rsidP="00330886">
      <w:r>
        <w:separator/>
      </w:r>
    </w:p>
    <w:p w:rsidR="000718A2" w:rsidRDefault="000718A2"/>
  </w:endnote>
  <w:endnote w:type="continuationSeparator" w:id="0">
    <w:p w:rsidR="000718A2" w:rsidRDefault="000718A2" w:rsidP="00330886">
      <w:r>
        <w:continuationSeparator/>
      </w:r>
    </w:p>
    <w:p w:rsidR="000718A2" w:rsidRDefault="000718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Bold">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EC Square Sans Pro Light">
    <w:altName w:val="Arial"/>
    <w:panose1 w:val="00000000000000000000"/>
    <w:charset w:val="00"/>
    <w:family w:val="swiss"/>
    <w:notTrueType/>
    <w:pitch w:val="default"/>
    <w:sig w:usb0="00000003" w:usb1="00000000" w:usb2="00000000" w:usb3="00000000" w:csb0="00000001" w:csb1="00000000"/>
  </w:font>
  <w:font w:name="EC Square Sans Pro Medium">
    <w:altName w:val="MS Gothic"/>
    <w:panose1 w:val="00000000000000000000"/>
    <w:charset w:val="00"/>
    <w:family w:val="swiss"/>
    <w:notTrueType/>
    <w:pitch w:val="default"/>
    <w:sig w:usb0="00000000" w:usb1="08070000" w:usb2="00000010" w:usb3="00000000" w:csb0="00020001" w:csb1="00000000"/>
  </w:font>
  <w:font w:name="EC Square Sans Pro">
    <w:altName w:val="Arial"/>
    <w:panose1 w:val="00000000000000000000"/>
    <w:charset w:val="00"/>
    <w:family w:val="swiss"/>
    <w:notTrueType/>
    <w:pitch w:val="default"/>
    <w:sig w:usb0="00000003" w:usb1="00000000" w:usb2="00000000" w:usb3="00000000" w:csb0="00000001" w:csb1="00000000"/>
  </w:font>
  <w:font w:name="Sylfaen">
    <w:panose1 w:val="010A0502050306030303"/>
    <w:charset w:val="CC"/>
    <w:family w:val="roman"/>
    <w:pitch w:val="variable"/>
    <w:sig w:usb0="04000687" w:usb1="00000000" w:usb2="00000000" w:usb3="00000000" w:csb0="0000009F" w:csb1="00000000"/>
  </w:font>
  <w:font w:name="MS P????">
    <w:altName w:val="Arial Unicode MS"/>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6342" w:rsidRDefault="00586342" w:rsidP="000C56BB">
    <w:pPr>
      <w:pStyle w:val="af1"/>
      <w:pBdr>
        <w:top w:val="none" w:sz="0" w:space="0" w:color="auto"/>
      </w:pBdr>
    </w:pPr>
    <w:r>
      <w:rPr>
        <w:noProof/>
        <w:lang w:eastAsia="uk-UA"/>
      </w:rPr>
      <w:drawing>
        <wp:anchor distT="0" distB="0" distL="114300" distR="114300" simplePos="0" relativeHeight="251719680" behindDoc="1" locked="0" layoutInCell="1" allowOverlap="1" wp14:anchorId="2741AC9A" wp14:editId="1D8761D8">
          <wp:simplePos x="0" y="0"/>
          <wp:positionH relativeFrom="margin">
            <wp:posOffset>5624830</wp:posOffset>
          </wp:positionH>
          <wp:positionV relativeFrom="paragraph">
            <wp:posOffset>-509905</wp:posOffset>
          </wp:positionV>
          <wp:extent cx="400685" cy="215900"/>
          <wp:effectExtent l="0" t="0" r="0" b="0"/>
          <wp:wrapSquare wrapText="bothSides"/>
          <wp:docPr id="447" name="Imag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EZ_ENVIRONNEMENT.png"/>
                  <pic:cNvPicPr/>
                </pic:nvPicPr>
                <pic:blipFill rotWithShape="1">
                  <a:blip r:embed="rId1">
                    <a:extLst>
                      <a:ext uri="{28A0092B-C50C-407E-A947-70E740481C1C}">
                        <a14:useLocalDpi xmlns:a14="http://schemas.microsoft.com/office/drawing/2010/main" val="0"/>
                      </a:ext>
                    </a:extLst>
                  </a:blip>
                  <a:srcRect t="24725" b="21044"/>
                  <a:stretch/>
                </pic:blipFill>
                <pic:spPr bwMode="auto">
                  <a:xfrm>
                    <a:off x="0" y="0"/>
                    <a:ext cx="400685" cy="215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uk-UA"/>
      </w:rPr>
      <w:drawing>
        <wp:anchor distT="0" distB="0" distL="114300" distR="114300" simplePos="0" relativeHeight="251717632" behindDoc="1" locked="0" layoutInCell="1" allowOverlap="1" wp14:anchorId="6DC16366" wp14:editId="2F0F2848">
          <wp:simplePos x="0" y="0"/>
          <wp:positionH relativeFrom="margin">
            <wp:posOffset>4590415</wp:posOffset>
          </wp:positionH>
          <wp:positionV relativeFrom="paragraph">
            <wp:posOffset>-511810</wp:posOffset>
          </wp:positionV>
          <wp:extent cx="897890" cy="224155"/>
          <wp:effectExtent l="0" t="0" r="0" b="4445"/>
          <wp:wrapSquare wrapText="bothSides"/>
          <wp:docPr id="448" name="Imag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EZ_ENVIRONNEMENT.png"/>
                  <pic:cNvPicPr/>
                </pic:nvPicPr>
                <pic:blipFill>
                  <a:blip r:embed="rId2">
                    <a:extLst>
                      <a:ext uri="{28A0092B-C50C-407E-A947-70E740481C1C}">
                        <a14:useLocalDpi xmlns:a14="http://schemas.microsoft.com/office/drawing/2010/main" val="0"/>
                      </a:ext>
                    </a:extLst>
                  </a:blip>
                  <a:stretch>
                    <a:fillRect/>
                  </a:stretch>
                </pic:blipFill>
                <pic:spPr>
                  <a:xfrm>
                    <a:off x="0" y="0"/>
                    <a:ext cx="897890" cy="224155"/>
                  </a:xfrm>
                  <a:prstGeom prst="rect">
                    <a:avLst/>
                  </a:prstGeom>
                </pic:spPr>
              </pic:pic>
            </a:graphicData>
          </a:graphic>
          <wp14:sizeRelH relativeFrom="page">
            <wp14:pctWidth>0</wp14:pctWidth>
          </wp14:sizeRelH>
          <wp14:sizeRelV relativeFrom="page">
            <wp14:pctHeight>0</wp14:pctHeight>
          </wp14:sizeRelV>
        </wp:anchor>
      </w:drawing>
    </w:r>
    <w:r>
      <w:rPr>
        <w:noProof/>
        <w:lang w:eastAsia="uk-UA"/>
      </w:rPr>
      <w:drawing>
        <wp:anchor distT="0" distB="0" distL="114300" distR="114300" simplePos="0" relativeHeight="251715584" behindDoc="1" locked="0" layoutInCell="1" allowOverlap="1" wp14:anchorId="73891F1B" wp14:editId="6E7B3D8D">
          <wp:simplePos x="0" y="0"/>
          <wp:positionH relativeFrom="margin">
            <wp:posOffset>4046855</wp:posOffset>
          </wp:positionH>
          <wp:positionV relativeFrom="paragraph">
            <wp:posOffset>-1119505</wp:posOffset>
          </wp:positionV>
          <wp:extent cx="1979930" cy="493395"/>
          <wp:effectExtent l="0" t="0" r="1270" b="1905"/>
          <wp:wrapSquare wrapText="bothSides"/>
          <wp:docPr id="449" name="Imag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EZ_ENVIRONNEMENT.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979930" cy="493395"/>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6342" w:rsidRPr="00676414" w:rsidRDefault="00586342" w:rsidP="000C56BB">
    <w:pPr>
      <w:pStyle w:val="af1"/>
      <w:pBdr>
        <w:top w:val="none" w:sz="0" w:space="0" w:color="auto"/>
      </w:pBdr>
    </w:pPr>
    <w:r>
      <w:rPr>
        <w:noProof/>
        <w:lang w:eastAsia="uk-UA"/>
      </w:rPr>
      <w:drawing>
        <wp:anchor distT="0" distB="0" distL="114300" distR="114300" simplePos="0" relativeHeight="251721728" behindDoc="0" locked="0" layoutInCell="1" allowOverlap="1" wp14:anchorId="08F5360C" wp14:editId="42272C85">
          <wp:simplePos x="0" y="0"/>
          <wp:positionH relativeFrom="margin">
            <wp:align>center</wp:align>
          </wp:positionH>
          <wp:positionV relativeFrom="margin">
            <wp:align>center</wp:align>
          </wp:positionV>
          <wp:extent cx="1295400" cy="1295400"/>
          <wp:effectExtent l="0" t="0" r="0" b="0"/>
          <wp:wrapSquare wrapText="bothSides"/>
          <wp:docPr id="130" name="Grafik 130" descr="Bildergebnis für suez">
            <a:hlinkClick xmlns:a="http://schemas.openxmlformats.org/drawingml/2006/main" r:id="rId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Bildergebnis für suez">
                    <a:hlinkClick r:id="rId1" tgtFrame="&quot;_blank&quot;"/>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95400"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6342" w:rsidRPr="0098666A" w:rsidRDefault="000718A2" w:rsidP="0098666A">
    <w:pPr>
      <w:pStyle w:val="af1"/>
    </w:pPr>
    <w:sdt>
      <w:sdtPr>
        <w:alias w:val="Назва"/>
        <w:tag w:val="Titel"/>
        <w:id w:val="339291655"/>
        <w:dataBinding w:prefixMappings="xmlns:ns0='http://purl.org/dc/elements/1.1/' xmlns:ns1='http://schemas.openxmlformats.org/package/2006/metadata/core-properties' " w:xpath="/ns1:coreProperties[1]/ns0:title[1]" w:storeItemID="{6C3C8BC8-F283-45AE-878A-BAB7291924A1}"/>
        <w:text/>
      </w:sdtPr>
      <w:sdtEndPr/>
      <w:sdtContent>
        <w:r w:rsidR="00586342">
          <w:t>Фінансово-економічний звіт КП Луцькводоканал</w:t>
        </w:r>
      </w:sdtContent>
    </w:sdt>
    <w:r w:rsidR="00586342">
      <w:ptab w:relativeTo="margin" w:alignment="center" w:leader="none"/>
    </w:r>
    <w:sdt>
      <w:sdtPr>
        <w:alias w:val="Дата подання"/>
        <w:tag w:val=""/>
        <w:id w:val="342298831"/>
        <w:dataBinding w:prefixMappings="xmlns:ns0='http://schemas.microsoft.com/office/2006/coverPageProps' " w:xpath="/ns0:CoverPageProperties[1]/ns0:PublishDate[1]" w:storeItemID="{55AF091B-3C7A-41E3-B477-F2FDAA23CFDA}"/>
        <w:date w:fullDate="2020-06-23T00:00:00Z">
          <w:dateFormat w:val="dd.MM.yyyy"/>
          <w:lid w:val="uk-UA"/>
          <w:storeMappedDataAs w:val="dateTime"/>
          <w:calendar w:val="gregorian"/>
        </w:date>
      </w:sdtPr>
      <w:sdtEndPr/>
      <w:sdtContent>
        <w:r w:rsidR="00586342">
          <w:t>23.06.2020</w:t>
        </w:r>
      </w:sdtContent>
    </w:sdt>
    <w:r w:rsidR="00586342">
      <w:ptab w:relativeTo="margin" w:alignment="right" w:leader="none"/>
    </w:r>
    <w:r w:rsidR="00586342">
      <w:rPr>
        <w:rStyle w:val="af2"/>
      </w:rPr>
      <w:t>Сторінка</w:t>
    </w:r>
    <w:r w:rsidR="00586342">
      <w:t xml:space="preserve"> </w:t>
    </w:r>
    <w:r w:rsidR="00586342" w:rsidRPr="0098666A">
      <w:fldChar w:fldCharType="begin"/>
    </w:r>
    <w:r w:rsidR="00586342" w:rsidRPr="0098666A">
      <w:instrText xml:space="preserve"> PAGE </w:instrText>
    </w:r>
    <w:r w:rsidR="00586342" w:rsidRPr="0098666A">
      <w:fldChar w:fldCharType="separate"/>
    </w:r>
    <w:r w:rsidR="00DC73E2">
      <w:rPr>
        <w:noProof/>
      </w:rPr>
      <w:t>7</w:t>
    </w:r>
    <w:r w:rsidR="00586342" w:rsidRPr="0098666A">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6342" w:rsidRPr="00FF0973" w:rsidRDefault="00586342" w:rsidP="000C56BB">
    <w:pPr>
      <w:pStyle w:val="af1"/>
      <w:pBdr>
        <w:top w:val="none" w:sz="0" w:space="0" w:color="auto"/>
      </w:pBd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6342" w:rsidRPr="00FF0973" w:rsidRDefault="00586342" w:rsidP="000C56BB">
    <w:pPr>
      <w:pStyle w:val="af1"/>
      <w:pBdr>
        <w:top w:val="none" w:sz="0" w:space="0" w:color="auto"/>
      </w:pBdr>
    </w:pPr>
    <w:r>
      <w:rPr>
        <w:noProof/>
        <w:lang w:eastAsia="uk-UA"/>
      </w:rPr>
      <w:drawing>
        <wp:anchor distT="0" distB="0" distL="114300" distR="114300" simplePos="0" relativeHeight="251732992" behindDoc="1" locked="0" layoutInCell="1" allowOverlap="1" wp14:anchorId="22B62E0B" wp14:editId="421131F0">
          <wp:simplePos x="0" y="0"/>
          <wp:positionH relativeFrom="margin">
            <wp:posOffset>3746500</wp:posOffset>
          </wp:positionH>
          <wp:positionV relativeFrom="paragraph">
            <wp:posOffset>-1866900</wp:posOffset>
          </wp:positionV>
          <wp:extent cx="1979930" cy="493395"/>
          <wp:effectExtent l="0" t="0" r="1270" b="1905"/>
          <wp:wrapSquare wrapText="bothSides"/>
          <wp:docPr id="23" name="Imag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EZ_ENVIRONNEM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79930" cy="493395"/>
                  </a:xfrm>
                  <a:prstGeom prst="rect">
                    <a:avLst/>
                  </a:prstGeom>
                </pic:spPr>
              </pic:pic>
            </a:graphicData>
          </a:graphic>
          <wp14:sizeRelH relativeFrom="page">
            <wp14:pctWidth>0</wp14:pctWidth>
          </wp14:sizeRelH>
          <wp14:sizeRelV relativeFrom="page">
            <wp14:pctHeight>0</wp14:pctHeight>
          </wp14:sizeRelV>
        </wp:anchor>
      </w:drawing>
    </w:r>
    <w:r w:rsidRPr="00EE1E91">
      <w:rPr>
        <w:noProof/>
        <w:lang w:eastAsia="uk-UA"/>
      </w:rPr>
      <mc:AlternateContent>
        <mc:Choice Requires="wps">
          <w:drawing>
            <wp:anchor distT="0" distB="0" distL="114300" distR="114300" simplePos="0" relativeHeight="251730944" behindDoc="0" locked="0" layoutInCell="1" allowOverlap="1" wp14:anchorId="28B5AB24" wp14:editId="5C734D95">
              <wp:simplePos x="0" y="0"/>
              <wp:positionH relativeFrom="margin">
                <wp:posOffset>3654969</wp:posOffset>
              </wp:positionH>
              <wp:positionV relativeFrom="page">
                <wp:posOffset>8955405</wp:posOffset>
              </wp:positionV>
              <wp:extent cx="2071370" cy="762635"/>
              <wp:effectExtent l="0" t="0" r="5080" b="0"/>
              <wp:wrapNone/>
              <wp:docPr id="20" name="Textfeld 20"/>
              <wp:cNvGraphicFramePr/>
              <a:graphic xmlns:a="http://schemas.openxmlformats.org/drawingml/2006/main">
                <a:graphicData uri="http://schemas.microsoft.com/office/word/2010/wordprocessingShape">
                  <wps:wsp>
                    <wps:cNvSpPr txBox="1"/>
                    <wps:spPr>
                      <a:xfrm>
                        <a:off x="0" y="0"/>
                        <a:ext cx="2071370" cy="7626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86342" w:rsidRPr="002D452E" w:rsidRDefault="00586342" w:rsidP="002D452E">
                          <w:pPr>
                            <w:pStyle w:val="CoverEntitAdresse"/>
                            <w:rPr>
                              <w:color w:val="030F40" w:themeColor="text2"/>
                              <w:szCs w:val="20"/>
                            </w:rPr>
                          </w:pPr>
                          <w:r>
                            <w:rPr>
                              <w:color w:val="030F40" w:themeColor="text2"/>
                              <w:szCs w:val="20"/>
                            </w:rPr>
                            <w:t>SAFEGE SAS - SIÈGE SOCIAL</w:t>
                          </w:r>
                        </w:p>
                        <w:p w:rsidR="00586342" w:rsidRPr="002D452E" w:rsidRDefault="00586342" w:rsidP="002D452E">
                          <w:pPr>
                            <w:pStyle w:val="CoverEntitAdresse"/>
                            <w:rPr>
                              <w:color w:val="030F40" w:themeColor="text2"/>
                              <w:szCs w:val="20"/>
                            </w:rPr>
                          </w:pPr>
                          <w:proofErr w:type="spellStart"/>
                          <w:r>
                            <w:rPr>
                              <w:color w:val="030F40" w:themeColor="text2"/>
                              <w:szCs w:val="20"/>
                            </w:rPr>
                            <w:t>Parc</w:t>
                          </w:r>
                          <w:proofErr w:type="spellEnd"/>
                          <w:r>
                            <w:rPr>
                              <w:color w:val="030F40" w:themeColor="text2"/>
                              <w:szCs w:val="20"/>
                            </w:rPr>
                            <w:t xml:space="preserve"> </w:t>
                          </w:r>
                          <w:proofErr w:type="spellStart"/>
                          <w:r>
                            <w:rPr>
                              <w:color w:val="030F40" w:themeColor="text2"/>
                              <w:szCs w:val="20"/>
                            </w:rPr>
                            <w:t>de</w:t>
                          </w:r>
                          <w:proofErr w:type="spellEnd"/>
                          <w:r>
                            <w:rPr>
                              <w:color w:val="030F40" w:themeColor="text2"/>
                              <w:szCs w:val="20"/>
                            </w:rPr>
                            <w:t xml:space="preserve"> </w:t>
                          </w:r>
                          <w:proofErr w:type="spellStart"/>
                          <w:r>
                            <w:rPr>
                              <w:color w:val="030F40" w:themeColor="text2"/>
                              <w:szCs w:val="20"/>
                            </w:rPr>
                            <w:t>l’Ile</w:t>
                          </w:r>
                          <w:proofErr w:type="spellEnd"/>
                          <w:r>
                            <w:rPr>
                              <w:color w:val="030F40" w:themeColor="text2"/>
                              <w:szCs w:val="20"/>
                            </w:rPr>
                            <w:t xml:space="preserve"> - 15/27 </w:t>
                          </w:r>
                          <w:proofErr w:type="spellStart"/>
                          <w:r>
                            <w:rPr>
                              <w:color w:val="030F40" w:themeColor="text2"/>
                              <w:szCs w:val="20"/>
                            </w:rPr>
                            <w:t>rue</w:t>
                          </w:r>
                          <w:proofErr w:type="spellEnd"/>
                          <w:r>
                            <w:rPr>
                              <w:color w:val="030F40" w:themeColor="text2"/>
                              <w:szCs w:val="20"/>
                            </w:rPr>
                            <w:t xml:space="preserve"> </w:t>
                          </w:r>
                          <w:proofErr w:type="spellStart"/>
                          <w:r>
                            <w:rPr>
                              <w:color w:val="030F40" w:themeColor="text2"/>
                              <w:szCs w:val="20"/>
                            </w:rPr>
                            <w:t>du</w:t>
                          </w:r>
                          <w:proofErr w:type="spellEnd"/>
                          <w:r>
                            <w:rPr>
                              <w:color w:val="030F40" w:themeColor="text2"/>
                              <w:szCs w:val="20"/>
                            </w:rPr>
                            <w:t xml:space="preserve"> </w:t>
                          </w:r>
                          <w:proofErr w:type="spellStart"/>
                          <w:r>
                            <w:rPr>
                              <w:color w:val="030F40" w:themeColor="text2"/>
                              <w:szCs w:val="20"/>
                            </w:rPr>
                            <w:t>Port</w:t>
                          </w:r>
                          <w:proofErr w:type="spellEnd"/>
                        </w:p>
                        <w:p w:rsidR="00586342" w:rsidRPr="002D452E" w:rsidRDefault="00586342" w:rsidP="002D452E">
                          <w:pPr>
                            <w:pStyle w:val="CoverEntitAdresse"/>
                            <w:rPr>
                              <w:color w:val="030F40" w:themeColor="text2"/>
                              <w:szCs w:val="20"/>
                            </w:rPr>
                          </w:pPr>
                          <w:r>
                            <w:rPr>
                              <w:color w:val="030F40" w:themeColor="text2"/>
                              <w:szCs w:val="20"/>
                            </w:rPr>
                            <w:t>92022 NANTERRE CEDEX</w:t>
                          </w:r>
                        </w:p>
                        <w:p w:rsidR="00586342" w:rsidRPr="002D452E" w:rsidRDefault="00586342" w:rsidP="002D452E">
                          <w:pPr>
                            <w:pStyle w:val="CoverEntitAdresse"/>
                            <w:rPr>
                              <w:color w:val="030F40" w:themeColor="text2"/>
                              <w:szCs w:val="20"/>
                            </w:rPr>
                          </w:pPr>
                          <w:r>
                            <w:rPr>
                              <w:color w:val="030F40" w:themeColor="text2"/>
                              <w:szCs w:val="20"/>
                            </w:rPr>
                            <w:t>www.safege.com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B5AB24" id="_x0000_t202" coordsize="21600,21600" o:spt="202" path="m,l,21600r21600,l21600,xe">
              <v:stroke joinstyle="miter"/>
              <v:path gradientshapeok="t" o:connecttype="rect"/>
            </v:shapetype>
            <v:shape id="Textfeld 20" o:spid="_x0000_s1033" type="#_x0000_t202" style="position:absolute;margin-left:287.8pt;margin-top:705.15pt;width:163.1pt;height:60.05pt;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" filled="f" stroked="f" strokeweight=".5pt">
              <v:textbox inset="0,0,0,0">
                <w:txbxContent>
                  <w:p w:rsidR="00586342" w:rsidRPr="002D452E" w:rsidRDefault="00586342" w:rsidP="002D452E">
                    <w:pPr>
                      <w:pStyle w:val="CoverEntitAdresse"/>
                      <w:rPr>
                        <w:color w:val="030F40" w:themeColor="text2"/>
                        <w:szCs w:val="20"/>
                      </w:rPr>
                    </w:pPr>
                    <w:r>
                      <w:rPr>
                        <w:color w:val="030F40" w:themeColor="text2"/>
                        <w:szCs w:val="20"/>
                      </w:rPr>
                      <w:t>SAFEGE SAS - SIÈGE SOCIAL</w:t>
                    </w:r>
                  </w:p>
                  <w:p w:rsidR="00586342" w:rsidRPr="002D452E" w:rsidRDefault="00586342" w:rsidP="002D452E">
                    <w:pPr>
                      <w:pStyle w:val="CoverEntitAdresse"/>
                      <w:rPr>
                        <w:color w:val="030F40" w:themeColor="text2"/>
                        <w:szCs w:val="20"/>
                      </w:rPr>
                    </w:pPr>
                    <w:proofErr w:type="spellStart"/>
                    <w:r>
                      <w:rPr>
                        <w:color w:val="030F40" w:themeColor="text2"/>
                        <w:szCs w:val="20"/>
                      </w:rPr>
                      <w:t>Parc</w:t>
                    </w:r>
                    <w:proofErr w:type="spellEnd"/>
                    <w:r>
                      <w:rPr>
                        <w:color w:val="030F40" w:themeColor="text2"/>
                        <w:szCs w:val="20"/>
                      </w:rPr>
                      <w:t xml:space="preserve"> </w:t>
                    </w:r>
                    <w:proofErr w:type="spellStart"/>
                    <w:r>
                      <w:rPr>
                        <w:color w:val="030F40" w:themeColor="text2"/>
                        <w:szCs w:val="20"/>
                      </w:rPr>
                      <w:t>de</w:t>
                    </w:r>
                    <w:proofErr w:type="spellEnd"/>
                    <w:r>
                      <w:rPr>
                        <w:color w:val="030F40" w:themeColor="text2"/>
                        <w:szCs w:val="20"/>
                      </w:rPr>
                      <w:t xml:space="preserve"> </w:t>
                    </w:r>
                    <w:proofErr w:type="spellStart"/>
                    <w:r>
                      <w:rPr>
                        <w:color w:val="030F40" w:themeColor="text2"/>
                        <w:szCs w:val="20"/>
                      </w:rPr>
                      <w:t>l’Ile</w:t>
                    </w:r>
                    <w:proofErr w:type="spellEnd"/>
                    <w:r>
                      <w:rPr>
                        <w:color w:val="030F40" w:themeColor="text2"/>
                        <w:szCs w:val="20"/>
                      </w:rPr>
                      <w:t xml:space="preserve"> - 15/27 </w:t>
                    </w:r>
                    <w:proofErr w:type="spellStart"/>
                    <w:r>
                      <w:rPr>
                        <w:color w:val="030F40" w:themeColor="text2"/>
                        <w:szCs w:val="20"/>
                      </w:rPr>
                      <w:t>rue</w:t>
                    </w:r>
                    <w:proofErr w:type="spellEnd"/>
                    <w:r>
                      <w:rPr>
                        <w:color w:val="030F40" w:themeColor="text2"/>
                        <w:szCs w:val="20"/>
                      </w:rPr>
                      <w:t xml:space="preserve"> </w:t>
                    </w:r>
                    <w:proofErr w:type="spellStart"/>
                    <w:r>
                      <w:rPr>
                        <w:color w:val="030F40" w:themeColor="text2"/>
                        <w:szCs w:val="20"/>
                      </w:rPr>
                      <w:t>du</w:t>
                    </w:r>
                    <w:proofErr w:type="spellEnd"/>
                    <w:r>
                      <w:rPr>
                        <w:color w:val="030F40" w:themeColor="text2"/>
                        <w:szCs w:val="20"/>
                      </w:rPr>
                      <w:t xml:space="preserve"> </w:t>
                    </w:r>
                    <w:proofErr w:type="spellStart"/>
                    <w:r>
                      <w:rPr>
                        <w:color w:val="030F40" w:themeColor="text2"/>
                        <w:szCs w:val="20"/>
                      </w:rPr>
                      <w:t>Port</w:t>
                    </w:r>
                    <w:proofErr w:type="spellEnd"/>
                  </w:p>
                  <w:p w:rsidR="00586342" w:rsidRPr="002D452E" w:rsidRDefault="00586342" w:rsidP="002D452E">
                    <w:pPr>
                      <w:pStyle w:val="CoverEntitAdresse"/>
                      <w:rPr>
                        <w:color w:val="030F40" w:themeColor="text2"/>
                        <w:szCs w:val="20"/>
                      </w:rPr>
                    </w:pPr>
                    <w:r>
                      <w:rPr>
                        <w:color w:val="030F40" w:themeColor="text2"/>
                        <w:szCs w:val="20"/>
                      </w:rPr>
                      <w:t>92022 NANTERRE CEDEX</w:t>
                    </w:r>
                  </w:p>
                  <w:p w:rsidR="00586342" w:rsidRPr="002D452E" w:rsidRDefault="00586342" w:rsidP="002D452E">
                    <w:pPr>
                      <w:pStyle w:val="CoverEntitAdresse"/>
                      <w:rPr>
                        <w:color w:val="030F40" w:themeColor="text2"/>
                        <w:szCs w:val="20"/>
                      </w:rPr>
                    </w:pPr>
                    <w:r>
                      <w:rPr>
                        <w:color w:val="030F40" w:themeColor="text2"/>
                        <w:szCs w:val="20"/>
                      </w:rPr>
                      <w:t>www.safege.com</w:t>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18A2" w:rsidRDefault="000718A2" w:rsidP="00330886">
      <w:r>
        <w:separator/>
      </w:r>
    </w:p>
    <w:p w:rsidR="000718A2" w:rsidRDefault="000718A2"/>
  </w:footnote>
  <w:footnote w:type="continuationSeparator" w:id="0">
    <w:p w:rsidR="000718A2" w:rsidRDefault="000718A2" w:rsidP="00330886">
      <w:r>
        <w:continuationSeparator/>
      </w:r>
    </w:p>
    <w:p w:rsidR="000718A2" w:rsidRDefault="000718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6342" w:rsidRDefault="00586342" w:rsidP="0098666A">
    <w:pPr>
      <w:pStyle w:val="af"/>
    </w:pPr>
    <w:r w:rsidRPr="00EE1E91">
      <w:rPr>
        <w:lang w:eastAsia="uk-UA"/>
      </w:rPr>
      <mc:AlternateContent>
        <mc:Choice Requires="wps">
          <w:drawing>
            <wp:anchor distT="0" distB="0" distL="114300" distR="114300" simplePos="0" relativeHeight="251713536" behindDoc="0" locked="0" layoutInCell="1" allowOverlap="1" wp14:anchorId="18BB761E" wp14:editId="6AAF21D5">
              <wp:simplePos x="0" y="0"/>
              <wp:positionH relativeFrom="margin">
                <wp:posOffset>4131310</wp:posOffset>
              </wp:positionH>
              <wp:positionV relativeFrom="page">
                <wp:posOffset>5427980</wp:posOffset>
              </wp:positionV>
              <wp:extent cx="2071370" cy="762635"/>
              <wp:effectExtent l="0" t="0" r="5080" b="0"/>
              <wp:wrapNone/>
              <wp:docPr id="429" name="Textfeld 429"/>
              <wp:cNvGraphicFramePr/>
              <a:graphic xmlns:a="http://schemas.openxmlformats.org/drawingml/2006/main">
                <a:graphicData uri="http://schemas.microsoft.com/office/word/2010/wordprocessingShape">
                  <wps:wsp>
                    <wps:cNvSpPr txBox="1"/>
                    <wps:spPr>
                      <a:xfrm>
                        <a:off x="0" y="0"/>
                        <a:ext cx="2071370" cy="7626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86342" w:rsidRPr="00126A22" w:rsidRDefault="00586342" w:rsidP="00EE1E91">
                          <w:pPr>
                            <w:pStyle w:val="CoverEntitAdresse"/>
                            <w:rPr>
                              <w:szCs w:val="20"/>
                            </w:rPr>
                          </w:pPr>
                          <w:r>
                            <w:t>SAFEGE SAS - SIÈGE SOCIAL</w:t>
                          </w:r>
                        </w:p>
                        <w:p w:rsidR="00586342" w:rsidRPr="00126A22" w:rsidRDefault="00586342" w:rsidP="00EE1E91">
                          <w:pPr>
                            <w:pStyle w:val="CoverEntitAdresse"/>
                            <w:rPr>
                              <w:szCs w:val="20"/>
                            </w:rPr>
                          </w:pPr>
                          <w:proofErr w:type="spellStart"/>
                          <w:r>
                            <w:t>Parc</w:t>
                          </w:r>
                          <w:proofErr w:type="spellEnd"/>
                          <w:r>
                            <w:t xml:space="preserve"> </w:t>
                          </w:r>
                          <w:proofErr w:type="spellStart"/>
                          <w:r>
                            <w:t>de</w:t>
                          </w:r>
                          <w:proofErr w:type="spellEnd"/>
                          <w:r>
                            <w:t xml:space="preserve"> </w:t>
                          </w:r>
                          <w:proofErr w:type="spellStart"/>
                          <w:r>
                            <w:t>l’Ile</w:t>
                          </w:r>
                          <w:proofErr w:type="spellEnd"/>
                          <w:r>
                            <w:t xml:space="preserve"> - 15/27 </w:t>
                          </w:r>
                          <w:proofErr w:type="spellStart"/>
                          <w:r>
                            <w:t>rue</w:t>
                          </w:r>
                          <w:proofErr w:type="spellEnd"/>
                          <w:r>
                            <w:t xml:space="preserve"> </w:t>
                          </w:r>
                          <w:proofErr w:type="spellStart"/>
                          <w:r>
                            <w:t>du</w:t>
                          </w:r>
                          <w:proofErr w:type="spellEnd"/>
                          <w:r>
                            <w:t xml:space="preserve"> </w:t>
                          </w:r>
                          <w:proofErr w:type="spellStart"/>
                          <w:r>
                            <w:t>Port</w:t>
                          </w:r>
                          <w:proofErr w:type="spellEnd"/>
                        </w:p>
                        <w:p w:rsidR="00586342" w:rsidRPr="00126A22" w:rsidRDefault="00586342" w:rsidP="00EE1E91">
                          <w:pPr>
                            <w:pStyle w:val="CoverEntitAdresse"/>
                            <w:rPr>
                              <w:szCs w:val="20"/>
                            </w:rPr>
                          </w:pPr>
                          <w:r>
                            <w:t>92022 NANTERRE CEDEX</w:t>
                          </w:r>
                        </w:p>
                        <w:p w:rsidR="00586342" w:rsidRPr="00126A22" w:rsidRDefault="00586342" w:rsidP="00EE1E91">
                          <w:pPr>
                            <w:pStyle w:val="CoverEntitAdresse"/>
                            <w:rPr>
                              <w:szCs w:val="20"/>
                            </w:rPr>
                          </w:pPr>
                          <w:r>
                            <w:t>www.safege.com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BB761E" id="_x0000_t202" coordsize="21600,21600" o:spt="202" path="m,l,21600r21600,l21600,xe">
              <v:stroke joinstyle="miter"/>
              <v:path gradientshapeok="t" o:connecttype="rect"/>
            </v:shapetype>
            <v:shape id="Textfeld 429" o:spid="_x0000_s1028" type="#_x0000_t202" style="position:absolute;left:0;text-align:left;margin-left:325.3pt;margin-top:427.4pt;width:163.1pt;height:60.05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" filled="f" stroked="f" strokeweight=".5pt">
              <v:textbox inset="0,0,0,0">
                <w:txbxContent>
                  <w:p w:rsidR="00586342" w:rsidRPr="00126A22" w:rsidRDefault="00586342" w:rsidP="00EE1E91">
                    <w:pPr>
                      <w:pStyle w:val="CoverEntitAdresse"/>
                      <w:rPr>
                        <w:szCs w:val="20"/>
                      </w:rPr>
                    </w:pPr>
                    <w:r>
                      <w:t>SAFEGE SAS - SIÈGE SOCIAL</w:t>
                    </w:r>
                  </w:p>
                  <w:p w:rsidR="00586342" w:rsidRPr="00126A22" w:rsidRDefault="00586342" w:rsidP="00EE1E91">
                    <w:pPr>
                      <w:pStyle w:val="CoverEntitAdresse"/>
                      <w:rPr>
                        <w:szCs w:val="20"/>
                      </w:rPr>
                    </w:pPr>
                    <w:proofErr w:type="spellStart"/>
                    <w:r>
                      <w:t>Parc</w:t>
                    </w:r>
                    <w:proofErr w:type="spellEnd"/>
                    <w:r>
                      <w:t xml:space="preserve"> </w:t>
                    </w:r>
                    <w:proofErr w:type="spellStart"/>
                    <w:r>
                      <w:t>de</w:t>
                    </w:r>
                    <w:proofErr w:type="spellEnd"/>
                    <w:r>
                      <w:t xml:space="preserve"> </w:t>
                    </w:r>
                    <w:proofErr w:type="spellStart"/>
                    <w:r>
                      <w:t>l’Ile</w:t>
                    </w:r>
                    <w:proofErr w:type="spellEnd"/>
                    <w:r>
                      <w:t xml:space="preserve"> - 15/27 </w:t>
                    </w:r>
                    <w:proofErr w:type="spellStart"/>
                    <w:r>
                      <w:t>rue</w:t>
                    </w:r>
                    <w:proofErr w:type="spellEnd"/>
                    <w:r>
                      <w:t xml:space="preserve"> </w:t>
                    </w:r>
                    <w:proofErr w:type="spellStart"/>
                    <w:r>
                      <w:t>du</w:t>
                    </w:r>
                    <w:proofErr w:type="spellEnd"/>
                    <w:r>
                      <w:t xml:space="preserve"> </w:t>
                    </w:r>
                    <w:proofErr w:type="spellStart"/>
                    <w:r>
                      <w:t>Port</w:t>
                    </w:r>
                    <w:proofErr w:type="spellEnd"/>
                  </w:p>
                  <w:p w:rsidR="00586342" w:rsidRPr="00126A22" w:rsidRDefault="00586342" w:rsidP="00EE1E91">
                    <w:pPr>
                      <w:pStyle w:val="CoverEntitAdresse"/>
                      <w:rPr>
                        <w:szCs w:val="20"/>
                      </w:rPr>
                    </w:pPr>
                    <w:r>
                      <w:t>92022 NANTERRE CEDEX</w:t>
                    </w:r>
                  </w:p>
                  <w:p w:rsidR="00586342" w:rsidRPr="00126A22" w:rsidRDefault="00586342" w:rsidP="00EE1E91">
                    <w:pPr>
                      <w:pStyle w:val="CoverEntitAdresse"/>
                      <w:rPr>
                        <w:szCs w:val="20"/>
                      </w:rPr>
                    </w:pPr>
                    <w:r>
                      <w:t>www.safege.com</w:t>
                    </w:r>
                  </w:p>
                </w:txbxContent>
              </v:textbox>
              <w10:wrap anchorx="margin" anchory="page"/>
            </v:shape>
          </w:pict>
        </mc:Fallback>
      </mc:AlternateContent>
    </w:r>
    <w:r>
      <w:rPr>
        <w:rFonts w:ascii="Times New Roman" w:eastAsia="MS P????" w:hAnsi="Times New Roman"/>
        <w:sz w:val="24"/>
        <w:szCs w:val="24"/>
        <w:lang w:eastAsia="uk-UA"/>
      </w:rPr>
      <mc:AlternateContent>
        <mc:Choice Requires="wps">
          <w:drawing>
            <wp:anchor distT="0" distB="0" distL="114300" distR="114300" simplePos="0" relativeHeight="251702272" behindDoc="0" locked="0" layoutInCell="1" allowOverlap="1" wp14:anchorId="5BB1C66A" wp14:editId="4E15A8C6">
              <wp:simplePos x="0" y="0"/>
              <wp:positionH relativeFrom="margin">
                <wp:posOffset>2887345</wp:posOffset>
              </wp:positionH>
              <wp:positionV relativeFrom="paragraph">
                <wp:posOffset>314960</wp:posOffset>
              </wp:positionV>
              <wp:extent cx="3246120" cy="719455"/>
              <wp:effectExtent l="0" t="0" r="0" b="4445"/>
              <wp:wrapNone/>
              <wp:docPr id="21" name="Rechteck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46120" cy="719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6342" w:rsidRPr="000C56BB" w:rsidRDefault="00586342" w:rsidP="000F7F68">
                          <w:pPr>
                            <w:jc w:val="right"/>
                            <w:rPr>
                              <w:rFonts w:asciiTheme="majorHAnsi" w:hAnsiTheme="majorHAnsi"/>
                              <w:color w:val="030F40" w:themeColor="text2"/>
                            </w:rPr>
                          </w:pPr>
                          <w:r>
                            <w:rPr>
                              <w:rFonts w:asciiTheme="majorHAnsi" w:hAnsiTheme="majorHAnsi"/>
                              <w:b/>
                              <w:color w:val="030F40" w:themeColor="text2"/>
                            </w:rPr>
                            <w:t>UMIP - Програма розвитку міської інфраструктури в Україні</w:t>
                          </w:r>
                        </w:p>
                        <w:p w:rsidR="00586342" w:rsidRPr="000C56BB" w:rsidRDefault="00586342" w:rsidP="000F7F68">
                          <w:pPr>
                            <w:jc w:val="right"/>
                            <w:rPr>
                              <w:rFonts w:asciiTheme="majorHAnsi" w:hAnsiTheme="majorHAnsi"/>
                              <w:color w:val="030F40" w:themeColor="text2"/>
                            </w:rPr>
                          </w:pPr>
                          <w:r>
                            <w:rPr>
                              <w:rFonts w:asciiTheme="majorHAnsi" w:hAnsiTheme="majorHAnsi"/>
                              <w:color w:val="030F40" w:themeColor="text2"/>
                            </w:rPr>
                            <w:t xml:space="preserve">Технічне сприяння </w:t>
                          </w:r>
                        </w:p>
                        <w:p w:rsidR="00586342" w:rsidRPr="000C56BB" w:rsidRDefault="00586342" w:rsidP="000F7F68">
                          <w:pPr>
                            <w:jc w:val="right"/>
                            <w:rPr>
                              <w:rFonts w:asciiTheme="majorHAnsi" w:hAnsiTheme="majorHAnsi"/>
                              <w:color w:val="030F40" w:themeColor="text2"/>
                            </w:rPr>
                          </w:pPr>
                          <w:r>
                            <w:rPr>
                              <w:rFonts w:asciiTheme="majorHAnsi" w:hAnsiTheme="majorHAnsi"/>
                              <w:color w:val="030F40" w:themeColor="text2"/>
                            </w:rPr>
                            <w:t>Групі управління та підтримки програми( ГУПП)</w:t>
                          </w:r>
                        </w:p>
                        <w:p w:rsidR="00586342" w:rsidRPr="000C56BB" w:rsidRDefault="00586342" w:rsidP="000F7F68">
                          <w:pPr>
                            <w:jc w:val="right"/>
                            <w:rPr>
                              <w:rFonts w:asciiTheme="majorHAnsi" w:hAnsiTheme="majorHAnsi"/>
                              <w:color w:val="030F40" w:themeColor="text2"/>
                            </w:rPr>
                          </w:pPr>
                          <w:r>
                            <w:rPr>
                              <w:rFonts w:asciiTheme="majorHAnsi" w:hAnsiTheme="majorHAnsi"/>
                              <w:color w:val="030F40" w:themeColor="text2"/>
                            </w:rPr>
                            <w:t>Фінансування Європейським Інвестиційним Банком</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B1C66A" id="Rechteck 21" o:spid="_x0000_s1029" style="position:absolute;left:0;text-align:left;margin-left:227.35pt;margin-top:24.8pt;width:255.6pt;height:56.6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" filled="f" stroked="f">
              <v:textbox inset="2.53958mm,1.2694mm,2.53958mm,1.2694mm">
                <w:txbxContent>
                  <w:p w:rsidR="00586342" w:rsidRPr="000C56BB" w:rsidRDefault="00586342" w:rsidP="000F7F68">
                    <w:pPr>
                      <w:jc w:val="right"/>
                      <w:rPr>
                        <w:rFonts w:asciiTheme="majorHAnsi" w:hAnsiTheme="majorHAnsi"/>
                        <w:color w:val="030F40" w:themeColor="text2"/>
                      </w:rPr>
                    </w:pPr>
                    <w:r>
                      <w:rPr>
                        <w:rFonts w:asciiTheme="majorHAnsi" w:hAnsiTheme="majorHAnsi"/>
                        <w:b/>
                        <w:color w:val="030F40" w:themeColor="text2"/>
                      </w:rPr>
                      <w:t>UMIP - Програма розвитку міської інфраструктури в Україні</w:t>
                    </w:r>
                  </w:p>
                  <w:p w:rsidR="00586342" w:rsidRPr="000C56BB" w:rsidRDefault="00586342" w:rsidP="000F7F68">
                    <w:pPr>
                      <w:jc w:val="right"/>
                      <w:rPr>
                        <w:rFonts w:asciiTheme="majorHAnsi" w:hAnsiTheme="majorHAnsi"/>
                        <w:color w:val="030F40" w:themeColor="text2"/>
                      </w:rPr>
                    </w:pPr>
                    <w:r>
                      <w:rPr>
                        <w:rFonts w:asciiTheme="majorHAnsi" w:hAnsiTheme="majorHAnsi"/>
                        <w:color w:val="030F40" w:themeColor="text2"/>
                      </w:rPr>
                      <w:t xml:space="preserve">Технічне сприяння </w:t>
                    </w:r>
                  </w:p>
                  <w:p w:rsidR="00586342" w:rsidRPr="000C56BB" w:rsidRDefault="00586342" w:rsidP="000F7F68">
                    <w:pPr>
                      <w:jc w:val="right"/>
                      <w:rPr>
                        <w:rFonts w:asciiTheme="majorHAnsi" w:hAnsiTheme="majorHAnsi"/>
                        <w:color w:val="030F40" w:themeColor="text2"/>
                      </w:rPr>
                    </w:pPr>
                    <w:r>
                      <w:rPr>
                        <w:rFonts w:asciiTheme="majorHAnsi" w:hAnsiTheme="majorHAnsi"/>
                        <w:color w:val="030F40" w:themeColor="text2"/>
                      </w:rPr>
                      <w:t>Групі управління та підтримки програми( ГУПП)</w:t>
                    </w:r>
                  </w:p>
                  <w:p w:rsidR="00586342" w:rsidRPr="000C56BB" w:rsidRDefault="00586342" w:rsidP="000F7F68">
                    <w:pPr>
                      <w:jc w:val="right"/>
                      <w:rPr>
                        <w:rFonts w:asciiTheme="majorHAnsi" w:hAnsiTheme="majorHAnsi"/>
                        <w:color w:val="030F40" w:themeColor="text2"/>
                      </w:rPr>
                    </w:pPr>
                    <w:r>
                      <w:rPr>
                        <w:rFonts w:asciiTheme="majorHAnsi" w:hAnsiTheme="majorHAnsi"/>
                        <w:color w:val="030F40" w:themeColor="text2"/>
                      </w:rPr>
                      <w:t>Фінансування Європейським Інвестиційним Банком</w:t>
                    </w:r>
                  </w:p>
                </w:txbxContent>
              </v:textbox>
              <w10:wrap anchorx="margin"/>
            </v:rect>
          </w:pict>
        </mc:Fallback>
      </mc:AlternateContent>
    </w:r>
    <w:r w:rsidRPr="00EE1E91">
      <w:rPr>
        <w:lang w:eastAsia="uk-UA"/>
      </w:rPr>
      <mc:AlternateContent>
        <mc:Choice Requires="wps">
          <w:drawing>
            <wp:anchor distT="0" distB="0" distL="114300" distR="114300" simplePos="0" relativeHeight="251711488" behindDoc="0" locked="0" layoutInCell="1" allowOverlap="1" wp14:anchorId="2FF88CB9" wp14:editId="6D3B520C">
              <wp:simplePos x="0" y="0"/>
              <wp:positionH relativeFrom="column">
                <wp:posOffset>3972560</wp:posOffset>
              </wp:positionH>
              <wp:positionV relativeFrom="paragraph">
                <wp:posOffset>4052570</wp:posOffset>
              </wp:positionV>
              <wp:extent cx="2159635" cy="334645"/>
              <wp:effectExtent l="0" t="0" r="0" b="8255"/>
              <wp:wrapNone/>
              <wp:docPr id="426" name="Rectangle 426"/>
              <wp:cNvGraphicFramePr/>
              <a:graphic xmlns:a="http://schemas.openxmlformats.org/drawingml/2006/main">
                <a:graphicData uri="http://schemas.microsoft.com/office/word/2010/wordprocessingShape">
                  <wps:wsp>
                    <wps:cNvSpPr/>
                    <wps:spPr>
                      <a:xfrm>
                        <a:off x="0" y="0"/>
                        <a:ext cx="2159635" cy="334645"/>
                      </a:xfrm>
                      <a:prstGeom prst="rect">
                        <a:avLst/>
                      </a:prstGeom>
                      <a:solidFill>
                        <a:srgbClr val="AADC14"/>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586342" w:rsidRPr="00126A22" w:rsidRDefault="00586342" w:rsidP="00EE1E91">
                          <w:pPr>
                            <w:jc w:val="center"/>
                            <w:rPr>
                              <w:rFonts w:asciiTheme="majorHAnsi" w:hAnsiTheme="majorHAnsi"/>
                              <w:color w:val="030F40" w:themeColor="accent1"/>
                              <w:sz w:val="28"/>
                              <w:szCs w:val="28"/>
                            </w:rPr>
                          </w:pPr>
                          <w:r>
                            <w:rPr>
                              <w:rFonts w:asciiTheme="majorHAnsi" w:hAnsiTheme="majorHAnsi"/>
                              <w:color w:val="030F40" w:themeColor="accent1"/>
                              <w:sz w:val="30"/>
                              <w:szCs w:val="30"/>
                            </w:rPr>
                            <w:t>КОНСУЛЬТАНТ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FF88CB9" id="Rectangle 426" o:spid="_x0000_s1030" style="position:absolute;left:0;text-align:left;margin-left:312.8pt;margin-top:319.1pt;width:170.05pt;height:26.35pt;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" fillcolor="#aadc14" stroked="f" strokeweight="2pt">
              <v:textbox>
                <w:txbxContent>
                  <w:p w:rsidR="00586342" w:rsidRPr="00126A22" w:rsidRDefault="00586342" w:rsidP="00EE1E91">
                    <w:pPr>
                      <w:jc w:val="center"/>
                      <w:rPr>
                        <w:rFonts w:asciiTheme="majorHAnsi" w:hAnsiTheme="majorHAnsi"/>
                        <w:color w:val="030F40" w:themeColor="accent1"/>
                        <w:sz w:val="28"/>
                        <w:szCs w:val="28"/>
                      </w:rPr>
                    </w:pPr>
                    <w:r>
                      <w:rPr>
                        <w:rFonts w:asciiTheme="majorHAnsi" w:hAnsiTheme="majorHAnsi"/>
                        <w:color w:val="030F40" w:themeColor="accent1"/>
                        <w:sz w:val="30"/>
                        <w:szCs w:val="30"/>
                      </w:rPr>
                      <w:t>КОНСУЛЬТАНТ</w:t>
                    </w:r>
                  </w:p>
                </w:txbxContent>
              </v:textbox>
            </v:rect>
          </w:pict>
        </mc:Fallback>
      </mc:AlternateContent>
    </w:r>
    <w:r w:rsidRPr="00EE1E91">
      <w:rPr>
        <w:lang w:eastAsia="uk-UA"/>
      </w:rPr>
      <mc:AlternateContent>
        <mc:Choice Requires="wps">
          <w:drawing>
            <wp:anchor distT="0" distB="0" distL="114300" distR="114300" simplePos="0" relativeHeight="251712512" behindDoc="0" locked="0" layoutInCell="1" allowOverlap="1" wp14:anchorId="17C78315" wp14:editId="5BFC85AF">
              <wp:simplePos x="0" y="0"/>
              <wp:positionH relativeFrom="margin">
                <wp:posOffset>3967480</wp:posOffset>
              </wp:positionH>
              <wp:positionV relativeFrom="page">
                <wp:posOffset>4734560</wp:posOffset>
              </wp:positionV>
              <wp:extent cx="2159635" cy="1515534"/>
              <wp:effectExtent l="0" t="0" r="0" b="8890"/>
              <wp:wrapNone/>
              <wp:docPr id="424" name="Textfeld 424"/>
              <wp:cNvGraphicFramePr/>
              <a:graphic xmlns:a="http://schemas.openxmlformats.org/drawingml/2006/main">
                <a:graphicData uri="http://schemas.microsoft.com/office/word/2010/wordprocessingShape">
                  <wps:wsp>
                    <wps:cNvSpPr txBox="1"/>
                    <wps:spPr>
                      <a:xfrm>
                        <a:off x="0" y="0"/>
                        <a:ext cx="2159635" cy="1515534"/>
                      </a:xfrm>
                      <a:prstGeom prst="rect">
                        <a:avLst/>
                      </a:prstGeom>
                      <a:solidFill>
                        <a:schemeClr val="bg1">
                          <a:alpha val="5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586342" w:rsidRPr="00126A22" w:rsidRDefault="00586342" w:rsidP="00EE1E91">
                          <w:pPr>
                            <w:ind w:left="284"/>
                            <w:rPr>
                              <w:rFonts w:asciiTheme="majorHAnsi" w:hAnsiTheme="majorHAnsi"/>
                              <w:color w:val="030F40" w:themeColor="accent1"/>
                            </w:rPr>
                          </w:pPr>
                          <w:r>
                            <w:rPr>
                              <w:rFonts w:asciiTheme="majorHAnsi" w:hAnsiTheme="majorHAnsi"/>
                              <w:color w:val="030F40" w:themeColor="accent1"/>
                            </w:rPr>
                            <w:t>SAFEGE</w:t>
                          </w:r>
                        </w:p>
                        <w:p w:rsidR="00586342" w:rsidRPr="00126A22" w:rsidRDefault="00586342" w:rsidP="00EE1E91">
                          <w:pPr>
                            <w:ind w:left="284"/>
                            <w:rPr>
                              <w:rFonts w:asciiTheme="majorHAnsi" w:hAnsiTheme="majorHAnsi"/>
                              <w:color w:val="030F40" w:themeColor="accent1"/>
                            </w:rPr>
                          </w:pPr>
                          <w:proofErr w:type="spellStart"/>
                          <w:r>
                            <w:rPr>
                              <w:rFonts w:asciiTheme="majorHAnsi" w:hAnsiTheme="majorHAnsi"/>
                              <w:color w:val="030F40" w:themeColor="accent1"/>
                            </w:rPr>
                            <w:t>De</w:t>
                          </w:r>
                          <w:proofErr w:type="spellEnd"/>
                          <w:r>
                            <w:rPr>
                              <w:rFonts w:asciiTheme="majorHAnsi" w:hAnsiTheme="majorHAnsi"/>
                              <w:color w:val="030F40" w:themeColor="accent1"/>
                            </w:rPr>
                            <w:t xml:space="preserve"> </w:t>
                          </w:r>
                          <w:proofErr w:type="spellStart"/>
                          <w:r>
                            <w:rPr>
                              <w:rFonts w:asciiTheme="majorHAnsi" w:hAnsiTheme="majorHAnsi"/>
                              <w:color w:val="030F40" w:themeColor="accent1"/>
                            </w:rPr>
                            <w:t>Kleetlaan</w:t>
                          </w:r>
                          <w:proofErr w:type="spellEnd"/>
                          <w:r>
                            <w:rPr>
                              <w:rFonts w:asciiTheme="majorHAnsi" w:hAnsiTheme="majorHAnsi"/>
                              <w:color w:val="030F40" w:themeColor="accent1"/>
                            </w:rPr>
                            <w:t xml:space="preserve"> 5</w:t>
                          </w:r>
                        </w:p>
                        <w:p w:rsidR="00586342" w:rsidRPr="00126A22" w:rsidRDefault="00586342" w:rsidP="00EE1E91">
                          <w:pPr>
                            <w:ind w:left="284"/>
                            <w:rPr>
                              <w:rFonts w:asciiTheme="majorHAnsi" w:hAnsiTheme="majorHAnsi"/>
                              <w:color w:val="030F40" w:themeColor="accent1"/>
                            </w:rPr>
                          </w:pPr>
                          <w:r>
                            <w:rPr>
                              <w:rFonts w:asciiTheme="majorHAnsi" w:hAnsiTheme="majorHAnsi"/>
                              <w:color w:val="030F40" w:themeColor="accent1"/>
                            </w:rPr>
                            <w:t>B-1831 ДІГЕМ</w:t>
                          </w:r>
                        </w:p>
                        <w:p w:rsidR="00586342" w:rsidRPr="00126A22" w:rsidRDefault="00586342" w:rsidP="00EE1E91">
                          <w:pPr>
                            <w:ind w:left="284"/>
                            <w:rPr>
                              <w:rFonts w:asciiTheme="majorHAnsi" w:hAnsiTheme="majorHAnsi"/>
                              <w:color w:val="030F40" w:themeColor="accent1"/>
                            </w:rPr>
                          </w:pPr>
                          <w:r>
                            <w:rPr>
                              <w:rFonts w:asciiTheme="majorHAnsi" w:hAnsiTheme="majorHAnsi"/>
                              <w:color w:val="030F40" w:themeColor="accent1"/>
                            </w:rPr>
                            <w:t>Міжнародна філія</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C78315" id="Textfeld 424" o:spid="_x0000_s1031" type="#_x0000_t202" style="position:absolute;left:0;text-align:left;margin-left:312.4pt;margin-top:372.8pt;width:170.05pt;height:119.35pt;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" fillcolor="white [3212]" stroked="f" strokeweight=".5pt">
              <v:fill opacity="32896f"/>
              <v:textbox inset="0,0,0,0">
                <w:txbxContent>
                  <w:p w:rsidR="00586342" w:rsidRPr="00126A22" w:rsidRDefault="00586342" w:rsidP="00EE1E91">
                    <w:pPr>
                      <w:ind w:left="284"/>
                      <w:rPr>
                        <w:rFonts w:asciiTheme="majorHAnsi" w:hAnsiTheme="majorHAnsi"/>
                        <w:color w:val="030F40" w:themeColor="accent1"/>
                      </w:rPr>
                    </w:pPr>
                    <w:r>
                      <w:rPr>
                        <w:rFonts w:asciiTheme="majorHAnsi" w:hAnsiTheme="majorHAnsi"/>
                        <w:color w:val="030F40" w:themeColor="accent1"/>
                      </w:rPr>
                      <w:t>SAFEGE</w:t>
                    </w:r>
                  </w:p>
                  <w:p w:rsidR="00586342" w:rsidRPr="00126A22" w:rsidRDefault="00586342" w:rsidP="00EE1E91">
                    <w:pPr>
                      <w:ind w:left="284"/>
                      <w:rPr>
                        <w:rFonts w:asciiTheme="majorHAnsi" w:hAnsiTheme="majorHAnsi"/>
                        <w:color w:val="030F40" w:themeColor="accent1"/>
                      </w:rPr>
                    </w:pPr>
                    <w:proofErr w:type="spellStart"/>
                    <w:r>
                      <w:rPr>
                        <w:rFonts w:asciiTheme="majorHAnsi" w:hAnsiTheme="majorHAnsi"/>
                        <w:color w:val="030F40" w:themeColor="accent1"/>
                      </w:rPr>
                      <w:t>De</w:t>
                    </w:r>
                    <w:proofErr w:type="spellEnd"/>
                    <w:r>
                      <w:rPr>
                        <w:rFonts w:asciiTheme="majorHAnsi" w:hAnsiTheme="majorHAnsi"/>
                        <w:color w:val="030F40" w:themeColor="accent1"/>
                      </w:rPr>
                      <w:t xml:space="preserve"> </w:t>
                    </w:r>
                    <w:proofErr w:type="spellStart"/>
                    <w:r>
                      <w:rPr>
                        <w:rFonts w:asciiTheme="majorHAnsi" w:hAnsiTheme="majorHAnsi"/>
                        <w:color w:val="030F40" w:themeColor="accent1"/>
                      </w:rPr>
                      <w:t>Kleetlaan</w:t>
                    </w:r>
                    <w:proofErr w:type="spellEnd"/>
                    <w:r>
                      <w:rPr>
                        <w:rFonts w:asciiTheme="majorHAnsi" w:hAnsiTheme="majorHAnsi"/>
                        <w:color w:val="030F40" w:themeColor="accent1"/>
                      </w:rPr>
                      <w:t xml:space="preserve"> 5</w:t>
                    </w:r>
                  </w:p>
                  <w:p w:rsidR="00586342" w:rsidRPr="00126A22" w:rsidRDefault="00586342" w:rsidP="00EE1E91">
                    <w:pPr>
                      <w:ind w:left="284"/>
                      <w:rPr>
                        <w:rFonts w:asciiTheme="majorHAnsi" w:hAnsiTheme="majorHAnsi"/>
                        <w:color w:val="030F40" w:themeColor="accent1"/>
                      </w:rPr>
                    </w:pPr>
                    <w:r>
                      <w:rPr>
                        <w:rFonts w:asciiTheme="majorHAnsi" w:hAnsiTheme="majorHAnsi"/>
                        <w:color w:val="030F40" w:themeColor="accent1"/>
                      </w:rPr>
                      <w:t>B-1831 ДІГЕМ</w:t>
                    </w:r>
                  </w:p>
                  <w:p w:rsidR="00586342" w:rsidRPr="00126A22" w:rsidRDefault="00586342" w:rsidP="00EE1E91">
                    <w:pPr>
                      <w:ind w:left="284"/>
                      <w:rPr>
                        <w:rFonts w:asciiTheme="majorHAnsi" w:hAnsiTheme="majorHAnsi"/>
                        <w:color w:val="030F40" w:themeColor="accent1"/>
                      </w:rPr>
                    </w:pPr>
                    <w:r>
                      <w:rPr>
                        <w:rFonts w:asciiTheme="majorHAnsi" w:hAnsiTheme="majorHAnsi"/>
                        <w:color w:val="030F40" w:themeColor="accent1"/>
                      </w:rPr>
                      <w:t>Міжнародна філія</w:t>
                    </w:r>
                  </w:p>
                </w:txbxContent>
              </v:textbox>
              <w10:wrap anchorx="margin" anchory="page"/>
            </v:shape>
          </w:pict>
        </mc:Fallback>
      </mc:AlternateContent>
    </w:r>
    <w:r>
      <w:rPr>
        <w:lang w:eastAsia="uk-UA"/>
      </w:rPr>
      <mc:AlternateContent>
        <mc:Choice Requires="wps">
          <w:drawing>
            <wp:anchor distT="0" distB="0" distL="114300" distR="114300" simplePos="0" relativeHeight="251695104" behindDoc="0" locked="0" layoutInCell="1" allowOverlap="1" wp14:anchorId="01A1683D" wp14:editId="2828A196">
              <wp:simplePos x="0" y="0"/>
              <wp:positionH relativeFrom="column">
                <wp:posOffset>13970</wp:posOffset>
              </wp:positionH>
              <wp:positionV relativeFrom="paragraph">
                <wp:posOffset>1931882</wp:posOffset>
              </wp:positionV>
              <wp:extent cx="6119495" cy="1853565"/>
              <wp:effectExtent l="0" t="0" r="0" b="0"/>
              <wp:wrapNone/>
              <wp:docPr id="428" name="Rectangle 428"/>
              <wp:cNvGraphicFramePr/>
              <a:graphic xmlns:a="http://schemas.openxmlformats.org/drawingml/2006/main">
                <a:graphicData uri="http://schemas.microsoft.com/office/word/2010/wordprocessingShape">
                  <wps:wsp>
                    <wps:cNvSpPr/>
                    <wps:spPr>
                      <a:xfrm>
                        <a:off x="0" y="0"/>
                        <a:ext cx="6119495" cy="1853565"/>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E1ED77" id="Rectangle 428" o:spid="_x0000_s1026" style="position:absolute;margin-left:1.1pt;margin-top:152.1pt;width:481.85pt;height:145.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" fillcolor="#002060" stroked="f" strokeweight="2pt"/>
          </w:pict>
        </mc:Fallback>
      </mc:AlternateContent>
    </w:r>
    <w:r w:rsidRPr="00D917D6">
      <w:rPr>
        <w:lang w:eastAsia="uk-UA"/>
      </w:rPr>
      <w:drawing>
        <wp:anchor distT="0" distB="0" distL="114300" distR="114300" simplePos="0" relativeHeight="251700224" behindDoc="0" locked="0" layoutInCell="1" allowOverlap="1" wp14:anchorId="39CBBE87" wp14:editId="58590783">
          <wp:simplePos x="0" y="0"/>
          <wp:positionH relativeFrom="column">
            <wp:posOffset>13970</wp:posOffset>
          </wp:positionH>
          <wp:positionV relativeFrom="page">
            <wp:posOffset>3947160</wp:posOffset>
          </wp:positionV>
          <wp:extent cx="6118860" cy="3352800"/>
          <wp:effectExtent l="0" t="0" r="0" b="0"/>
          <wp:wrapNone/>
          <wp:docPr id="444" name="Grafik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51020_075923.jpg"/>
                  <pic:cNvPicPr/>
                </pic:nvPicPr>
                <pic:blipFill rotWithShape="1">
                  <a:blip r:embed="rId1">
                    <a:extLst>
                      <a:ext uri="{28A0092B-C50C-407E-A947-70E740481C1C}">
                        <a14:useLocalDpi xmlns:a14="http://schemas.microsoft.com/office/drawing/2010/main" val="0"/>
                      </a:ext>
                    </a:extLst>
                  </a:blip>
                  <a:srcRect t="-630" b="-38"/>
                  <a:stretch/>
                </pic:blipFill>
                <pic:spPr bwMode="auto">
                  <a:xfrm>
                    <a:off x="0" y="0"/>
                    <a:ext cx="6118860" cy="3352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917D6">
      <w:rPr>
        <w:lang w:eastAsia="uk-UA"/>
      </w:rPr>
      <w:drawing>
        <wp:anchor distT="0" distB="0" distL="114300" distR="114300" simplePos="0" relativeHeight="251698176" behindDoc="0" locked="0" layoutInCell="1" allowOverlap="1" wp14:anchorId="6A82133D" wp14:editId="1B290585">
          <wp:simplePos x="0" y="0"/>
          <wp:positionH relativeFrom="column">
            <wp:posOffset>1367790</wp:posOffset>
          </wp:positionH>
          <wp:positionV relativeFrom="page">
            <wp:posOffset>714375</wp:posOffset>
          </wp:positionV>
          <wp:extent cx="1689735" cy="611505"/>
          <wp:effectExtent l="0" t="0" r="5715" b="0"/>
          <wp:wrapNone/>
          <wp:docPr id="445" name="Grafik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51020_075923.jpg"/>
                  <pic:cNvPicPr/>
                </pic:nvPicPr>
                <pic:blipFill>
                  <a:blip r:embed="rId2">
                    <a:extLst>
                      <a:ext uri="{28A0092B-C50C-407E-A947-70E740481C1C}">
                        <a14:useLocalDpi xmlns:a14="http://schemas.microsoft.com/office/drawing/2010/main" val="0"/>
                      </a:ext>
                    </a:extLst>
                  </a:blip>
                  <a:stretch>
                    <a:fillRect/>
                  </a:stretch>
                </pic:blipFill>
                <pic:spPr bwMode="auto">
                  <a:xfrm>
                    <a:off x="0" y="0"/>
                    <a:ext cx="1689735" cy="6115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917D6">
      <w:rPr>
        <w:lang w:eastAsia="uk-UA"/>
      </w:rPr>
      <w:drawing>
        <wp:anchor distT="0" distB="0" distL="114300" distR="114300" simplePos="0" relativeHeight="251697152" behindDoc="0" locked="0" layoutInCell="1" allowOverlap="1" wp14:anchorId="0FC58A8C" wp14:editId="2860DE6C">
          <wp:simplePos x="0" y="0"/>
          <wp:positionH relativeFrom="column">
            <wp:posOffset>39370</wp:posOffset>
          </wp:positionH>
          <wp:positionV relativeFrom="page">
            <wp:posOffset>716280</wp:posOffset>
          </wp:positionV>
          <wp:extent cx="1102995" cy="611505"/>
          <wp:effectExtent l="0" t="0" r="1905" b="0"/>
          <wp:wrapNone/>
          <wp:docPr id="446" name="Grafik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51020_075923.jpg"/>
                  <pic:cNvPicPr/>
                </pic:nvPicPr>
                <pic:blipFill>
                  <a:blip r:embed="rId3">
                    <a:extLst>
                      <a:ext uri="{28A0092B-C50C-407E-A947-70E740481C1C}">
                        <a14:useLocalDpi xmlns:a14="http://schemas.microsoft.com/office/drawing/2010/main" val="0"/>
                      </a:ext>
                    </a:extLst>
                  </a:blip>
                  <a:stretch>
                    <a:fillRect/>
                  </a:stretch>
                </pic:blipFill>
                <pic:spPr bwMode="auto">
                  <a:xfrm>
                    <a:off x="0" y="0"/>
                    <a:ext cx="1102995" cy="6115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6342" w:rsidRPr="0052305F" w:rsidRDefault="00586342" w:rsidP="0098666A">
    <w:pPr>
      <w:pStyle w:val="af"/>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6342" w:rsidRPr="00BE680F" w:rsidRDefault="00586342" w:rsidP="00A25DAB">
    <w:pPr>
      <w:pStyle w:val="af"/>
      <w:pBdr>
        <w:bottom w:val="single" w:sz="8" w:space="1" w:color="AADC14" w:themeColor="accent2"/>
      </w:pBdr>
      <w:ind w:right="-2"/>
      <w:jc w:val="left"/>
    </w:pPr>
    <w:r w:rsidRPr="00BE680F">
      <w:rPr>
        <w:lang w:eastAsia="uk-UA"/>
      </w:rPr>
      <w:drawing>
        <wp:anchor distT="0" distB="0" distL="114300" distR="114300" simplePos="0" relativeHeight="251660288" behindDoc="1" locked="0" layoutInCell="1" allowOverlap="1" wp14:anchorId="714D6F6D" wp14:editId="42B8A235">
          <wp:simplePos x="0" y="0"/>
          <wp:positionH relativeFrom="column">
            <wp:posOffset>5374014</wp:posOffset>
          </wp:positionH>
          <wp:positionV relativeFrom="paragraph">
            <wp:posOffset>37118</wp:posOffset>
          </wp:positionV>
          <wp:extent cx="720000" cy="179208"/>
          <wp:effectExtent l="0" t="0" r="4445" b="0"/>
          <wp:wrapTight wrapText="bothSides">
            <wp:wrapPolygon edited="0">
              <wp:start x="0" y="0"/>
              <wp:lineTo x="0" y="18383"/>
              <wp:lineTo x="21162" y="18383"/>
              <wp:lineTo x="21162" y="0"/>
              <wp:lineTo x="0" y="0"/>
            </wp:wrapPolygon>
          </wp:wrapTight>
          <wp:docPr id="5" name="Imag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EZ_ENVIRONNEM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0000" cy="179208"/>
                  </a:xfrm>
                  <a:prstGeom prst="rect">
                    <a:avLst/>
                  </a:prstGeom>
                </pic:spPr>
              </pic:pic>
            </a:graphicData>
          </a:graphic>
          <wp14:sizeRelH relativeFrom="margin">
            <wp14:pctWidth>0</wp14:pctWidth>
          </wp14:sizeRelH>
          <wp14:sizeRelV relativeFrom="margin">
            <wp14:pctHeight>0</wp14:pctHeight>
          </wp14:sizeRelV>
        </wp:anchor>
      </w:drawing>
    </w:r>
    <w:sdt>
      <w:sdtPr>
        <w:alias w:val="Назва проекту"/>
        <w:tag w:val="Project Title"/>
        <w:id w:val="201444910"/>
        <w:dataBinding w:prefixMappings="xmlns:ns0='http://purl.org/dc/elements/1.1/' xmlns:ns1='http://schemas.openxmlformats.org/package/2006/metadata/core-properties' " w:xpath="/ns1:coreProperties[1]/ns0:subject[1]" w:storeItemID="{6C3C8BC8-F283-45AE-878A-BAB7291924A1}"/>
        <w:text w:multiLine="1"/>
      </w:sdtPr>
      <w:sdtEndPr/>
      <w:sdtContent>
        <w:r>
          <w:t xml:space="preserve">Технічна підтримка підготовки проектів з водопідготовки в місті Луцьк та Рівне, Україна - </w:t>
        </w:r>
        <w:r>
          <w:br/>
          <w:t>TA 2018219 UA NIF – 2_Vol_052 - м. Луцьк</w:t>
        </w:r>
      </w:sdtContent>
    </w:sdt>
    <w:r>
      <w:t xml:space="preserve"> </w:t>
    </w:r>
    <w:r>
      <w:ptab w:relativeTo="margin" w:alignment="right" w:leader="none"/>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6342" w:rsidRPr="00AB1C0F" w:rsidRDefault="00586342" w:rsidP="00A25DAB">
    <w:pPr>
      <w:pStyle w:val="af"/>
      <w:pBdr>
        <w:bottom w:val="single" w:sz="8" w:space="1" w:color="AADC14" w:themeColor="accent2"/>
      </w:pBdr>
      <w:ind w:right="-2"/>
      <w:jc w:val="left"/>
    </w:pPr>
    <w:r w:rsidRPr="00BE680F">
      <w:rPr>
        <w:lang w:eastAsia="uk-UA"/>
      </w:rPr>
      <w:drawing>
        <wp:anchor distT="0" distB="0" distL="114300" distR="114300" simplePos="0" relativeHeight="251657216" behindDoc="1" locked="0" layoutInCell="1" allowOverlap="1" wp14:anchorId="1AE96EA3" wp14:editId="084621B5">
          <wp:simplePos x="0" y="0"/>
          <wp:positionH relativeFrom="column">
            <wp:posOffset>5374014</wp:posOffset>
          </wp:positionH>
          <wp:positionV relativeFrom="paragraph">
            <wp:posOffset>37118</wp:posOffset>
          </wp:positionV>
          <wp:extent cx="720000" cy="179208"/>
          <wp:effectExtent l="0" t="0" r="4445" b="0"/>
          <wp:wrapTight wrapText="bothSides">
            <wp:wrapPolygon edited="0">
              <wp:start x="0" y="0"/>
              <wp:lineTo x="0" y="18383"/>
              <wp:lineTo x="21162" y="18383"/>
              <wp:lineTo x="21162" y="0"/>
              <wp:lineTo x="0" y="0"/>
            </wp:wrapPolygon>
          </wp:wrapTight>
          <wp:docPr id="6" name="Image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EZ_ENVIRONNEMEN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0000" cy="179208"/>
                  </a:xfrm>
                  <a:prstGeom prst="rect">
                    <a:avLst/>
                  </a:prstGeom>
                </pic:spPr>
              </pic:pic>
            </a:graphicData>
          </a:graphic>
          <wp14:sizeRelH relativeFrom="margin">
            <wp14:pctWidth>0</wp14:pctWidth>
          </wp14:sizeRelH>
          <wp14:sizeRelV relativeFrom="margin">
            <wp14:pctHeight>0</wp14:pctHeight>
          </wp14:sizeRelV>
        </wp:anchor>
      </w:drawing>
    </w:r>
    <w:sdt>
      <w:sdtPr>
        <w:alias w:val="Назва проекту"/>
        <w:tag w:val="Project Title"/>
        <w:id w:val="534158764"/>
        <w:dataBinding w:prefixMappings="xmlns:ns0='http://purl.org/dc/elements/1.1/' xmlns:ns1='http://schemas.openxmlformats.org/package/2006/metadata/core-properties' " w:xpath="/ns1:coreProperties[1]/ns0:subject[1]" w:storeItemID="{6C3C8BC8-F283-45AE-878A-BAB7291924A1}"/>
        <w:text w:multiLine="1"/>
      </w:sdtPr>
      <w:sdtEndPr/>
      <w:sdtContent>
        <w:r>
          <w:t xml:space="preserve">Технічна підтримка підготовки проектів з водопідготовки в місті Луцьк та Рівне, Україна - </w:t>
        </w:r>
        <w:r>
          <w:br/>
          <w:t>TA 2018219 UA NIF – 2_Vol_052 - м. Луцьк</w:t>
        </w:r>
      </w:sdtContent>
    </w:sdt>
    <w:r>
      <w:t xml:space="preserve"> </w:t>
    </w:r>
    <w:r>
      <w:ptab w:relativeTo="margin" w:alignment="right" w:leader="none"/>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6342" w:rsidRPr="006C2303" w:rsidRDefault="00586342" w:rsidP="0098666A">
    <w:pPr>
      <w:pStyle w:val="af"/>
    </w:pPr>
    <w:r>
      <w:rPr>
        <w:lang w:eastAsia="uk-UA"/>
      </w:rPr>
      <w:drawing>
        <wp:anchor distT="0" distB="0" distL="114300" distR="114300" simplePos="0" relativeHeight="251728896" behindDoc="0" locked="0" layoutInCell="1" allowOverlap="1" wp14:anchorId="12A0277D" wp14:editId="2517A0EE">
          <wp:simplePos x="0" y="0"/>
          <wp:positionH relativeFrom="margin">
            <wp:posOffset>2411730</wp:posOffset>
          </wp:positionH>
          <wp:positionV relativeFrom="margin">
            <wp:posOffset>4067810</wp:posOffset>
          </wp:positionV>
          <wp:extent cx="1295400" cy="1295400"/>
          <wp:effectExtent l="0" t="0" r="0" b="0"/>
          <wp:wrapSquare wrapText="bothSides"/>
          <wp:docPr id="15" name="Grafik 15" descr="Bildergebnis für suez">
            <a:hlinkClick xmlns:a="http://schemas.openxmlformats.org/drawingml/2006/main" r:id="rId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Bildergebnis für suez">
                    <a:hlinkClick r:id="rId1" tgtFrame="&quot;_blank&quot;"/>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95400"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6342" w:rsidRPr="007559E2" w:rsidRDefault="00586342" w:rsidP="004775EC">
    <w:pPr>
      <w:pStyle w:val="HydrophilStandard"/>
      <w:rPr>
        <w:u w:val="single"/>
      </w:rPr>
    </w:pPr>
    <w:r>
      <w:rPr>
        <w:rFonts w:ascii="Times New Roman" w:eastAsiaTheme="minorHAnsi" w:hAnsi="Times New Roman"/>
        <w:sz w:val="24"/>
        <w:szCs w:val="24"/>
        <w:lang w:eastAsia="uk-UA"/>
      </w:rPr>
      <mc:AlternateContent>
        <mc:Choice Requires="wps">
          <w:drawing>
            <wp:anchor distT="0" distB="0" distL="114300" distR="114300" simplePos="0" relativeHeight="251672576" behindDoc="0" locked="0" layoutInCell="1" allowOverlap="1" wp14:anchorId="16859EFC" wp14:editId="1F30D8D4">
              <wp:simplePos x="0" y="0"/>
              <wp:positionH relativeFrom="column">
                <wp:posOffset>-90805</wp:posOffset>
              </wp:positionH>
              <wp:positionV relativeFrom="paragraph">
                <wp:posOffset>-104140</wp:posOffset>
              </wp:positionV>
              <wp:extent cx="5039995" cy="431800"/>
              <wp:effectExtent l="0" t="0" r="0" b="6350"/>
              <wp:wrapNone/>
              <wp:docPr id="11" name="Textfeld 11"/>
              <wp:cNvGraphicFramePr/>
              <a:graphic xmlns:a="http://schemas.openxmlformats.org/drawingml/2006/main">
                <a:graphicData uri="http://schemas.microsoft.com/office/word/2010/wordprocessingShape">
                  <wps:wsp>
                    <wps:cNvSpPr txBox="1"/>
                    <wps:spPr>
                      <a:xfrm>
                        <a:off x="0" y="0"/>
                        <a:ext cx="5039995" cy="431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86342" w:rsidRPr="00B553DD" w:rsidRDefault="000718A2" w:rsidP="004775EC">
                          <w:pPr>
                            <w:pStyle w:val="HydrophilStandard"/>
                          </w:pPr>
                          <w:sdt>
                            <w:sdtPr>
                              <w:alias w:val="Назва проекту"/>
                              <w:tag w:val="Project Title"/>
                              <w:id w:val="-851801035"/>
                              <w:dataBinding w:prefixMappings="xmlns:ns0='http://purl.org/dc/elements/1.1/' xmlns:ns1='http://schemas.openxmlformats.org/package/2006/metadata/core-properties' " w:xpath="/ns1:coreProperties[1]/ns0:subject[1]" w:storeItemID="{6C3C8BC8-F283-45AE-878A-BAB7291924A1}"/>
                              <w:text w:multiLine="1"/>
                            </w:sdtPr>
                            <w:sdtEndPr/>
                            <w:sdtContent>
                              <w:r w:rsidR="00586342">
                                <w:t xml:space="preserve">Технічна підтримка підготовки проектів з водопідготовки в місті Луцьк та Рівне, Україна - </w:t>
                              </w:r>
                              <w:r w:rsidR="00586342">
                                <w:br/>
                                <w:t>TA 2018219 UA NIF – 2_Vol_052 - м. Луцьк</w:t>
                              </w:r>
                            </w:sdtContent>
                          </w:sdt>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859EFC" id="_x0000_t202" coordsize="21600,21600" o:spt="202" path="m,l,21600r21600,l21600,xe">
              <v:stroke joinstyle="miter"/>
              <v:path gradientshapeok="t" o:connecttype="rect"/>
            </v:shapetype>
            <v:shape id="Textfeld 11" o:spid="_x0000_s1032" type="#_x0000_t202" style="position:absolute;left:0;text-align:left;margin-left:-7.15pt;margin-top:-8.2pt;width:396.85pt;height:3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" filled="f" stroked="f" strokeweight=".5pt">
              <v:textbox>
                <w:txbxContent>
                  <w:p w:rsidR="00586342" w:rsidRPr="00B553DD" w:rsidRDefault="000718A2" w:rsidP="004775EC">
                    <w:pPr>
                      <w:pStyle w:val="HydrophilStandard"/>
                    </w:pPr>
                    <w:sdt>
                      <w:sdtPr>
                        <w:alias w:val="Назва проекту"/>
                        <w:tag w:val="Project Title"/>
                        <w:id w:val="-851801035"/>
                        <w:dataBinding w:prefixMappings="xmlns:ns0='http://purl.org/dc/elements/1.1/' xmlns:ns1='http://schemas.openxmlformats.org/package/2006/metadata/core-properties' " w:xpath="/ns1:coreProperties[1]/ns0:subject[1]" w:storeItemID="{6C3C8BC8-F283-45AE-878A-BAB7291924A1}"/>
                        <w:text w:multiLine="1"/>
                      </w:sdtPr>
                      <w:sdtEndPr/>
                      <w:sdtContent>
                        <w:r w:rsidR="00586342">
                          <w:t xml:space="preserve">Технічна підтримка підготовки проектів з водопідготовки в місті Луцьк та Рівне, Україна - </w:t>
                        </w:r>
                        <w:r w:rsidR="00586342">
                          <w:br/>
                          <w:t>TA 2018219 UA NIF – 2_Vol_052 - м. Луцьк</w:t>
                        </w:r>
                      </w:sdtContent>
                    </w:sdt>
                  </w:p>
                </w:txbxContent>
              </v:textbox>
            </v:shape>
          </w:pict>
        </mc:Fallback>
      </mc:AlternateContent>
    </w:r>
    <w:r>
      <w:t>hydrophil</w:t>
    </w:r>
  </w:p>
  <w:p w:rsidR="00586342" w:rsidRPr="00143221" w:rsidRDefault="000718A2" w:rsidP="00143221">
    <w:pPr>
      <w:pBdr>
        <w:bottom w:val="single" w:sz="4" w:space="1" w:color="auto"/>
      </w:pBdr>
      <w:tabs>
        <w:tab w:val="left" w:pos="1950"/>
        <w:tab w:val="left" w:pos="2655"/>
      </w:tabs>
      <w:jc w:val="right"/>
      <w:rPr>
        <w:sz w:val="18"/>
        <w:szCs w:val="18"/>
      </w:rPr>
    </w:pPr>
    <w:sdt>
      <w:sdtPr>
        <w:rPr>
          <w:sz w:val="18"/>
          <w:szCs w:val="18"/>
        </w:rPr>
        <w:alias w:val="Дата подання"/>
        <w:tag w:val=""/>
        <w:id w:val="-303471708"/>
        <w:dataBinding w:prefixMappings="xmlns:ns0='http://schemas.microsoft.com/office/2006/coverPageProps' " w:xpath="/ns0:CoverPageProperties[1]/ns0:PublishDate[1]" w:storeItemID="{55AF091B-3C7A-41E3-B477-F2FDAA23CFDA}"/>
        <w:date w:fullDate="2020-06-23T00:00:00Z">
          <w:dateFormat w:val="dd.MM.yyyy"/>
          <w:lid w:val="uk-UA"/>
          <w:storeMappedDataAs w:val="dateTime"/>
          <w:calendar w:val="gregorian"/>
        </w:date>
      </w:sdtPr>
      <w:sdtEndPr/>
      <w:sdtContent>
        <w:r w:rsidR="00586342">
          <w:t>23.06.2020</w:t>
        </w:r>
      </w:sdtContent>
    </w:sdt>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6342" w:rsidRPr="006C2303" w:rsidRDefault="00586342" w:rsidP="0098666A">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26pt;height:167.25pt" o:bullet="t">
        <v:imagedata r:id="rId1" o:title="Bullet für Word@1x"/>
      </v:shape>
    </w:pict>
  </w:numPicBullet>
  <w:abstractNum w:abstractNumId="0" w15:restartNumberingAfterBreak="0">
    <w:nsid w:val="86D8BCF7"/>
    <w:multiLevelType w:val="hybridMultilevel"/>
    <w:tmpl w:val="FC3A683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7C"/>
    <w:multiLevelType w:val="singleLevel"/>
    <w:tmpl w:val="330E0734"/>
    <w:lvl w:ilvl="0">
      <w:start w:val="1"/>
      <w:numFmt w:val="decimal"/>
      <w:pStyle w:val="5"/>
      <w:lvlText w:val="%1."/>
      <w:lvlJc w:val="left"/>
      <w:pPr>
        <w:tabs>
          <w:tab w:val="num" w:pos="1492"/>
        </w:tabs>
        <w:ind w:left="1492" w:hanging="360"/>
      </w:pPr>
    </w:lvl>
  </w:abstractNum>
  <w:abstractNum w:abstractNumId="2" w15:restartNumberingAfterBreak="0">
    <w:nsid w:val="FFFFFF7D"/>
    <w:multiLevelType w:val="singleLevel"/>
    <w:tmpl w:val="FF20228E"/>
    <w:lvl w:ilvl="0">
      <w:start w:val="1"/>
      <w:numFmt w:val="decimal"/>
      <w:pStyle w:val="4"/>
      <w:lvlText w:val="%1."/>
      <w:lvlJc w:val="left"/>
      <w:pPr>
        <w:ind w:left="720" w:hanging="360"/>
      </w:pPr>
    </w:lvl>
  </w:abstractNum>
  <w:abstractNum w:abstractNumId="3" w15:restartNumberingAfterBreak="0">
    <w:nsid w:val="FFFFFF7E"/>
    <w:multiLevelType w:val="singleLevel"/>
    <w:tmpl w:val="31A6F382"/>
    <w:lvl w:ilvl="0">
      <w:start w:val="1"/>
      <w:numFmt w:val="decimal"/>
      <w:pStyle w:val="3"/>
      <w:lvlText w:val="%1."/>
      <w:lvlJc w:val="left"/>
      <w:pPr>
        <w:ind w:left="720" w:hanging="360"/>
      </w:pPr>
    </w:lvl>
  </w:abstractNum>
  <w:abstractNum w:abstractNumId="4" w15:restartNumberingAfterBreak="0">
    <w:nsid w:val="FFFFFF7F"/>
    <w:multiLevelType w:val="singleLevel"/>
    <w:tmpl w:val="0C07000F"/>
    <w:lvl w:ilvl="0">
      <w:start w:val="1"/>
      <w:numFmt w:val="decimal"/>
      <w:lvlText w:val="%1."/>
      <w:lvlJc w:val="left"/>
      <w:pPr>
        <w:ind w:left="643" w:hanging="360"/>
      </w:pPr>
    </w:lvl>
  </w:abstractNum>
  <w:abstractNum w:abstractNumId="5" w15:restartNumberingAfterBreak="0">
    <w:nsid w:val="04986F30"/>
    <w:multiLevelType w:val="multilevel"/>
    <w:tmpl w:val="BB229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82A7101"/>
    <w:multiLevelType w:val="hybridMultilevel"/>
    <w:tmpl w:val="EBBE5E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9AC2F9A"/>
    <w:multiLevelType w:val="hybridMultilevel"/>
    <w:tmpl w:val="B8309C5E"/>
    <w:lvl w:ilvl="0" w:tplc="08090001">
      <w:start w:val="1"/>
      <w:numFmt w:val="bullet"/>
      <w:lvlText w:val=""/>
      <w:lvlJc w:val="left"/>
      <w:pPr>
        <w:ind w:left="720" w:hanging="360"/>
      </w:pPr>
      <w:rPr>
        <w:rFonts w:ascii="Symbol" w:hAnsi="Symbol" w:hint="default"/>
      </w:rPr>
    </w:lvl>
    <w:lvl w:ilvl="1" w:tplc="32B6BB08">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AC045E"/>
    <w:multiLevelType w:val="hybridMultilevel"/>
    <w:tmpl w:val="5128E93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177F1CC4"/>
    <w:multiLevelType w:val="multilevel"/>
    <w:tmpl w:val="59A81C16"/>
    <w:lvl w:ilvl="0">
      <w:start w:val="1"/>
      <w:numFmt w:val="bullet"/>
      <w:lvlText w:val=""/>
      <w:lvlPicBulletId w:val="0"/>
      <w:lvlJc w:val="left"/>
      <w:pPr>
        <w:ind w:left="360" w:hanging="360"/>
      </w:pPr>
      <w:rPr>
        <w:rFonts w:ascii="Symbol" w:hAnsi="Symbol" w:hint="default"/>
        <w:color w:val="auto"/>
      </w:rPr>
    </w:lvl>
    <w:lvl w:ilvl="1">
      <w:start w:val="1"/>
      <w:numFmt w:val="bullet"/>
      <w:lvlText w:val="-"/>
      <w:lvlJc w:val="left"/>
      <w:pPr>
        <w:ind w:left="720" w:hanging="360"/>
      </w:pPr>
      <w:rPr>
        <w:rFonts w:ascii="Times New Roman" w:hAnsi="Times New Roman" w:cs="Times New Roman" w:hint="default"/>
        <w:color w:val="FF6D2D"/>
      </w:rPr>
    </w:lvl>
    <w:lvl w:ilvl="2">
      <w:start w:val="1"/>
      <w:numFmt w:val="bullet"/>
      <w:lvlText w:val=""/>
      <w:lvlJc w:val="left"/>
      <w:pPr>
        <w:ind w:left="1080" w:hanging="360"/>
      </w:pPr>
      <w:rPr>
        <w:rFonts w:ascii="Symbol" w:hAnsi="Symbol" w:hint="default"/>
      </w:rPr>
    </w:lvl>
    <w:lvl w:ilvl="3">
      <w:start w:val="1"/>
      <w:numFmt w:val="bullet"/>
      <w:lvlText w:val="o"/>
      <w:lvlJc w:val="left"/>
      <w:pPr>
        <w:ind w:left="1440" w:hanging="360"/>
      </w:pPr>
      <w:rPr>
        <w:rFonts w:ascii="Courier New" w:hAnsi="Courier New" w:cs="Courier New" w:hint="default"/>
      </w:rPr>
    </w:lvl>
    <w:lvl w:ilvl="4">
      <w:start w:val="1"/>
      <w:numFmt w:val="bullet"/>
      <w:lvlText w:val=""/>
      <w:lvlJc w:val="left"/>
      <w:pPr>
        <w:ind w:left="1800" w:hanging="360"/>
      </w:pPr>
      <w:rPr>
        <w:rFonts w:ascii="Wingdings" w:hAnsi="Wingdings" w:hint="default"/>
      </w:rPr>
    </w:lvl>
    <w:lvl w:ilvl="5">
      <w:start w:val="1"/>
      <w:numFmt w:val="bullet"/>
      <w:pStyle w:val="40"/>
      <w:lvlText w:val=""/>
      <w:lvlJc w:val="left"/>
      <w:pPr>
        <w:ind w:left="2160" w:hanging="360"/>
      </w:pPr>
      <w:rPr>
        <w:rFonts w:ascii="Wingdings" w:hAnsi="Wingdings" w:hint="default"/>
      </w:rPr>
    </w:lvl>
    <w:lvl w:ilvl="6">
      <w:start w:val="1"/>
      <w:numFmt w:val="bullet"/>
      <w:pStyle w:val="50"/>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15:restartNumberingAfterBreak="0">
    <w:nsid w:val="18081AF7"/>
    <w:multiLevelType w:val="hybridMultilevel"/>
    <w:tmpl w:val="C9E26CC0"/>
    <w:lvl w:ilvl="0" w:tplc="F7A4FC04">
      <w:numFmt w:val="bullet"/>
      <w:lvlText w:val="•"/>
      <w:lvlJc w:val="left"/>
      <w:pPr>
        <w:ind w:left="1070" w:hanging="71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5A75E6"/>
    <w:multiLevelType w:val="hybridMultilevel"/>
    <w:tmpl w:val="ABBE3E2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1AD2153D"/>
    <w:multiLevelType w:val="hybridMultilevel"/>
    <w:tmpl w:val="198204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1CD1431D"/>
    <w:multiLevelType w:val="hybridMultilevel"/>
    <w:tmpl w:val="CEE4AA38"/>
    <w:lvl w:ilvl="0" w:tplc="F7A4FC04">
      <w:numFmt w:val="bullet"/>
      <w:lvlText w:val="•"/>
      <w:lvlJc w:val="left"/>
      <w:pPr>
        <w:ind w:left="1070" w:hanging="71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E316D90"/>
    <w:multiLevelType w:val="multilevel"/>
    <w:tmpl w:val="12C0BA3C"/>
    <w:styleLink w:val="FormatvorlageNummerierteListeTextkrperCalibri105PtLinks0"/>
    <w:lvl w:ilvl="0">
      <w:start w:val="1"/>
      <w:numFmt w:val="decimal"/>
      <w:lvlText w:val="%1."/>
      <w:lvlJc w:val="left"/>
      <w:pPr>
        <w:tabs>
          <w:tab w:val="num" w:pos="643"/>
        </w:tabs>
        <w:ind w:left="643" w:hanging="360"/>
      </w:pPr>
      <w:rPr>
        <w:sz w:val="21"/>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17966C1"/>
    <w:multiLevelType w:val="hybridMultilevel"/>
    <w:tmpl w:val="A412F736"/>
    <w:lvl w:ilvl="0" w:tplc="AF329C3E">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276F7A15"/>
    <w:multiLevelType w:val="hybridMultilevel"/>
    <w:tmpl w:val="C1EE3C52"/>
    <w:lvl w:ilvl="0" w:tplc="2D32202C">
      <w:start w:val="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29F97D55"/>
    <w:multiLevelType w:val="multilevel"/>
    <w:tmpl w:val="C13220D8"/>
    <w:lvl w:ilvl="0">
      <w:start w:val="1"/>
      <w:numFmt w:val="none"/>
      <w:lvlText w:val="1"/>
      <w:lvlJc w:val="left"/>
      <w:pPr>
        <w:ind w:left="360" w:hanging="360"/>
      </w:pPr>
      <w:rPr>
        <w:rFonts w:hint="default"/>
      </w:rPr>
    </w:lvl>
    <w:lvl w:ilvl="1">
      <w:start w:val="1"/>
      <w:numFmt w:val="none"/>
      <w:lvlText w:val="1"/>
      <w:lvlJc w:val="left"/>
      <w:pPr>
        <w:ind w:left="720" w:hanging="360"/>
      </w:pPr>
      <w:rPr>
        <w:rFonts w:hint="default"/>
      </w:rPr>
    </w:lvl>
    <w:lvl w:ilvl="2">
      <w:start w:val="1"/>
      <w:numFmt w:val="decimal"/>
      <w:lvlText w:val="%3"/>
      <w:lvlJc w:val="left"/>
      <w:pPr>
        <w:ind w:left="1080" w:hanging="360"/>
      </w:pPr>
      <w:rPr>
        <w:rFonts w:hint="default"/>
      </w:rPr>
    </w:lvl>
    <w:lvl w:ilvl="3">
      <w:start w:val="1"/>
      <w:numFmt w:val="none"/>
      <w:lvlText w:val="1"/>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CEB6AC6"/>
    <w:multiLevelType w:val="hybridMultilevel"/>
    <w:tmpl w:val="DCA67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EF4111A"/>
    <w:multiLevelType w:val="hybridMultilevel"/>
    <w:tmpl w:val="795E71F0"/>
    <w:lvl w:ilvl="0" w:tplc="A12CAF08">
      <w:numFmt w:val="bullet"/>
      <w:lvlText w:val="•"/>
      <w:lvlJc w:val="left"/>
      <w:pPr>
        <w:ind w:left="1070" w:hanging="71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F020AC7"/>
    <w:multiLevelType w:val="multilevel"/>
    <w:tmpl w:val="4C1098DC"/>
    <w:lvl w:ilvl="0">
      <w:start w:val="1"/>
      <w:numFmt w:val="bullet"/>
      <w:lvlText w:val=""/>
      <w:lvlJc w:val="left"/>
      <w:pPr>
        <w:ind w:left="360" w:hanging="360"/>
      </w:pPr>
      <w:rPr>
        <w:rFonts w:ascii="Symbol" w:hAnsi="Symbol" w:hint="default"/>
        <w:color w:val="auto"/>
        <w:u w:color="AADC14" w:themeColor="text1"/>
      </w:rPr>
    </w:lvl>
    <w:lvl w:ilvl="1">
      <w:start w:val="1"/>
      <w:numFmt w:val="bullet"/>
      <w:lvlText w:val="-"/>
      <w:lvlJc w:val="left"/>
      <w:pPr>
        <w:ind w:left="720" w:hanging="360"/>
      </w:pPr>
      <w:rPr>
        <w:rFonts w:ascii="Times New Roman" w:hAnsi="Times New Roman" w:cs="Times New Roman" w:hint="default"/>
        <w:color w:val="FF6D2D"/>
      </w:rPr>
    </w:lvl>
    <w:lvl w:ilvl="2">
      <w:start w:val="1"/>
      <w:numFmt w:val="bullet"/>
      <w:pStyle w:val="a"/>
      <w:lvlText w:val=""/>
      <w:lvlJc w:val="left"/>
      <w:pPr>
        <w:ind w:left="1080" w:hanging="360"/>
      </w:pPr>
      <w:rPr>
        <w:rFonts w:ascii="Symbol" w:hAnsi="Symbol" w:hint="default"/>
      </w:rPr>
    </w:lvl>
    <w:lvl w:ilvl="3">
      <w:start w:val="1"/>
      <w:numFmt w:val="bullet"/>
      <w:lvlText w:val="o"/>
      <w:lvlJc w:val="left"/>
      <w:pPr>
        <w:ind w:left="1440" w:hanging="360"/>
      </w:pPr>
      <w:rPr>
        <w:rFonts w:ascii="Courier New" w:hAnsi="Courier New" w:cs="Courier New"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15:restartNumberingAfterBreak="0">
    <w:nsid w:val="31375928"/>
    <w:multiLevelType w:val="hybridMultilevel"/>
    <w:tmpl w:val="396C3418"/>
    <w:lvl w:ilvl="0" w:tplc="08090001">
      <w:start w:val="1"/>
      <w:numFmt w:val="bullet"/>
      <w:lvlText w:val=""/>
      <w:lvlJc w:val="left"/>
      <w:pPr>
        <w:ind w:left="888" w:hanging="360"/>
      </w:pPr>
      <w:rPr>
        <w:rFonts w:ascii="Symbol" w:hAnsi="Symbol" w:hint="default"/>
      </w:rPr>
    </w:lvl>
    <w:lvl w:ilvl="1" w:tplc="08090003" w:tentative="1">
      <w:start w:val="1"/>
      <w:numFmt w:val="bullet"/>
      <w:lvlText w:val="o"/>
      <w:lvlJc w:val="left"/>
      <w:pPr>
        <w:ind w:left="1608" w:hanging="360"/>
      </w:pPr>
      <w:rPr>
        <w:rFonts w:ascii="Courier New" w:hAnsi="Courier New" w:cs="Courier New" w:hint="default"/>
      </w:rPr>
    </w:lvl>
    <w:lvl w:ilvl="2" w:tplc="08090005" w:tentative="1">
      <w:start w:val="1"/>
      <w:numFmt w:val="bullet"/>
      <w:lvlText w:val=""/>
      <w:lvlJc w:val="left"/>
      <w:pPr>
        <w:ind w:left="2328" w:hanging="360"/>
      </w:pPr>
      <w:rPr>
        <w:rFonts w:ascii="Wingdings" w:hAnsi="Wingdings" w:hint="default"/>
      </w:rPr>
    </w:lvl>
    <w:lvl w:ilvl="3" w:tplc="08090001" w:tentative="1">
      <w:start w:val="1"/>
      <w:numFmt w:val="bullet"/>
      <w:lvlText w:val=""/>
      <w:lvlJc w:val="left"/>
      <w:pPr>
        <w:ind w:left="3048" w:hanging="360"/>
      </w:pPr>
      <w:rPr>
        <w:rFonts w:ascii="Symbol" w:hAnsi="Symbol" w:hint="default"/>
      </w:rPr>
    </w:lvl>
    <w:lvl w:ilvl="4" w:tplc="08090003" w:tentative="1">
      <w:start w:val="1"/>
      <w:numFmt w:val="bullet"/>
      <w:lvlText w:val="o"/>
      <w:lvlJc w:val="left"/>
      <w:pPr>
        <w:ind w:left="3768" w:hanging="360"/>
      </w:pPr>
      <w:rPr>
        <w:rFonts w:ascii="Courier New" w:hAnsi="Courier New" w:cs="Courier New" w:hint="default"/>
      </w:rPr>
    </w:lvl>
    <w:lvl w:ilvl="5" w:tplc="08090005" w:tentative="1">
      <w:start w:val="1"/>
      <w:numFmt w:val="bullet"/>
      <w:lvlText w:val=""/>
      <w:lvlJc w:val="left"/>
      <w:pPr>
        <w:ind w:left="4488" w:hanging="360"/>
      </w:pPr>
      <w:rPr>
        <w:rFonts w:ascii="Wingdings" w:hAnsi="Wingdings" w:hint="default"/>
      </w:rPr>
    </w:lvl>
    <w:lvl w:ilvl="6" w:tplc="08090001" w:tentative="1">
      <w:start w:val="1"/>
      <w:numFmt w:val="bullet"/>
      <w:lvlText w:val=""/>
      <w:lvlJc w:val="left"/>
      <w:pPr>
        <w:ind w:left="5208" w:hanging="360"/>
      </w:pPr>
      <w:rPr>
        <w:rFonts w:ascii="Symbol" w:hAnsi="Symbol" w:hint="default"/>
      </w:rPr>
    </w:lvl>
    <w:lvl w:ilvl="7" w:tplc="08090003" w:tentative="1">
      <w:start w:val="1"/>
      <w:numFmt w:val="bullet"/>
      <w:lvlText w:val="o"/>
      <w:lvlJc w:val="left"/>
      <w:pPr>
        <w:ind w:left="5928" w:hanging="360"/>
      </w:pPr>
      <w:rPr>
        <w:rFonts w:ascii="Courier New" w:hAnsi="Courier New" w:cs="Courier New" w:hint="default"/>
      </w:rPr>
    </w:lvl>
    <w:lvl w:ilvl="8" w:tplc="08090005" w:tentative="1">
      <w:start w:val="1"/>
      <w:numFmt w:val="bullet"/>
      <w:lvlText w:val=""/>
      <w:lvlJc w:val="left"/>
      <w:pPr>
        <w:ind w:left="6648" w:hanging="360"/>
      </w:pPr>
      <w:rPr>
        <w:rFonts w:ascii="Wingdings" w:hAnsi="Wingdings" w:hint="default"/>
      </w:rPr>
    </w:lvl>
  </w:abstractNum>
  <w:abstractNum w:abstractNumId="22" w15:restartNumberingAfterBreak="0">
    <w:nsid w:val="3282715D"/>
    <w:multiLevelType w:val="multilevel"/>
    <w:tmpl w:val="080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0"/>
      <w:lvlText w:val="%1.%2.%3"/>
      <w:lvlJc w:val="left"/>
      <w:pPr>
        <w:ind w:left="720" w:hanging="720"/>
      </w:pPr>
    </w:lvl>
    <w:lvl w:ilvl="3">
      <w:start w:val="1"/>
      <w:numFmt w:val="decimal"/>
      <w:pStyle w:val="41"/>
      <w:lvlText w:val="%1.%2.%3.%4"/>
      <w:lvlJc w:val="left"/>
      <w:pPr>
        <w:ind w:left="864" w:hanging="864"/>
      </w:pPr>
    </w:lvl>
    <w:lvl w:ilvl="4">
      <w:start w:val="1"/>
      <w:numFmt w:val="decimal"/>
      <w:pStyle w:val="51"/>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23" w15:restartNumberingAfterBreak="0">
    <w:nsid w:val="376A1336"/>
    <w:multiLevelType w:val="hybridMultilevel"/>
    <w:tmpl w:val="0FA697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8915095"/>
    <w:multiLevelType w:val="multilevel"/>
    <w:tmpl w:val="688C3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8EF5820"/>
    <w:multiLevelType w:val="multilevel"/>
    <w:tmpl w:val="93DE57B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color w:val="auto"/>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1134"/>
        </w:tabs>
        <w:ind w:left="1134" w:hanging="1134"/>
      </w:pPr>
      <w:rPr>
        <w:rFonts w:hint="default"/>
      </w:rPr>
    </w:lvl>
    <w:lvl w:ilvl="6">
      <w:start w:val="1"/>
      <w:numFmt w:val="decimal"/>
      <w:lvlText w:val="%1.%2.%3.%4.%5.%6.%7"/>
      <w:lvlJc w:val="left"/>
      <w:pPr>
        <w:tabs>
          <w:tab w:val="num" w:pos="1134"/>
        </w:tabs>
        <w:ind w:left="1134" w:hanging="1134"/>
      </w:pPr>
      <w:rPr>
        <w:rFonts w:hint="default"/>
      </w:rPr>
    </w:lvl>
    <w:lvl w:ilvl="7">
      <w:start w:val="1"/>
      <w:numFmt w:val="decimal"/>
      <w:lvlText w:val="%1.%2.%3.%4.%5.%6.%7.%8"/>
      <w:lvlJc w:val="left"/>
      <w:pPr>
        <w:tabs>
          <w:tab w:val="num" w:pos="1134"/>
        </w:tabs>
        <w:ind w:left="1134" w:hanging="1134"/>
      </w:pPr>
      <w:rPr>
        <w:rFonts w:hint="default"/>
      </w:rPr>
    </w:lvl>
    <w:lvl w:ilvl="8">
      <w:start w:val="1"/>
      <w:numFmt w:val="decimal"/>
      <w:lvlText w:val="%1.%2.%3.%4.%5.%6.%7.%8.%9"/>
      <w:lvlJc w:val="left"/>
      <w:pPr>
        <w:tabs>
          <w:tab w:val="num" w:pos="1134"/>
        </w:tabs>
        <w:ind w:left="1134" w:hanging="1134"/>
      </w:pPr>
      <w:rPr>
        <w:rFonts w:hint="default"/>
      </w:rPr>
    </w:lvl>
  </w:abstractNum>
  <w:abstractNum w:abstractNumId="26" w15:restartNumberingAfterBreak="0">
    <w:nsid w:val="391C2414"/>
    <w:multiLevelType w:val="hybridMultilevel"/>
    <w:tmpl w:val="B0DEDF16"/>
    <w:lvl w:ilvl="0" w:tplc="F7A4FC04">
      <w:numFmt w:val="bullet"/>
      <w:lvlText w:val="•"/>
      <w:lvlJc w:val="left"/>
      <w:pPr>
        <w:ind w:left="1070" w:hanging="71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AF20C7D"/>
    <w:multiLevelType w:val="hybridMultilevel"/>
    <w:tmpl w:val="A2646BB6"/>
    <w:lvl w:ilvl="0" w:tplc="F7A4FC04">
      <w:numFmt w:val="bullet"/>
      <w:lvlText w:val="•"/>
      <w:lvlJc w:val="left"/>
      <w:pPr>
        <w:ind w:left="1070" w:hanging="71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CF70564"/>
    <w:multiLevelType w:val="hybridMultilevel"/>
    <w:tmpl w:val="F03CC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53F38BD"/>
    <w:multiLevelType w:val="hybridMultilevel"/>
    <w:tmpl w:val="C31A75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737589D"/>
    <w:multiLevelType w:val="hybridMultilevel"/>
    <w:tmpl w:val="70E69718"/>
    <w:lvl w:ilvl="0" w:tplc="F7A4FC04">
      <w:numFmt w:val="bullet"/>
      <w:lvlText w:val="•"/>
      <w:lvlJc w:val="left"/>
      <w:pPr>
        <w:ind w:left="1070" w:hanging="71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7420586"/>
    <w:multiLevelType w:val="hybridMultilevel"/>
    <w:tmpl w:val="39305DB6"/>
    <w:lvl w:ilvl="0" w:tplc="04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82F63D2"/>
    <w:multiLevelType w:val="hybridMultilevel"/>
    <w:tmpl w:val="73EC8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B3C73E6"/>
    <w:multiLevelType w:val="hybridMultilevel"/>
    <w:tmpl w:val="37B2F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1B30162"/>
    <w:multiLevelType w:val="multilevel"/>
    <w:tmpl w:val="7D6ADEDA"/>
    <w:lvl w:ilvl="0">
      <w:start w:val="1"/>
      <w:numFmt w:val="decimal"/>
      <w:lvlText w:val="%1."/>
      <w:lvlJc w:val="left"/>
      <w:pPr>
        <w:ind w:left="720" w:hanging="360"/>
      </w:pPr>
      <w:rPr>
        <w:rFonts w:hint="default"/>
      </w:rPr>
    </w:lvl>
    <w:lvl w:ilvl="1">
      <w:start w:val="1"/>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51B676D3"/>
    <w:multiLevelType w:val="hybridMultilevel"/>
    <w:tmpl w:val="99DAB45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6" w15:restartNumberingAfterBreak="0">
    <w:nsid w:val="52891FB4"/>
    <w:multiLevelType w:val="hybridMultilevel"/>
    <w:tmpl w:val="01045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47C642A"/>
    <w:multiLevelType w:val="multilevel"/>
    <w:tmpl w:val="C1EE3C52"/>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15:restartNumberingAfterBreak="0">
    <w:nsid w:val="5A175A99"/>
    <w:multiLevelType w:val="hybridMultilevel"/>
    <w:tmpl w:val="EF38F5E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9" w15:restartNumberingAfterBreak="0">
    <w:nsid w:val="5B227684"/>
    <w:multiLevelType w:val="hybridMultilevel"/>
    <w:tmpl w:val="100E3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B813566"/>
    <w:multiLevelType w:val="hybridMultilevel"/>
    <w:tmpl w:val="AAECC942"/>
    <w:lvl w:ilvl="0" w:tplc="F7A4FC04">
      <w:numFmt w:val="bullet"/>
      <w:lvlText w:val="•"/>
      <w:lvlJc w:val="left"/>
      <w:pPr>
        <w:ind w:left="1070" w:hanging="71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1943049"/>
    <w:multiLevelType w:val="multilevel"/>
    <w:tmpl w:val="BEB6000E"/>
    <w:lvl w:ilvl="0">
      <w:start w:val="1"/>
      <w:numFmt w:val="bullet"/>
      <w:lvlText w:val=""/>
      <w:lvlPicBulletId w:val="0"/>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cs="Courier New" w:hint="default"/>
        <w:color w:val="FF6D2D"/>
      </w:rPr>
    </w:lvl>
    <w:lvl w:ilvl="2">
      <w:start w:val="1"/>
      <w:numFmt w:val="bullet"/>
      <w:lvlText w:val=""/>
      <w:lvlJc w:val="left"/>
      <w:pPr>
        <w:ind w:left="1080" w:hanging="360"/>
      </w:pPr>
      <w:rPr>
        <w:rFonts w:ascii="Symbol" w:hAnsi="Symbol" w:hint="default"/>
      </w:rPr>
    </w:lvl>
    <w:lvl w:ilvl="3">
      <w:start w:val="1"/>
      <w:numFmt w:val="bullet"/>
      <w:pStyle w:val="20"/>
      <w:lvlText w:val="o"/>
      <w:lvlJc w:val="left"/>
      <w:pPr>
        <w:ind w:left="1440" w:hanging="360"/>
      </w:pPr>
      <w:rPr>
        <w:rFonts w:ascii="Courier New" w:hAnsi="Courier New" w:cs="Courier New"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2" w15:restartNumberingAfterBreak="0">
    <w:nsid w:val="69F703D6"/>
    <w:multiLevelType w:val="hybridMultilevel"/>
    <w:tmpl w:val="ADF6397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3" w15:restartNumberingAfterBreak="0">
    <w:nsid w:val="6B1B2D56"/>
    <w:multiLevelType w:val="hybridMultilevel"/>
    <w:tmpl w:val="E4EA6676"/>
    <w:lvl w:ilvl="0" w:tplc="0422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15:restartNumberingAfterBreak="0">
    <w:nsid w:val="6CB358A8"/>
    <w:multiLevelType w:val="multilevel"/>
    <w:tmpl w:val="5B82F842"/>
    <w:lvl w:ilvl="0">
      <w:start w:val="1"/>
      <w:numFmt w:val="bullet"/>
      <w:lvlText w:val=""/>
      <w:lvlPicBulletId w:val="0"/>
      <w:lvlJc w:val="left"/>
      <w:pPr>
        <w:ind w:left="360" w:hanging="360"/>
      </w:pPr>
      <w:rPr>
        <w:rFonts w:ascii="Symbol" w:hAnsi="Symbol" w:hint="default"/>
        <w:color w:val="auto"/>
      </w:rPr>
    </w:lvl>
    <w:lvl w:ilvl="1">
      <w:start w:val="1"/>
      <w:numFmt w:val="bullet"/>
      <w:lvlText w:val="-"/>
      <w:lvlJc w:val="left"/>
      <w:pPr>
        <w:ind w:left="720" w:hanging="360"/>
      </w:pPr>
      <w:rPr>
        <w:rFonts w:ascii="Times New Roman" w:hAnsi="Times New Roman" w:cs="Times New Roman" w:hint="default"/>
        <w:color w:val="FF6D2D"/>
      </w:rPr>
    </w:lvl>
    <w:lvl w:ilvl="2">
      <w:start w:val="1"/>
      <w:numFmt w:val="bullet"/>
      <w:lvlText w:val=""/>
      <w:lvlJc w:val="left"/>
      <w:pPr>
        <w:ind w:left="1080" w:hanging="360"/>
      </w:pPr>
      <w:rPr>
        <w:rFonts w:ascii="Symbol" w:hAnsi="Symbol" w:hint="default"/>
      </w:rPr>
    </w:lvl>
    <w:lvl w:ilvl="3">
      <w:start w:val="1"/>
      <w:numFmt w:val="bullet"/>
      <w:lvlText w:val="o"/>
      <w:lvlJc w:val="left"/>
      <w:pPr>
        <w:ind w:left="1440" w:hanging="360"/>
      </w:pPr>
      <w:rPr>
        <w:rFonts w:ascii="Courier New" w:hAnsi="Courier New" w:cs="Courier New" w:hint="default"/>
      </w:rPr>
    </w:lvl>
    <w:lvl w:ilvl="4">
      <w:start w:val="1"/>
      <w:numFmt w:val="bullet"/>
      <w:pStyle w:val="31"/>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5" w15:restartNumberingAfterBreak="0">
    <w:nsid w:val="78D25947"/>
    <w:multiLevelType w:val="hybridMultilevel"/>
    <w:tmpl w:val="7E0ACF6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6" w15:restartNumberingAfterBreak="0">
    <w:nsid w:val="793A03A0"/>
    <w:multiLevelType w:val="multilevel"/>
    <w:tmpl w:val="6BD07862"/>
    <w:lvl w:ilvl="0">
      <w:numFmt w:val="decimal"/>
      <w:pStyle w:val="format1"/>
      <w:lvlText w:val="%1."/>
      <w:lvlJc w:val="left"/>
      <w:pPr>
        <w:ind w:left="720" w:hanging="360"/>
      </w:pPr>
      <w:rPr>
        <w:rFonts w:hint="default"/>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7F8B42A2"/>
    <w:multiLevelType w:val="hybridMultilevel"/>
    <w:tmpl w:val="F2D2F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4"/>
  </w:num>
  <w:num w:numId="3">
    <w:abstractNumId w:val="3"/>
  </w:num>
  <w:num w:numId="4">
    <w:abstractNumId w:val="2"/>
  </w:num>
  <w:num w:numId="5">
    <w:abstractNumId w:val="1"/>
  </w:num>
  <w:num w:numId="6">
    <w:abstractNumId w:val="14"/>
  </w:num>
  <w:num w:numId="7">
    <w:abstractNumId w:val="9"/>
  </w:num>
  <w:num w:numId="8">
    <w:abstractNumId w:val="41"/>
  </w:num>
  <w:num w:numId="9">
    <w:abstractNumId w:val="20"/>
  </w:num>
  <w:num w:numId="10">
    <w:abstractNumId w:val="44"/>
  </w:num>
  <w:num w:numId="11">
    <w:abstractNumId w:val="31"/>
  </w:num>
  <w:num w:numId="12">
    <w:abstractNumId w:val="7"/>
  </w:num>
  <w:num w:numId="13">
    <w:abstractNumId w:val="32"/>
  </w:num>
  <w:num w:numId="14">
    <w:abstractNumId w:val="47"/>
  </w:num>
  <w:num w:numId="15">
    <w:abstractNumId w:val="22"/>
  </w:num>
  <w:num w:numId="16">
    <w:abstractNumId w:val="26"/>
  </w:num>
  <w:num w:numId="17">
    <w:abstractNumId w:val="27"/>
  </w:num>
  <w:num w:numId="18">
    <w:abstractNumId w:val="33"/>
  </w:num>
  <w:num w:numId="19">
    <w:abstractNumId w:val="19"/>
  </w:num>
  <w:num w:numId="20">
    <w:abstractNumId w:val="6"/>
  </w:num>
  <w:num w:numId="21">
    <w:abstractNumId w:val="39"/>
  </w:num>
  <w:num w:numId="22">
    <w:abstractNumId w:val="28"/>
  </w:num>
  <w:num w:numId="23">
    <w:abstractNumId w:val="18"/>
  </w:num>
  <w:num w:numId="24">
    <w:abstractNumId w:val="30"/>
  </w:num>
  <w:num w:numId="25">
    <w:abstractNumId w:val="40"/>
  </w:num>
  <w:num w:numId="26">
    <w:abstractNumId w:val="13"/>
  </w:num>
  <w:num w:numId="27">
    <w:abstractNumId w:val="10"/>
  </w:num>
  <w:num w:numId="28">
    <w:abstractNumId w:val="21"/>
  </w:num>
  <w:num w:numId="29">
    <w:abstractNumId w:val="24"/>
  </w:num>
  <w:num w:numId="30">
    <w:abstractNumId w:val="11"/>
  </w:num>
  <w:num w:numId="31">
    <w:abstractNumId w:val="46"/>
  </w:num>
  <w:num w:numId="32">
    <w:abstractNumId w:val="25"/>
  </w:num>
  <w:num w:numId="33">
    <w:abstractNumId w:val="36"/>
  </w:num>
  <w:num w:numId="34">
    <w:abstractNumId w:val="5"/>
  </w:num>
  <w:num w:numId="35">
    <w:abstractNumId w:val="38"/>
  </w:num>
  <w:num w:numId="36">
    <w:abstractNumId w:val="42"/>
  </w:num>
  <w:num w:numId="37">
    <w:abstractNumId w:val="23"/>
  </w:num>
  <w:num w:numId="38">
    <w:abstractNumId w:val="29"/>
  </w:num>
  <w:num w:numId="39">
    <w:abstractNumId w:val="12"/>
  </w:num>
  <w:num w:numId="40">
    <w:abstractNumId w:val="15"/>
  </w:num>
  <w:num w:numId="41">
    <w:abstractNumId w:val="8"/>
  </w:num>
  <w:num w:numId="42">
    <w:abstractNumId w:val="16"/>
  </w:num>
  <w:num w:numId="43">
    <w:abstractNumId w:val="37"/>
  </w:num>
  <w:num w:numId="44">
    <w:abstractNumId w:val="34"/>
  </w:num>
  <w:num w:numId="45">
    <w:abstractNumId w:val="0"/>
  </w:num>
  <w:num w:numId="46">
    <w:abstractNumId w:val="43"/>
  </w:num>
  <w:num w:numId="47">
    <w:abstractNumId w:val="45"/>
  </w:num>
  <w:num w:numId="48">
    <w:abstractNumId w:val="3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activeWritingStyle w:appName="MSWord" w:lang="en-GB" w:vendorID="64" w:dllVersion="0" w:nlCheck="1" w:checkStyle="0"/>
  <w:activeWritingStyle w:appName="MSWord" w:lang="en-US" w:vendorID="64" w:dllVersion="0" w:nlCheck="1" w:checkStyle="0"/>
  <w:activeWritingStyle w:appName="MSWord" w:lang="de-AT" w:vendorID="64" w:dllVersion="0" w:nlCheck="1" w:checkStyle="0"/>
  <w:activeWritingStyle w:appName="MSWord" w:lang="de-DE" w:vendorID="64" w:dllVersion="0" w:nlCheck="1" w:checkStyle="0"/>
  <w:activeWritingStyle w:appName="MSWord" w:lang="fr-FR" w:vendorID="64" w:dllVersion="0" w:nlCheck="1" w:checkStyle="0"/>
  <w:activeWritingStyle w:appName="MSWord" w:lang="en-GB" w:vendorID="64" w:dllVersion="6" w:nlCheck="1" w:checkStyle="1"/>
  <w:activeWritingStyle w:appName="MSWord" w:lang="en-US" w:vendorID="64" w:dllVersion="6" w:nlCheck="1" w:checkStyle="1"/>
  <w:activeWritingStyle w:appName="MSWord" w:lang="de-AT" w:vendorID="64" w:dllVersion="6" w:nlCheck="1" w:checkStyle="1"/>
  <w:activeWritingStyle w:appName="MSWord" w:lang="de-DE" w:vendorID="64" w:dllVersion="6" w:nlCheck="1" w:checkStyle="1"/>
  <w:activeWritingStyle w:appName="MSWord" w:lang="ru-RU" w:vendorID="64" w:dllVersion="6" w:nlCheck="1" w:checkStyle="0"/>
  <w:proofState w:spelling="clean"/>
  <w:stylePaneFormatFilter w:val="3B21" w:allStyles="1" w:customStyles="0" w:latentStyles="0" w:stylesInUse="0" w:headingStyles="1" w:numberingStyles="0" w:tableStyles="0" w:directFormattingOnRuns="1" w:directFormattingOnParagraphs="1" w:directFormattingOnNumbering="0" w:directFormattingOnTables="1" w:clearFormatting="1" w:top3HeadingStyles="1" w:visibleStyles="0" w:alternateStyleNames="0"/>
  <w:stylePaneSortMethod w:val="00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81B"/>
    <w:rsid w:val="00002BA7"/>
    <w:rsid w:val="00003076"/>
    <w:rsid w:val="000064D9"/>
    <w:rsid w:val="00006A20"/>
    <w:rsid w:val="00006FCB"/>
    <w:rsid w:val="00007930"/>
    <w:rsid w:val="00012E22"/>
    <w:rsid w:val="000159BE"/>
    <w:rsid w:val="00021169"/>
    <w:rsid w:val="00021646"/>
    <w:rsid w:val="00022890"/>
    <w:rsid w:val="0003041F"/>
    <w:rsid w:val="0003612E"/>
    <w:rsid w:val="00036C28"/>
    <w:rsid w:val="00037996"/>
    <w:rsid w:val="00041055"/>
    <w:rsid w:val="0004125A"/>
    <w:rsid w:val="00041FF1"/>
    <w:rsid w:val="0004226A"/>
    <w:rsid w:val="00043D62"/>
    <w:rsid w:val="0004615C"/>
    <w:rsid w:val="00046F6F"/>
    <w:rsid w:val="00051961"/>
    <w:rsid w:val="00054A92"/>
    <w:rsid w:val="00056397"/>
    <w:rsid w:val="00057755"/>
    <w:rsid w:val="00063EE0"/>
    <w:rsid w:val="00064262"/>
    <w:rsid w:val="00064509"/>
    <w:rsid w:val="000667F7"/>
    <w:rsid w:val="00066C48"/>
    <w:rsid w:val="0006709B"/>
    <w:rsid w:val="00067808"/>
    <w:rsid w:val="00067BB8"/>
    <w:rsid w:val="000718A2"/>
    <w:rsid w:val="00071E41"/>
    <w:rsid w:val="0007211D"/>
    <w:rsid w:val="0007328A"/>
    <w:rsid w:val="000737E3"/>
    <w:rsid w:val="00075E08"/>
    <w:rsid w:val="00084535"/>
    <w:rsid w:val="00084592"/>
    <w:rsid w:val="00086FC9"/>
    <w:rsid w:val="000870A2"/>
    <w:rsid w:val="00091DAE"/>
    <w:rsid w:val="000926C8"/>
    <w:rsid w:val="00095148"/>
    <w:rsid w:val="00095FDD"/>
    <w:rsid w:val="00096D0A"/>
    <w:rsid w:val="00097BD6"/>
    <w:rsid w:val="000A05AD"/>
    <w:rsid w:val="000A0CE5"/>
    <w:rsid w:val="000A73B3"/>
    <w:rsid w:val="000B0E1F"/>
    <w:rsid w:val="000B105A"/>
    <w:rsid w:val="000B25C5"/>
    <w:rsid w:val="000B34BA"/>
    <w:rsid w:val="000B3C78"/>
    <w:rsid w:val="000B4937"/>
    <w:rsid w:val="000B6109"/>
    <w:rsid w:val="000C04F5"/>
    <w:rsid w:val="000C0A01"/>
    <w:rsid w:val="000C10AF"/>
    <w:rsid w:val="000C1E01"/>
    <w:rsid w:val="000C22F7"/>
    <w:rsid w:val="000C2671"/>
    <w:rsid w:val="000C4C7B"/>
    <w:rsid w:val="000C56BB"/>
    <w:rsid w:val="000C5967"/>
    <w:rsid w:val="000C59F6"/>
    <w:rsid w:val="000C5FFE"/>
    <w:rsid w:val="000D162E"/>
    <w:rsid w:val="000D3678"/>
    <w:rsid w:val="000D6B12"/>
    <w:rsid w:val="000E2862"/>
    <w:rsid w:val="000E3C1C"/>
    <w:rsid w:val="000E55F5"/>
    <w:rsid w:val="000E6654"/>
    <w:rsid w:val="000F1112"/>
    <w:rsid w:val="000F15EC"/>
    <w:rsid w:val="000F2DB7"/>
    <w:rsid w:val="000F3028"/>
    <w:rsid w:val="000F3296"/>
    <w:rsid w:val="000F3C93"/>
    <w:rsid w:val="000F4063"/>
    <w:rsid w:val="000F44C0"/>
    <w:rsid w:val="000F4B29"/>
    <w:rsid w:val="000F7F68"/>
    <w:rsid w:val="00100D3D"/>
    <w:rsid w:val="00100ECC"/>
    <w:rsid w:val="0010289B"/>
    <w:rsid w:val="00102EF9"/>
    <w:rsid w:val="00106704"/>
    <w:rsid w:val="00111C8D"/>
    <w:rsid w:val="0011755D"/>
    <w:rsid w:val="0012071A"/>
    <w:rsid w:val="00121C4A"/>
    <w:rsid w:val="001250F7"/>
    <w:rsid w:val="00126A22"/>
    <w:rsid w:val="001272AB"/>
    <w:rsid w:val="001273D7"/>
    <w:rsid w:val="0012755B"/>
    <w:rsid w:val="001311CD"/>
    <w:rsid w:val="001311DC"/>
    <w:rsid w:val="001324F6"/>
    <w:rsid w:val="0013312B"/>
    <w:rsid w:val="001334AB"/>
    <w:rsid w:val="001339C6"/>
    <w:rsid w:val="00133EFD"/>
    <w:rsid w:val="001346EF"/>
    <w:rsid w:val="00134A03"/>
    <w:rsid w:val="00135FC0"/>
    <w:rsid w:val="00136DD8"/>
    <w:rsid w:val="001422E7"/>
    <w:rsid w:val="00143221"/>
    <w:rsid w:val="00145D31"/>
    <w:rsid w:val="0015021D"/>
    <w:rsid w:val="00155E3C"/>
    <w:rsid w:val="0016051F"/>
    <w:rsid w:val="001611C1"/>
    <w:rsid w:val="001654A1"/>
    <w:rsid w:val="00165A33"/>
    <w:rsid w:val="00166B17"/>
    <w:rsid w:val="0016708B"/>
    <w:rsid w:val="00176B24"/>
    <w:rsid w:val="0018027B"/>
    <w:rsid w:val="00180BB2"/>
    <w:rsid w:val="00180DB6"/>
    <w:rsid w:val="00181BB6"/>
    <w:rsid w:val="001833C7"/>
    <w:rsid w:val="001859EC"/>
    <w:rsid w:val="0018640C"/>
    <w:rsid w:val="00186CB9"/>
    <w:rsid w:val="00190A15"/>
    <w:rsid w:val="00190EB1"/>
    <w:rsid w:val="00192270"/>
    <w:rsid w:val="0019253E"/>
    <w:rsid w:val="0019350B"/>
    <w:rsid w:val="00194027"/>
    <w:rsid w:val="00194714"/>
    <w:rsid w:val="001947A5"/>
    <w:rsid w:val="00196D30"/>
    <w:rsid w:val="00197901"/>
    <w:rsid w:val="001A025F"/>
    <w:rsid w:val="001A08D6"/>
    <w:rsid w:val="001A1EF8"/>
    <w:rsid w:val="001A20A9"/>
    <w:rsid w:val="001A21EA"/>
    <w:rsid w:val="001A3710"/>
    <w:rsid w:val="001A5C21"/>
    <w:rsid w:val="001A659C"/>
    <w:rsid w:val="001B123A"/>
    <w:rsid w:val="001B2DFE"/>
    <w:rsid w:val="001B350A"/>
    <w:rsid w:val="001B5B6D"/>
    <w:rsid w:val="001C025B"/>
    <w:rsid w:val="001C2069"/>
    <w:rsid w:val="001C283A"/>
    <w:rsid w:val="001C4B06"/>
    <w:rsid w:val="001C6880"/>
    <w:rsid w:val="001C7F60"/>
    <w:rsid w:val="001D06C0"/>
    <w:rsid w:val="001D29BE"/>
    <w:rsid w:val="001D64BC"/>
    <w:rsid w:val="001D7919"/>
    <w:rsid w:val="001E0744"/>
    <w:rsid w:val="001E0DA8"/>
    <w:rsid w:val="001E1586"/>
    <w:rsid w:val="001E212A"/>
    <w:rsid w:val="001E3B25"/>
    <w:rsid w:val="001E6627"/>
    <w:rsid w:val="001E78AB"/>
    <w:rsid w:val="001F1079"/>
    <w:rsid w:val="001F215E"/>
    <w:rsid w:val="001F388A"/>
    <w:rsid w:val="001F3ABD"/>
    <w:rsid w:val="001F3D70"/>
    <w:rsid w:val="001F7C1E"/>
    <w:rsid w:val="00200DF4"/>
    <w:rsid w:val="0020210E"/>
    <w:rsid w:val="002024C6"/>
    <w:rsid w:val="002032BC"/>
    <w:rsid w:val="00205192"/>
    <w:rsid w:val="0020618A"/>
    <w:rsid w:val="002069CF"/>
    <w:rsid w:val="002102D5"/>
    <w:rsid w:val="00211CAA"/>
    <w:rsid w:val="00212168"/>
    <w:rsid w:val="00214535"/>
    <w:rsid w:val="0021487D"/>
    <w:rsid w:val="00215D5B"/>
    <w:rsid w:val="00217F9F"/>
    <w:rsid w:val="00217FBC"/>
    <w:rsid w:val="00220680"/>
    <w:rsid w:val="0022217F"/>
    <w:rsid w:val="00222D2F"/>
    <w:rsid w:val="00224623"/>
    <w:rsid w:val="00232143"/>
    <w:rsid w:val="0023380A"/>
    <w:rsid w:val="00236196"/>
    <w:rsid w:val="00236CE8"/>
    <w:rsid w:val="00237921"/>
    <w:rsid w:val="002403B9"/>
    <w:rsid w:val="00241783"/>
    <w:rsid w:val="002426FA"/>
    <w:rsid w:val="00242945"/>
    <w:rsid w:val="0024361D"/>
    <w:rsid w:val="002463CF"/>
    <w:rsid w:val="002474F0"/>
    <w:rsid w:val="00247CB5"/>
    <w:rsid w:val="00251068"/>
    <w:rsid w:val="002524E6"/>
    <w:rsid w:val="00256A80"/>
    <w:rsid w:val="00260FAF"/>
    <w:rsid w:val="00262293"/>
    <w:rsid w:val="002656B7"/>
    <w:rsid w:val="00266A03"/>
    <w:rsid w:val="0027061E"/>
    <w:rsid w:val="002733B9"/>
    <w:rsid w:val="00273532"/>
    <w:rsid w:val="00273633"/>
    <w:rsid w:val="00285056"/>
    <w:rsid w:val="002855E4"/>
    <w:rsid w:val="002875E8"/>
    <w:rsid w:val="00287682"/>
    <w:rsid w:val="00287853"/>
    <w:rsid w:val="00290A1A"/>
    <w:rsid w:val="0029161E"/>
    <w:rsid w:val="002924C3"/>
    <w:rsid w:val="00292DD7"/>
    <w:rsid w:val="00292DE0"/>
    <w:rsid w:val="00295E9D"/>
    <w:rsid w:val="00297253"/>
    <w:rsid w:val="00297F5F"/>
    <w:rsid w:val="002A0B1D"/>
    <w:rsid w:val="002A0E55"/>
    <w:rsid w:val="002A22A8"/>
    <w:rsid w:val="002A2BD9"/>
    <w:rsid w:val="002A5BF5"/>
    <w:rsid w:val="002A6144"/>
    <w:rsid w:val="002A6EDA"/>
    <w:rsid w:val="002A77D8"/>
    <w:rsid w:val="002B47C3"/>
    <w:rsid w:val="002B7C12"/>
    <w:rsid w:val="002C32E4"/>
    <w:rsid w:val="002C4A1F"/>
    <w:rsid w:val="002C59FB"/>
    <w:rsid w:val="002C7F16"/>
    <w:rsid w:val="002D452E"/>
    <w:rsid w:val="002D5602"/>
    <w:rsid w:val="002D7E97"/>
    <w:rsid w:val="002E1120"/>
    <w:rsid w:val="002E13CC"/>
    <w:rsid w:val="002E35F8"/>
    <w:rsid w:val="002E5BBC"/>
    <w:rsid w:val="002E7A0C"/>
    <w:rsid w:val="002F0CFC"/>
    <w:rsid w:val="002F265C"/>
    <w:rsid w:val="002F2C6E"/>
    <w:rsid w:val="00300AF1"/>
    <w:rsid w:val="00307334"/>
    <w:rsid w:val="00312039"/>
    <w:rsid w:val="003129FB"/>
    <w:rsid w:val="00313AB1"/>
    <w:rsid w:val="00315D3A"/>
    <w:rsid w:val="003177C3"/>
    <w:rsid w:val="00320EE8"/>
    <w:rsid w:val="0032192B"/>
    <w:rsid w:val="00322005"/>
    <w:rsid w:val="00323421"/>
    <w:rsid w:val="00323DAA"/>
    <w:rsid w:val="003243BF"/>
    <w:rsid w:val="003274F4"/>
    <w:rsid w:val="00330886"/>
    <w:rsid w:val="0033117B"/>
    <w:rsid w:val="00331785"/>
    <w:rsid w:val="00332E1F"/>
    <w:rsid w:val="00337277"/>
    <w:rsid w:val="00337ACB"/>
    <w:rsid w:val="003403B8"/>
    <w:rsid w:val="00340C8E"/>
    <w:rsid w:val="00344317"/>
    <w:rsid w:val="003452C1"/>
    <w:rsid w:val="003476D7"/>
    <w:rsid w:val="00350CFB"/>
    <w:rsid w:val="00352998"/>
    <w:rsid w:val="003531A3"/>
    <w:rsid w:val="003578B6"/>
    <w:rsid w:val="0036148E"/>
    <w:rsid w:val="0036516E"/>
    <w:rsid w:val="00365225"/>
    <w:rsid w:val="003655D8"/>
    <w:rsid w:val="00366726"/>
    <w:rsid w:val="00366D34"/>
    <w:rsid w:val="0037579A"/>
    <w:rsid w:val="00375FAB"/>
    <w:rsid w:val="003768B2"/>
    <w:rsid w:val="00384F48"/>
    <w:rsid w:val="00385103"/>
    <w:rsid w:val="00387626"/>
    <w:rsid w:val="00395F9D"/>
    <w:rsid w:val="00397C27"/>
    <w:rsid w:val="003A1831"/>
    <w:rsid w:val="003A19EB"/>
    <w:rsid w:val="003A32E1"/>
    <w:rsid w:val="003B2D1B"/>
    <w:rsid w:val="003B30EB"/>
    <w:rsid w:val="003B455B"/>
    <w:rsid w:val="003B4C1B"/>
    <w:rsid w:val="003B4DD2"/>
    <w:rsid w:val="003C0747"/>
    <w:rsid w:val="003C0BDE"/>
    <w:rsid w:val="003C0C20"/>
    <w:rsid w:val="003C2F06"/>
    <w:rsid w:val="003C2F13"/>
    <w:rsid w:val="003C351B"/>
    <w:rsid w:val="003C48CE"/>
    <w:rsid w:val="003C6756"/>
    <w:rsid w:val="003C7971"/>
    <w:rsid w:val="003C7AB1"/>
    <w:rsid w:val="003C7CE5"/>
    <w:rsid w:val="003D1021"/>
    <w:rsid w:val="003D14E1"/>
    <w:rsid w:val="003D303F"/>
    <w:rsid w:val="003D5221"/>
    <w:rsid w:val="003D59C1"/>
    <w:rsid w:val="003D629E"/>
    <w:rsid w:val="003D6D01"/>
    <w:rsid w:val="003D7364"/>
    <w:rsid w:val="003D73DF"/>
    <w:rsid w:val="003E16DB"/>
    <w:rsid w:val="003E1AB6"/>
    <w:rsid w:val="003E2303"/>
    <w:rsid w:val="003E2594"/>
    <w:rsid w:val="003E7FA1"/>
    <w:rsid w:val="003F08E9"/>
    <w:rsid w:val="003F1E6F"/>
    <w:rsid w:val="003F26F4"/>
    <w:rsid w:val="003F479A"/>
    <w:rsid w:val="003F4A08"/>
    <w:rsid w:val="003F7C41"/>
    <w:rsid w:val="00403524"/>
    <w:rsid w:val="00403FFE"/>
    <w:rsid w:val="0041005F"/>
    <w:rsid w:val="0041031B"/>
    <w:rsid w:val="00412935"/>
    <w:rsid w:val="004129C0"/>
    <w:rsid w:val="00412FB4"/>
    <w:rsid w:val="004145F1"/>
    <w:rsid w:val="004153AC"/>
    <w:rsid w:val="00417BE0"/>
    <w:rsid w:val="0042201A"/>
    <w:rsid w:val="00424F41"/>
    <w:rsid w:val="0042520B"/>
    <w:rsid w:val="00427F57"/>
    <w:rsid w:val="00430346"/>
    <w:rsid w:val="0043118E"/>
    <w:rsid w:val="00434C62"/>
    <w:rsid w:val="0044004D"/>
    <w:rsid w:val="00440F20"/>
    <w:rsid w:val="00441709"/>
    <w:rsid w:val="00441791"/>
    <w:rsid w:val="00444C37"/>
    <w:rsid w:val="00447B9C"/>
    <w:rsid w:val="00447FD8"/>
    <w:rsid w:val="004576DA"/>
    <w:rsid w:val="00457F83"/>
    <w:rsid w:val="004603CA"/>
    <w:rsid w:val="00461A63"/>
    <w:rsid w:val="00462EA0"/>
    <w:rsid w:val="00465502"/>
    <w:rsid w:val="00466F28"/>
    <w:rsid w:val="00467FCD"/>
    <w:rsid w:val="00470DE1"/>
    <w:rsid w:val="004713D4"/>
    <w:rsid w:val="004717D0"/>
    <w:rsid w:val="004760AB"/>
    <w:rsid w:val="004775EC"/>
    <w:rsid w:val="00483A5F"/>
    <w:rsid w:val="004852B0"/>
    <w:rsid w:val="00486B02"/>
    <w:rsid w:val="00487439"/>
    <w:rsid w:val="0049042D"/>
    <w:rsid w:val="0049061D"/>
    <w:rsid w:val="00491C2C"/>
    <w:rsid w:val="00493096"/>
    <w:rsid w:val="0049634B"/>
    <w:rsid w:val="004974D5"/>
    <w:rsid w:val="00497A25"/>
    <w:rsid w:val="00497EAB"/>
    <w:rsid w:val="004A0B06"/>
    <w:rsid w:val="004A1E34"/>
    <w:rsid w:val="004A713E"/>
    <w:rsid w:val="004B1861"/>
    <w:rsid w:val="004B2549"/>
    <w:rsid w:val="004B473F"/>
    <w:rsid w:val="004B5016"/>
    <w:rsid w:val="004B5DAF"/>
    <w:rsid w:val="004B6FF0"/>
    <w:rsid w:val="004B7730"/>
    <w:rsid w:val="004C041D"/>
    <w:rsid w:val="004C5192"/>
    <w:rsid w:val="004C68A8"/>
    <w:rsid w:val="004C6A01"/>
    <w:rsid w:val="004D0364"/>
    <w:rsid w:val="004D1933"/>
    <w:rsid w:val="004D1A6B"/>
    <w:rsid w:val="004D5D47"/>
    <w:rsid w:val="004D6858"/>
    <w:rsid w:val="004D7A69"/>
    <w:rsid w:val="004E250E"/>
    <w:rsid w:val="004E5CDE"/>
    <w:rsid w:val="004E675C"/>
    <w:rsid w:val="004E7072"/>
    <w:rsid w:val="004F1918"/>
    <w:rsid w:val="004F28C4"/>
    <w:rsid w:val="004F2D2C"/>
    <w:rsid w:val="004F610B"/>
    <w:rsid w:val="004F7412"/>
    <w:rsid w:val="005018B1"/>
    <w:rsid w:val="00506AD8"/>
    <w:rsid w:val="00511478"/>
    <w:rsid w:val="00511D2E"/>
    <w:rsid w:val="005132AE"/>
    <w:rsid w:val="00513EBA"/>
    <w:rsid w:val="005147E9"/>
    <w:rsid w:val="00515763"/>
    <w:rsid w:val="00517ED9"/>
    <w:rsid w:val="00520116"/>
    <w:rsid w:val="00521A95"/>
    <w:rsid w:val="0052271A"/>
    <w:rsid w:val="0052305F"/>
    <w:rsid w:val="00523A04"/>
    <w:rsid w:val="00525F31"/>
    <w:rsid w:val="005273E4"/>
    <w:rsid w:val="0053085D"/>
    <w:rsid w:val="005315F9"/>
    <w:rsid w:val="00533B78"/>
    <w:rsid w:val="00533D26"/>
    <w:rsid w:val="0053762F"/>
    <w:rsid w:val="00540170"/>
    <w:rsid w:val="00541C01"/>
    <w:rsid w:val="005424B1"/>
    <w:rsid w:val="005444B2"/>
    <w:rsid w:val="005449B9"/>
    <w:rsid w:val="00545CD5"/>
    <w:rsid w:val="00546794"/>
    <w:rsid w:val="00547ECB"/>
    <w:rsid w:val="005502FA"/>
    <w:rsid w:val="00551EC5"/>
    <w:rsid w:val="005522AE"/>
    <w:rsid w:val="0055398A"/>
    <w:rsid w:val="00554D85"/>
    <w:rsid w:val="00555E74"/>
    <w:rsid w:val="005564DF"/>
    <w:rsid w:val="005629C0"/>
    <w:rsid w:val="00562A00"/>
    <w:rsid w:val="0056394C"/>
    <w:rsid w:val="00571C90"/>
    <w:rsid w:val="00571D1A"/>
    <w:rsid w:val="005735B2"/>
    <w:rsid w:val="00573A8A"/>
    <w:rsid w:val="00574481"/>
    <w:rsid w:val="00574532"/>
    <w:rsid w:val="00574A11"/>
    <w:rsid w:val="005776F5"/>
    <w:rsid w:val="005803F0"/>
    <w:rsid w:val="00580A23"/>
    <w:rsid w:val="005817C6"/>
    <w:rsid w:val="00581D1B"/>
    <w:rsid w:val="00585E83"/>
    <w:rsid w:val="00586342"/>
    <w:rsid w:val="005904FB"/>
    <w:rsid w:val="0059321A"/>
    <w:rsid w:val="00596428"/>
    <w:rsid w:val="0059783C"/>
    <w:rsid w:val="00597F42"/>
    <w:rsid w:val="005A0057"/>
    <w:rsid w:val="005A01F2"/>
    <w:rsid w:val="005A0A41"/>
    <w:rsid w:val="005A4835"/>
    <w:rsid w:val="005B0403"/>
    <w:rsid w:val="005B11CC"/>
    <w:rsid w:val="005B41EE"/>
    <w:rsid w:val="005B4C74"/>
    <w:rsid w:val="005B6688"/>
    <w:rsid w:val="005C001C"/>
    <w:rsid w:val="005C0559"/>
    <w:rsid w:val="005C2A35"/>
    <w:rsid w:val="005C39D0"/>
    <w:rsid w:val="005C424D"/>
    <w:rsid w:val="005C45A9"/>
    <w:rsid w:val="005C62B6"/>
    <w:rsid w:val="005C62E1"/>
    <w:rsid w:val="005C71D6"/>
    <w:rsid w:val="005C7E65"/>
    <w:rsid w:val="005D23DA"/>
    <w:rsid w:val="005D5009"/>
    <w:rsid w:val="005D5514"/>
    <w:rsid w:val="005D697A"/>
    <w:rsid w:val="005D6B96"/>
    <w:rsid w:val="005E083E"/>
    <w:rsid w:val="005E26AE"/>
    <w:rsid w:val="005E4D5C"/>
    <w:rsid w:val="005E57CC"/>
    <w:rsid w:val="005E693D"/>
    <w:rsid w:val="005E74A2"/>
    <w:rsid w:val="005E7B9B"/>
    <w:rsid w:val="005F00A9"/>
    <w:rsid w:val="005F0A54"/>
    <w:rsid w:val="005F2F38"/>
    <w:rsid w:val="005F482F"/>
    <w:rsid w:val="005F5D34"/>
    <w:rsid w:val="005F6021"/>
    <w:rsid w:val="00600770"/>
    <w:rsid w:val="00600838"/>
    <w:rsid w:val="00601B10"/>
    <w:rsid w:val="00602682"/>
    <w:rsid w:val="0060292F"/>
    <w:rsid w:val="00606789"/>
    <w:rsid w:val="00607BA6"/>
    <w:rsid w:val="00612065"/>
    <w:rsid w:val="00614E59"/>
    <w:rsid w:val="00615249"/>
    <w:rsid w:val="006161DA"/>
    <w:rsid w:val="00616261"/>
    <w:rsid w:val="00621CC9"/>
    <w:rsid w:val="006249DF"/>
    <w:rsid w:val="0062536F"/>
    <w:rsid w:val="0062732D"/>
    <w:rsid w:val="00634592"/>
    <w:rsid w:val="00637B33"/>
    <w:rsid w:val="00640543"/>
    <w:rsid w:val="0064079E"/>
    <w:rsid w:val="00641F72"/>
    <w:rsid w:val="0064329D"/>
    <w:rsid w:val="00643C42"/>
    <w:rsid w:val="00645F43"/>
    <w:rsid w:val="00646769"/>
    <w:rsid w:val="00647487"/>
    <w:rsid w:val="006503AB"/>
    <w:rsid w:val="006524FF"/>
    <w:rsid w:val="00652BC8"/>
    <w:rsid w:val="006544EC"/>
    <w:rsid w:val="00654CEB"/>
    <w:rsid w:val="00655C4A"/>
    <w:rsid w:val="00657F36"/>
    <w:rsid w:val="006608FE"/>
    <w:rsid w:val="00662675"/>
    <w:rsid w:val="006627EC"/>
    <w:rsid w:val="006653C4"/>
    <w:rsid w:val="0066638A"/>
    <w:rsid w:val="00666A56"/>
    <w:rsid w:val="00666C15"/>
    <w:rsid w:val="00670328"/>
    <w:rsid w:val="00671AC2"/>
    <w:rsid w:val="006741F9"/>
    <w:rsid w:val="0067499D"/>
    <w:rsid w:val="00674D25"/>
    <w:rsid w:val="00675086"/>
    <w:rsid w:val="00676414"/>
    <w:rsid w:val="00676901"/>
    <w:rsid w:val="0068251D"/>
    <w:rsid w:val="00682A95"/>
    <w:rsid w:val="00684602"/>
    <w:rsid w:val="006855BE"/>
    <w:rsid w:val="00685D3D"/>
    <w:rsid w:val="00686095"/>
    <w:rsid w:val="006914B1"/>
    <w:rsid w:val="00695D0F"/>
    <w:rsid w:val="00695E30"/>
    <w:rsid w:val="00696B4A"/>
    <w:rsid w:val="00697C21"/>
    <w:rsid w:val="006A0AAF"/>
    <w:rsid w:val="006A1288"/>
    <w:rsid w:val="006A2094"/>
    <w:rsid w:val="006A2191"/>
    <w:rsid w:val="006A21D1"/>
    <w:rsid w:val="006A3352"/>
    <w:rsid w:val="006A3740"/>
    <w:rsid w:val="006A414A"/>
    <w:rsid w:val="006B4E58"/>
    <w:rsid w:val="006B755F"/>
    <w:rsid w:val="006C0C43"/>
    <w:rsid w:val="006C0C67"/>
    <w:rsid w:val="006C1529"/>
    <w:rsid w:val="006C1C26"/>
    <w:rsid w:val="006C2303"/>
    <w:rsid w:val="006C27E8"/>
    <w:rsid w:val="006C48F5"/>
    <w:rsid w:val="006C7C8D"/>
    <w:rsid w:val="006D54DD"/>
    <w:rsid w:val="006D6602"/>
    <w:rsid w:val="006D7068"/>
    <w:rsid w:val="006E1006"/>
    <w:rsid w:val="006E1534"/>
    <w:rsid w:val="006E3F0C"/>
    <w:rsid w:val="006E4CA9"/>
    <w:rsid w:val="006E51C8"/>
    <w:rsid w:val="006E72F1"/>
    <w:rsid w:val="006F070F"/>
    <w:rsid w:val="006F1F04"/>
    <w:rsid w:val="006F42BA"/>
    <w:rsid w:val="006F466E"/>
    <w:rsid w:val="006F7BE8"/>
    <w:rsid w:val="006F7D73"/>
    <w:rsid w:val="007014A3"/>
    <w:rsid w:val="00702A5E"/>
    <w:rsid w:val="00705082"/>
    <w:rsid w:val="0070509C"/>
    <w:rsid w:val="00706CCD"/>
    <w:rsid w:val="0070717B"/>
    <w:rsid w:val="007071F3"/>
    <w:rsid w:val="00707D55"/>
    <w:rsid w:val="007108E8"/>
    <w:rsid w:val="00711644"/>
    <w:rsid w:val="00713A66"/>
    <w:rsid w:val="00714413"/>
    <w:rsid w:val="00714CBF"/>
    <w:rsid w:val="0072102E"/>
    <w:rsid w:val="0072112B"/>
    <w:rsid w:val="00721EBD"/>
    <w:rsid w:val="007222E7"/>
    <w:rsid w:val="0072240F"/>
    <w:rsid w:val="00722860"/>
    <w:rsid w:val="00723F9F"/>
    <w:rsid w:val="00724239"/>
    <w:rsid w:val="0073296E"/>
    <w:rsid w:val="00732C47"/>
    <w:rsid w:val="00733C00"/>
    <w:rsid w:val="00734FEA"/>
    <w:rsid w:val="00735979"/>
    <w:rsid w:val="00735E4D"/>
    <w:rsid w:val="00737D93"/>
    <w:rsid w:val="0074001B"/>
    <w:rsid w:val="00740039"/>
    <w:rsid w:val="00747077"/>
    <w:rsid w:val="00747F62"/>
    <w:rsid w:val="00751C28"/>
    <w:rsid w:val="00753D52"/>
    <w:rsid w:val="00754A7B"/>
    <w:rsid w:val="007559E2"/>
    <w:rsid w:val="0075662B"/>
    <w:rsid w:val="007608E2"/>
    <w:rsid w:val="00762AB2"/>
    <w:rsid w:val="00762BF6"/>
    <w:rsid w:val="00763237"/>
    <w:rsid w:val="00763934"/>
    <w:rsid w:val="00772E55"/>
    <w:rsid w:val="00773C58"/>
    <w:rsid w:val="00774CFD"/>
    <w:rsid w:val="00775659"/>
    <w:rsid w:val="007758F4"/>
    <w:rsid w:val="00775C97"/>
    <w:rsid w:val="00780F5C"/>
    <w:rsid w:val="00780F9E"/>
    <w:rsid w:val="0078225B"/>
    <w:rsid w:val="007829F4"/>
    <w:rsid w:val="00784ADE"/>
    <w:rsid w:val="00791F47"/>
    <w:rsid w:val="0079483E"/>
    <w:rsid w:val="0079533B"/>
    <w:rsid w:val="007962E2"/>
    <w:rsid w:val="00797530"/>
    <w:rsid w:val="007A13B4"/>
    <w:rsid w:val="007A3F3E"/>
    <w:rsid w:val="007A5831"/>
    <w:rsid w:val="007A7A2C"/>
    <w:rsid w:val="007B0054"/>
    <w:rsid w:val="007B07D3"/>
    <w:rsid w:val="007B27C1"/>
    <w:rsid w:val="007B2961"/>
    <w:rsid w:val="007B75A0"/>
    <w:rsid w:val="007C18B3"/>
    <w:rsid w:val="007C3F13"/>
    <w:rsid w:val="007C4150"/>
    <w:rsid w:val="007C5EDF"/>
    <w:rsid w:val="007D02E8"/>
    <w:rsid w:val="007D0735"/>
    <w:rsid w:val="007D07AB"/>
    <w:rsid w:val="007D097D"/>
    <w:rsid w:val="007D0B97"/>
    <w:rsid w:val="007D0CF4"/>
    <w:rsid w:val="007D337F"/>
    <w:rsid w:val="007D772C"/>
    <w:rsid w:val="007E006A"/>
    <w:rsid w:val="007E13B5"/>
    <w:rsid w:val="007E17EE"/>
    <w:rsid w:val="007E23CD"/>
    <w:rsid w:val="007E2A4D"/>
    <w:rsid w:val="007E3784"/>
    <w:rsid w:val="007E5A3F"/>
    <w:rsid w:val="007E6314"/>
    <w:rsid w:val="007F0A32"/>
    <w:rsid w:val="007F0CC5"/>
    <w:rsid w:val="007F130E"/>
    <w:rsid w:val="007F1CB2"/>
    <w:rsid w:val="007F437E"/>
    <w:rsid w:val="007F5866"/>
    <w:rsid w:val="007F5F42"/>
    <w:rsid w:val="007F5FBC"/>
    <w:rsid w:val="007F6CD4"/>
    <w:rsid w:val="007F6D92"/>
    <w:rsid w:val="007F6DAC"/>
    <w:rsid w:val="008004EF"/>
    <w:rsid w:val="008008B3"/>
    <w:rsid w:val="00801851"/>
    <w:rsid w:val="00801C21"/>
    <w:rsid w:val="00807641"/>
    <w:rsid w:val="00810694"/>
    <w:rsid w:val="008106E3"/>
    <w:rsid w:val="00811E7E"/>
    <w:rsid w:val="0081310B"/>
    <w:rsid w:val="0081671B"/>
    <w:rsid w:val="00816938"/>
    <w:rsid w:val="00817C91"/>
    <w:rsid w:val="00822399"/>
    <w:rsid w:val="00823B85"/>
    <w:rsid w:val="00823DC4"/>
    <w:rsid w:val="008269E7"/>
    <w:rsid w:val="008314E5"/>
    <w:rsid w:val="00834427"/>
    <w:rsid w:val="00836515"/>
    <w:rsid w:val="0083781B"/>
    <w:rsid w:val="008406CE"/>
    <w:rsid w:val="00840E97"/>
    <w:rsid w:val="00842CBA"/>
    <w:rsid w:val="00844943"/>
    <w:rsid w:val="00844FB8"/>
    <w:rsid w:val="0084526C"/>
    <w:rsid w:val="00846AAB"/>
    <w:rsid w:val="00847676"/>
    <w:rsid w:val="00851BCC"/>
    <w:rsid w:val="00852569"/>
    <w:rsid w:val="008547C1"/>
    <w:rsid w:val="00857E17"/>
    <w:rsid w:val="00862A34"/>
    <w:rsid w:val="00862E51"/>
    <w:rsid w:val="00862ECC"/>
    <w:rsid w:val="00863D93"/>
    <w:rsid w:val="00864F8D"/>
    <w:rsid w:val="008657B7"/>
    <w:rsid w:val="008709D7"/>
    <w:rsid w:val="0087131C"/>
    <w:rsid w:val="008719CD"/>
    <w:rsid w:val="00872F6D"/>
    <w:rsid w:val="0087435C"/>
    <w:rsid w:val="00875321"/>
    <w:rsid w:val="0087603C"/>
    <w:rsid w:val="00877B5D"/>
    <w:rsid w:val="0088053C"/>
    <w:rsid w:val="008819A1"/>
    <w:rsid w:val="00883543"/>
    <w:rsid w:val="00884DFD"/>
    <w:rsid w:val="008911D5"/>
    <w:rsid w:val="0089235C"/>
    <w:rsid w:val="008928BF"/>
    <w:rsid w:val="00893294"/>
    <w:rsid w:val="00894A2E"/>
    <w:rsid w:val="008978D3"/>
    <w:rsid w:val="008A0206"/>
    <w:rsid w:val="008A1014"/>
    <w:rsid w:val="008A32C4"/>
    <w:rsid w:val="008A48F5"/>
    <w:rsid w:val="008A70A1"/>
    <w:rsid w:val="008B2BEF"/>
    <w:rsid w:val="008B3332"/>
    <w:rsid w:val="008B3E63"/>
    <w:rsid w:val="008B445B"/>
    <w:rsid w:val="008B4A03"/>
    <w:rsid w:val="008B5013"/>
    <w:rsid w:val="008C0635"/>
    <w:rsid w:val="008C1EE5"/>
    <w:rsid w:val="008C69D1"/>
    <w:rsid w:val="008C6DC6"/>
    <w:rsid w:val="008C77CD"/>
    <w:rsid w:val="008C78A6"/>
    <w:rsid w:val="008C7D07"/>
    <w:rsid w:val="008D5D8B"/>
    <w:rsid w:val="008D6E83"/>
    <w:rsid w:val="008D7CA0"/>
    <w:rsid w:val="008E170B"/>
    <w:rsid w:val="008E194C"/>
    <w:rsid w:val="008E1F2E"/>
    <w:rsid w:val="008E2C15"/>
    <w:rsid w:val="008E3B04"/>
    <w:rsid w:val="008E47F7"/>
    <w:rsid w:val="008E68CB"/>
    <w:rsid w:val="008F2714"/>
    <w:rsid w:val="008F2907"/>
    <w:rsid w:val="008F2A53"/>
    <w:rsid w:val="008F3788"/>
    <w:rsid w:val="008F5C12"/>
    <w:rsid w:val="008F7430"/>
    <w:rsid w:val="008F7FCB"/>
    <w:rsid w:val="00902300"/>
    <w:rsid w:val="00902DD9"/>
    <w:rsid w:val="00903B73"/>
    <w:rsid w:val="00903DA6"/>
    <w:rsid w:val="0090402B"/>
    <w:rsid w:val="00904D6B"/>
    <w:rsid w:val="00906EFD"/>
    <w:rsid w:val="00906FFD"/>
    <w:rsid w:val="00911732"/>
    <w:rsid w:val="00911C2A"/>
    <w:rsid w:val="009122CE"/>
    <w:rsid w:val="00913515"/>
    <w:rsid w:val="00916891"/>
    <w:rsid w:val="0091725A"/>
    <w:rsid w:val="00921F73"/>
    <w:rsid w:val="00924058"/>
    <w:rsid w:val="00926D7E"/>
    <w:rsid w:val="009275EF"/>
    <w:rsid w:val="00931909"/>
    <w:rsid w:val="00931D84"/>
    <w:rsid w:val="00932B43"/>
    <w:rsid w:val="00934395"/>
    <w:rsid w:val="00934F4C"/>
    <w:rsid w:val="009358A1"/>
    <w:rsid w:val="00936750"/>
    <w:rsid w:val="00936BD7"/>
    <w:rsid w:val="009374C3"/>
    <w:rsid w:val="00940911"/>
    <w:rsid w:val="009421D8"/>
    <w:rsid w:val="00943E2D"/>
    <w:rsid w:val="00944570"/>
    <w:rsid w:val="009454F1"/>
    <w:rsid w:val="0094555B"/>
    <w:rsid w:val="00946DD3"/>
    <w:rsid w:val="0095040E"/>
    <w:rsid w:val="0095235A"/>
    <w:rsid w:val="009531EF"/>
    <w:rsid w:val="00953F9D"/>
    <w:rsid w:val="00954154"/>
    <w:rsid w:val="009562FF"/>
    <w:rsid w:val="00956645"/>
    <w:rsid w:val="009575CD"/>
    <w:rsid w:val="009577DA"/>
    <w:rsid w:val="00957BE6"/>
    <w:rsid w:val="00960202"/>
    <w:rsid w:val="00961F1E"/>
    <w:rsid w:val="00964AC6"/>
    <w:rsid w:val="00965BBB"/>
    <w:rsid w:val="009670D0"/>
    <w:rsid w:val="00967C4C"/>
    <w:rsid w:val="00967FA9"/>
    <w:rsid w:val="00971F30"/>
    <w:rsid w:val="009729A3"/>
    <w:rsid w:val="009749E4"/>
    <w:rsid w:val="00977099"/>
    <w:rsid w:val="00982C2C"/>
    <w:rsid w:val="009830CA"/>
    <w:rsid w:val="00983B58"/>
    <w:rsid w:val="00984487"/>
    <w:rsid w:val="009865E5"/>
    <w:rsid w:val="0098666A"/>
    <w:rsid w:val="0099019F"/>
    <w:rsid w:val="00991E25"/>
    <w:rsid w:val="009923EF"/>
    <w:rsid w:val="009937F1"/>
    <w:rsid w:val="00995488"/>
    <w:rsid w:val="009974FC"/>
    <w:rsid w:val="009979AD"/>
    <w:rsid w:val="009A1834"/>
    <w:rsid w:val="009B531E"/>
    <w:rsid w:val="009B655E"/>
    <w:rsid w:val="009B7492"/>
    <w:rsid w:val="009B756E"/>
    <w:rsid w:val="009B758C"/>
    <w:rsid w:val="009C6272"/>
    <w:rsid w:val="009D1220"/>
    <w:rsid w:val="009D1D5D"/>
    <w:rsid w:val="009D20DB"/>
    <w:rsid w:val="009D28A3"/>
    <w:rsid w:val="009D34F0"/>
    <w:rsid w:val="009E0B3F"/>
    <w:rsid w:val="009E102A"/>
    <w:rsid w:val="009E1580"/>
    <w:rsid w:val="009E2F38"/>
    <w:rsid w:val="009E35F8"/>
    <w:rsid w:val="009E423C"/>
    <w:rsid w:val="009E5751"/>
    <w:rsid w:val="009E6256"/>
    <w:rsid w:val="009E6A3E"/>
    <w:rsid w:val="009E7A19"/>
    <w:rsid w:val="009F1679"/>
    <w:rsid w:val="009F1C1D"/>
    <w:rsid w:val="009F1C72"/>
    <w:rsid w:val="009F28A7"/>
    <w:rsid w:val="009F2B42"/>
    <w:rsid w:val="009F352B"/>
    <w:rsid w:val="009F6A0E"/>
    <w:rsid w:val="00A00537"/>
    <w:rsid w:val="00A025CF"/>
    <w:rsid w:val="00A0415D"/>
    <w:rsid w:val="00A04794"/>
    <w:rsid w:val="00A04892"/>
    <w:rsid w:val="00A06EDC"/>
    <w:rsid w:val="00A071DC"/>
    <w:rsid w:val="00A156C2"/>
    <w:rsid w:val="00A16906"/>
    <w:rsid w:val="00A21E0F"/>
    <w:rsid w:val="00A2202A"/>
    <w:rsid w:val="00A230A2"/>
    <w:rsid w:val="00A24BC4"/>
    <w:rsid w:val="00A25DAB"/>
    <w:rsid w:val="00A26ADB"/>
    <w:rsid w:val="00A321C5"/>
    <w:rsid w:val="00A35193"/>
    <w:rsid w:val="00A3673C"/>
    <w:rsid w:val="00A40525"/>
    <w:rsid w:val="00A44467"/>
    <w:rsid w:val="00A4522D"/>
    <w:rsid w:val="00A5125D"/>
    <w:rsid w:val="00A52E92"/>
    <w:rsid w:val="00A53645"/>
    <w:rsid w:val="00A56DDC"/>
    <w:rsid w:val="00A6069A"/>
    <w:rsid w:val="00A61104"/>
    <w:rsid w:val="00A6136D"/>
    <w:rsid w:val="00A620AF"/>
    <w:rsid w:val="00A62E2F"/>
    <w:rsid w:val="00A62EF0"/>
    <w:rsid w:val="00A6598B"/>
    <w:rsid w:val="00A65BB9"/>
    <w:rsid w:val="00A67DC6"/>
    <w:rsid w:val="00A71D0F"/>
    <w:rsid w:val="00A753D3"/>
    <w:rsid w:val="00A772F8"/>
    <w:rsid w:val="00A80AE3"/>
    <w:rsid w:val="00A8108F"/>
    <w:rsid w:val="00A812DF"/>
    <w:rsid w:val="00A821FD"/>
    <w:rsid w:val="00A822FB"/>
    <w:rsid w:val="00A82EF6"/>
    <w:rsid w:val="00A839BC"/>
    <w:rsid w:val="00A91B15"/>
    <w:rsid w:val="00A91FDE"/>
    <w:rsid w:val="00A94949"/>
    <w:rsid w:val="00A95752"/>
    <w:rsid w:val="00A95888"/>
    <w:rsid w:val="00A95953"/>
    <w:rsid w:val="00A978C9"/>
    <w:rsid w:val="00AA072B"/>
    <w:rsid w:val="00AA0994"/>
    <w:rsid w:val="00AA123E"/>
    <w:rsid w:val="00AA33A2"/>
    <w:rsid w:val="00AA4B89"/>
    <w:rsid w:val="00AB1BA3"/>
    <w:rsid w:val="00AB1C0F"/>
    <w:rsid w:val="00AB1C74"/>
    <w:rsid w:val="00AB3089"/>
    <w:rsid w:val="00AB38D0"/>
    <w:rsid w:val="00AC0434"/>
    <w:rsid w:val="00AC1D26"/>
    <w:rsid w:val="00AC220D"/>
    <w:rsid w:val="00AC72FF"/>
    <w:rsid w:val="00AD0723"/>
    <w:rsid w:val="00AD0A3C"/>
    <w:rsid w:val="00AD4E08"/>
    <w:rsid w:val="00AD5014"/>
    <w:rsid w:val="00AD60E4"/>
    <w:rsid w:val="00AD6458"/>
    <w:rsid w:val="00AD77CF"/>
    <w:rsid w:val="00AE3989"/>
    <w:rsid w:val="00AE42D6"/>
    <w:rsid w:val="00AE561B"/>
    <w:rsid w:val="00AE68B7"/>
    <w:rsid w:val="00AE7975"/>
    <w:rsid w:val="00AF1062"/>
    <w:rsid w:val="00AF1ACB"/>
    <w:rsid w:val="00AF3C67"/>
    <w:rsid w:val="00AF4144"/>
    <w:rsid w:val="00AF5388"/>
    <w:rsid w:val="00AF6393"/>
    <w:rsid w:val="00B01077"/>
    <w:rsid w:val="00B023E7"/>
    <w:rsid w:val="00B02519"/>
    <w:rsid w:val="00B05DDA"/>
    <w:rsid w:val="00B0751C"/>
    <w:rsid w:val="00B12000"/>
    <w:rsid w:val="00B12047"/>
    <w:rsid w:val="00B130E0"/>
    <w:rsid w:val="00B146C8"/>
    <w:rsid w:val="00B14FB6"/>
    <w:rsid w:val="00B15005"/>
    <w:rsid w:val="00B157C4"/>
    <w:rsid w:val="00B15FF4"/>
    <w:rsid w:val="00B17924"/>
    <w:rsid w:val="00B17A36"/>
    <w:rsid w:val="00B20512"/>
    <w:rsid w:val="00B2124D"/>
    <w:rsid w:val="00B23A64"/>
    <w:rsid w:val="00B23C5E"/>
    <w:rsid w:val="00B3040D"/>
    <w:rsid w:val="00B30AB0"/>
    <w:rsid w:val="00B30BA2"/>
    <w:rsid w:val="00B30BE9"/>
    <w:rsid w:val="00B327D2"/>
    <w:rsid w:val="00B33606"/>
    <w:rsid w:val="00B33F7A"/>
    <w:rsid w:val="00B347FA"/>
    <w:rsid w:val="00B351E8"/>
    <w:rsid w:val="00B41682"/>
    <w:rsid w:val="00B45437"/>
    <w:rsid w:val="00B46723"/>
    <w:rsid w:val="00B47C77"/>
    <w:rsid w:val="00B553DD"/>
    <w:rsid w:val="00B55C12"/>
    <w:rsid w:val="00B55CE3"/>
    <w:rsid w:val="00B56964"/>
    <w:rsid w:val="00B60FF1"/>
    <w:rsid w:val="00B6106F"/>
    <w:rsid w:val="00B6177F"/>
    <w:rsid w:val="00B62356"/>
    <w:rsid w:val="00B624F4"/>
    <w:rsid w:val="00B62880"/>
    <w:rsid w:val="00B63045"/>
    <w:rsid w:val="00B649AD"/>
    <w:rsid w:val="00B655FF"/>
    <w:rsid w:val="00B65C95"/>
    <w:rsid w:val="00B672DE"/>
    <w:rsid w:val="00B725E9"/>
    <w:rsid w:val="00B72931"/>
    <w:rsid w:val="00B72EBD"/>
    <w:rsid w:val="00B736BA"/>
    <w:rsid w:val="00B744B8"/>
    <w:rsid w:val="00B7785B"/>
    <w:rsid w:val="00B77877"/>
    <w:rsid w:val="00B82DE5"/>
    <w:rsid w:val="00B8673A"/>
    <w:rsid w:val="00B86A9B"/>
    <w:rsid w:val="00B92BBB"/>
    <w:rsid w:val="00B9357A"/>
    <w:rsid w:val="00B93CA7"/>
    <w:rsid w:val="00B94FD4"/>
    <w:rsid w:val="00B970C0"/>
    <w:rsid w:val="00B975FE"/>
    <w:rsid w:val="00B97E90"/>
    <w:rsid w:val="00BA1D7B"/>
    <w:rsid w:val="00BA39D0"/>
    <w:rsid w:val="00BA3CDE"/>
    <w:rsid w:val="00BA57EA"/>
    <w:rsid w:val="00BA78E2"/>
    <w:rsid w:val="00BB37BD"/>
    <w:rsid w:val="00BB6C73"/>
    <w:rsid w:val="00BB798E"/>
    <w:rsid w:val="00BC034C"/>
    <w:rsid w:val="00BC0799"/>
    <w:rsid w:val="00BC23C5"/>
    <w:rsid w:val="00BC2510"/>
    <w:rsid w:val="00BC2D8C"/>
    <w:rsid w:val="00BC4ED3"/>
    <w:rsid w:val="00BC52CC"/>
    <w:rsid w:val="00BC684E"/>
    <w:rsid w:val="00BC7401"/>
    <w:rsid w:val="00BD0002"/>
    <w:rsid w:val="00BD1247"/>
    <w:rsid w:val="00BD2ABE"/>
    <w:rsid w:val="00BD4E03"/>
    <w:rsid w:val="00BD516F"/>
    <w:rsid w:val="00BD6AD1"/>
    <w:rsid w:val="00BD72B5"/>
    <w:rsid w:val="00BE0212"/>
    <w:rsid w:val="00BE34BA"/>
    <w:rsid w:val="00BE3E0B"/>
    <w:rsid w:val="00BE5A6F"/>
    <w:rsid w:val="00BE680F"/>
    <w:rsid w:val="00BF09CF"/>
    <w:rsid w:val="00BF0A55"/>
    <w:rsid w:val="00BF0CCC"/>
    <w:rsid w:val="00BF4AE7"/>
    <w:rsid w:val="00BF4AF6"/>
    <w:rsid w:val="00BF6421"/>
    <w:rsid w:val="00BF6B44"/>
    <w:rsid w:val="00BF76D7"/>
    <w:rsid w:val="00BF7B6E"/>
    <w:rsid w:val="00C00512"/>
    <w:rsid w:val="00C01B24"/>
    <w:rsid w:val="00C02FA3"/>
    <w:rsid w:val="00C0346D"/>
    <w:rsid w:val="00C04A4E"/>
    <w:rsid w:val="00C04B21"/>
    <w:rsid w:val="00C078B1"/>
    <w:rsid w:val="00C14EEF"/>
    <w:rsid w:val="00C15FB2"/>
    <w:rsid w:val="00C161D3"/>
    <w:rsid w:val="00C23D9F"/>
    <w:rsid w:val="00C253E0"/>
    <w:rsid w:val="00C25457"/>
    <w:rsid w:val="00C2598D"/>
    <w:rsid w:val="00C26760"/>
    <w:rsid w:val="00C26B25"/>
    <w:rsid w:val="00C27140"/>
    <w:rsid w:val="00C27266"/>
    <w:rsid w:val="00C27B36"/>
    <w:rsid w:val="00C27F6A"/>
    <w:rsid w:val="00C32B74"/>
    <w:rsid w:val="00C34259"/>
    <w:rsid w:val="00C3495A"/>
    <w:rsid w:val="00C3549A"/>
    <w:rsid w:val="00C35548"/>
    <w:rsid w:val="00C35651"/>
    <w:rsid w:val="00C368CE"/>
    <w:rsid w:val="00C36F22"/>
    <w:rsid w:val="00C40B9D"/>
    <w:rsid w:val="00C444AA"/>
    <w:rsid w:val="00C45C9E"/>
    <w:rsid w:val="00C508E7"/>
    <w:rsid w:val="00C51F04"/>
    <w:rsid w:val="00C52357"/>
    <w:rsid w:val="00C52447"/>
    <w:rsid w:val="00C531E2"/>
    <w:rsid w:val="00C60F58"/>
    <w:rsid w:val="00C63AE9"/>
    <w:rsid w:val="00C708DF"/>
    <w:rsid w:val="00C70A55"/>
    <w:rsid w:val="00C70F5A"/>
    <w:rsid w:val="00C7279E"/>
    <w:rsid w:val="00C72F15"/>
    <w:rsid w:val="00C73D00"/>
    <w:rsid w:val="00C74839"/>
    <w:rsid w:val="00C74AFB"/>
    <w:rsid w:val="00C75CAC"/>
    <w:rsid w:val="00C81881"/>
    <w:rsid w:val="00C819DC"/>
    <w:rsid w:val="00C8203D"/>
    <w:rsid w:val="00C82232"/>
    <w:rsid w:val="00C82B20"/>
    <w:rsid w:val="00C82E24"/>
    <w:rsid w:val="00C830FD"/>
    <w:rsid w:val="00C83551"/>
    <w:rsid w:val="00C849A9"/>
    <w:rsid w:val="00C85475"/>
    <w:rsid w:val="00C86BA1"/>
    <w:rsid w:val="00C86E73"/>
    <w:rsid w:val="00C90C1D"/>
    <w:rsid w:val="00C915F9"/>
    <w:rsid w:val="00C923BB"/>
    <w:rsid w:val="00C96776"/>
    <w:rsid w:val="00C97425"/>
    <w:rsid w:val="00CA09A5"/>
    <w:rsid w:val="00CA22AA"/>
    <w:rsid w:val="00CA715E"/>
    <w:rsid w:val="00CA7262"/>
    <w:rsid w:val="00CA7F5C"/>
    <w:rsid w:val="00CB0224"/>
    <w:rsid w:val="00CB0559"/>
    <w:rsid w:val="00CB158F"/>
    <w:rsid w:val="00CB1B48"/>
    <w:rsid w:val="00CB1BAC"/>
    <w:rsid w:val="00CB446A"/>
    <w:rsid w:val="00CB5E7D"/>
    <w:rsid w:val="00CB6356"/>
    <w:rsid w:val="00CB681D"/>
    <w:rsid w:val="00CC1906"/>
    <w:rsid w:val="00CC676C"/>
    <w:rsid w:val="00CC6873"/>
    <w:rsid w:val="00CD5009"/>
    <w:rsid w:val="00CD7C48"/>
    <w:rsid w:val="00CE0698"/>
    <w:rsid w:val="00CE1DF8"/>
    <w:rsid w:val="00CE60A7"/>
    <w:rsid w:val="00CE75CE"/>
    <w:rsid w:val="00CF0158"/>
    <w:rsid w:val="00CF079D"/>
    <w:rsid w:val="00CF0978"/>
    <w:rsid w:val="00CF166B"/>
    <w:rsid w:val="00CF3731"/>
    <w:rsid w:val="00D00A88"/>
    <w:rsid w:val="00D015E4"/>
    <w:rsid w:val="00D0316C"/>
    <w:rsid w:val="00D031AB"/>
    <w:rsid w:val="00D05908"/>
    <w:rsid w:val="00D059A8"/>
    <w:rsid w:val="00D11A16"/>
    <w:rsid w:val="00D11FF7"/>
    <w:rsid w:val="00D13A56"/>
    <w:rsid w:val="00D15108"/>
    <w:rsid w:val="00D1646B"/>
    <w:rsid w:val="00D16DDD"/>
    <w:rsid w:val="00D173F1"/>
    <w:rsid w:val="00D177DC"/>
    <w:rsid w:val="00D20031"/>
    <w:rsid w:val="00D20195"/>
    <w:rsid w:val="00D2484A"/>
    <w:rsid w:val="00D24B40"/>
    <w:rsid w:val="00D26E9C"/>
    <w:rsid w:val="00D27C82"/>
    <w:rsid w:val="00D27FB4"/>
    <w:rsid w:val="00D304C1"/>
    <w:rsid w:val="00D30CC8"/>
    <w:rsid w:val="00D32952"/>
    <w:rsid w:val="00D33AAA"/>
    <w:rsid w:val="00D36025"/>
    <w:rsid w:val="00D37F8B"/>
    <w:rsid w:val="00D41596"/>
    <w:rsid w:val="00D41F2E"/>
    <w:rsid w:val="00D44192"/>
    <w:rsid w:val="00D44669"/>
    <w:rsid w:val="00D4720E"/>
    <w:rsid w:val="00D474AF"/>
    <w:rsid w:val="00D526A5"/>
    <w:rsid w:val="00D52E9D"/>
    <w:rsid w:val="00D55D3E"/>
    <w:rsid w:val="00D55F15"/>
    <w:rsid w:val="00D563FD"/>
    <w:rsid w:val="00D56882"/>
    <w:rsid w:val="00D568FF"/>
    <w:rsid w:val="00D569EA"/>
    <w:rsid w:val="00D56CBC"/>
    <w:rsid w:val="00D5728E"/>
    <w:rsid w:val="00D572B2"/>
    <w:rsid w:val="00D609C3"/>
    <w:rsid w:val="00D612B9"/>
    <w:rsid w:val="00D63DEE"/>
    <w:rsid w:val="00D64609"/>
    <w:rsid w:val="00D65688"/>
    <w:rsid w:val="00D6614A"/>
    <w:rsid w:val="00D67694"/>
    <w:rsid w:val="00D67F89"/>
    <w:rsid w:val="00D703B9"/>
    <w:rsid w:val="00D70714"/>
    <w:rsid w:val="00D727DE"/>
    <w:rsid w:val="00D72AE7"/>
    <w:rsid w:val="00D75167"/>
    <w:rsid w:val="00D75C07"/>
    <w:rsid w:val="00D76975"/>
    <w:rsid w:val="00D779CB"/>
    <w:rsid w:val="00D77E45"/>
    <w:rsid w:val="00D831B7"/>
    <w:rsid w:val="00D8649E"/>
    <w:rsid w:val="00D864A6"/>
    <w:rsid w:val="00D90F81"/>
    <w:rsid w:val="00D917D6"/>
    <w:rsid w:val="00D928D1"/>
    <w:rsid w:val="00D974F8"/>
    <w:rsid w:val="00D97F9B"/>
    <w:rsid w:val="00DA2654"/>
    <w:rsid w:val="00DA2BD1"/>
    <w:rsid w:val="00DA369B"/>
    <w:rsid w:val="00DA5776"/>
    <w:rsid w:val="00DA622E"/>
    <w:rsid w:val="00DA7FB2"/>
    <w:rsid w:val="00DB0575"/>
    <w:rsid w:val="00DB1300"/>
    <w:rsid w:val="00DB1A95"/>
    <w:rsid w:val="00DB1E34"/>
    <w:rsid w:val="00DB3D4C"/>
    <w:rsid w:val="00DB43B5"/>
    <w:rsid w:val="00DB5168"/>
    <w:rsid w:val="00DB6659"/>
    <w:rsid w:val="00DB68BE"/>
    <w:rsid w:val="00DB71E9"/>
    <w:rsid w:val="00DC3E26"/>
    <w:rsid w:val="00DC73E2"/>
    <w:rsid w:val="00DD0437"/>
    <w:rsid w:val="00DD1A27"/>
    <w:rsid w:val="00DD273B"/>
    <w:rsid w:val="00DD3080"/>
    <w:rsid w:val="00DD3CAA"/>
    <w:rsid w:val="00DD42CE"/>
    <w:rsid w:val="00DD4CF3"/>
    <w:rsid w:val="00DD549F"/>
    <w:rsid w:val="00DD5969"/>
    <w:rsid w:val="00DD5D80"/>
    <w:rsid w:val="00DE0F65"/>
    <w:rsid w:val="00DE1F2A"/>
    <w:rsid w:val="00DE4A4C"/>
    <w:rsid w:val="00DF0B4F"/>
    <w:rsid w:val="00DF1865"/>
    <w:rsid w:val="00DF1951"/>
    <w:rsid w:val="00DF1C05"/>
    <w:rsid w:val="00DF306A"/>
    <w:rsid w:val="00DF3AE4"/>
    <w:rsid w:val="00DF402A"/>
    <w:rsid w:val="00DF4506"/>
    <w:rsid w:val="00DF4979"/>
    <w:rsid w:val="00DF5AA4"/>
    <w:rsid w:val="00DF607D"/>
    <w:rsid w:val="00DF7F74"/>
    <w:rsid w:val="00E02612"/>
    <w:rsid w:val="00E02A1D"/>
    <w:rsid w:val="00E04108"/>
    <w:rsid w:val="00E04794"/>
    <w:rsid w:val="00E04B35"/>
    <w:rsid w:val="00E06EA1"/>
    <w:rsid w:val="00E125D0"/>
    <w:rsid w:val="00E12DD7"/>
    <w:rsid w:val="00E13041"/>
    <w:rsid w:val="00E130F6"/>
    <w:rsid w:val="00E145E6"/>
    <w:rsid w:val="00E14A58"/>
    <w:rsid w:val="00E159D8"/>
    <w:rsid w:val="00E2274E"/>
    <w:rsid w:val="00E22D39"/>
    <w:rsid w:val="00E23377"/>
    <w:rsid w:val="00E23BD8"/>
    <w:rsid w:val="00E242B3"/>
    <w:rsid w:val="00E250E2"/>
    <w:rsid w:val="00E27236"/>
    <w:rsid w:val="00E27E12"/>
    <w:rsid w:val="00E31FA4"/>
    <w:rsid w:val="00E33FB4"/>
    <w:rsid w:val="00E36C1A"/>
    <w:rsid w:val="00E43E00"/>
    <w:rsid w:val="00E43E3A"/>
    <w:rsid w:val="00E446F7"/>
    <w:rsid w:val="00E44D7B"/>
    <w:rsid w:val="00E4673A"/>
    <w:rsid w:val="00E47796"/>
    <w:rsid w:val="00E5216F"/>
    <w:rsid w:val="00E55810"/>
    <w:rsid w:val="00E57C74"/>
    <w:rsid w:val="00E60D4A"/>
    <w:rsid w:val="00E611DC"/>
    <w:rsid w:val="00E61A8D"/>
    <w:rsid w:val="00E64CC2"/>
    <w:rsid w:val="00E667A1"/>
    <w:rsid w:val="00E66A83"/>
    <w:rsid w:val="00E7080E"/>
    <w:rsid w:val="00E7090F"/>
    <w:rsid w:val="00E70FC8"/>
    <w:rsid w:val="00E718D5"/>
    <w:rsid w:val="00E726FD"/>
    <w:rsid w:val="00E72C03"/>
    <w:rsid w:val="00E73B74"/>
    <w:rsid w:val="00E74CBE"/>
    <w:rsid w:val="00E82E70"/>
    <w:rsid w:val="00E851F4"/>
    <w:rsid w:val="00E878C0"/>
    <w:rsid w:val="00E902E6"/>
    <w:rsid w:val="00E9349E"/>
    <w:rsid w:val="00E95298"/>
    <w:rsid w:val="00E956C9"/>
    <w:rsid w:val="00E95D67"/>
    <w:rsid w:val="00EB1378"/>
    <w:rsid w:val="00EB4AC5"/>
    <w:rsid w:val="00EB5D32"/>
    <w:rsid w:val="00EB60AB"/>
    <w:rsid w:val="00EB60E7"/>
    <w:rsid w:val="00EC20AB"/>
    <w:rsid w:val="00EC29EB"/>
    <w:rsid w:val="00EC318A"/>
    <w:rsid w:val="00EC5138"/>
    <w:rsid w:val="00EC7DCF"/>
    <w:rsid w:val="00ED50DA"/>
    <w:rsid w:val="00ED541F"/>
    <w:rsid w:val="00ED580E"/>
    <w:rsid w:val="00ED5CD7"/>
    <w:rsid w:val="00ED6550"/>
    <w:rsid w:val="00ED7E25"/>
    <w:rsid w:val="00EE1E91"/>
    <w:rsid w:val="00EE3346"/>
    <w:rsid w:val="00EF0788"/>
    <w:rsid w:val="00EF1B75"/>
    <w:rsid w:val="00EF479D"/>
    <w:rsid w:val="00EF52A9"/>
    <w:rsid w:val="00EF646D"/>
    <w:rsid w:val="00EF681B"/>
    <w:rsid w:val="00EF6D05"/>
    <w:rsid w:val="00F019D4"/>
    <w:rsid w:val="00F0231A"/>
    <w:rsid w:val="00F03CC2"/>
    <w:rsid w:val="00F048F4"/>
    <w:rsid w:val="00F06B43"/>
    <w:rsid w:val="00F07C59"/>
    <w:rsid w:val="00F123B0"/>
    <w:rsid w:val="00F14F81"/>
    <w:rsid w:val="00F227A6"/>
    <w:rsid w:val="00F22821"/>
    <w:rsid w:val="00F228D6"/>
    <w:rsid w:val="00F22E6A"/>
    <w:rsid w:val="00F23141"/>
    <w:rsid w:val="00F23A5C"/>
    <w:rsid w:val="00F24832"/>
    <w:rsid w:val="00F24E04"/>
    <w:rsid w:val="00F255FF"/>
    <w:rsid w:val="00F2579D"/>
    <w:rsid w:val="00F2587F"/>
    <w:rsid w:val="00F26AC0"/>
    <w:rsid w:val="00F26C01"/>
    <w:rsid w:val="00F30B9D"/>
    <w:rsid w:val="00F31386"/>
    <w:rsid w:val="00F32C55"/>
    <w:rsid w:val="00F32CBC"/>
    <w:rsid w:val="00F32E93"/>
    <w:rsid w:val="00F339ED"/>
    <w:rsid w:val="00F3427E"/>
    <w:rsid w:val="00F351E8"/>
    <w:rsid w:val="00F35EEF"/>
    <w:rsid w:val="00F371D8"/>
    <w:rsid w:val="00F40652"/>
    <w:rsid w:val="00F410A3"/>
    <w:rsid w:val="00F4448E"/>
    <w:rsid w:val="00F45DE0"/>
    <w:rsid w:val="00F46581"/>
    <w:rsid w:val="00F54C6A"/>
    <w:rsid w:val="00F64AEB"/>
    <w:rsid w:val="00F67680"/>
    <w:rsid w:val="00F70BC9"/>
    <w:rsid w:val="00F722A0"/>
    <w:rsid w:val="00F72A43"/>
    <w:rsid w:val="00F72EAA"/>
    <w:rsid w:val="00F76889"/>
    <w:rsid w:val="00F779FF"/>
    <w:rsid w:val="00F8203C"/>
    <w:rsid w:val="00F820EE"/>
    <w:rsid w:val="00F82A2B"/>
    <w:rsid w:val="00F82C40"/>
    <w:rsid w:val="00F830BB"/>
    <w:rsid w:val="00F83543"/>
    <w:rsid w:val="00F83F5E"/>
    <w:rsid w:val="00F84C9E"/>
    <w:rsid w:val="00F85742"/>
    <w:rsid w:val="00F90661"/>
    <w:rsid w:val="00F9088C"/>
    <w:rsid w:val="00F91138"/>
    <w:rsid w:val="00F926E2"/>
    <w:rsid w:val="00F94F58"/>
    <w:rsid w:val="00FA0037"/>
    <w:rsid w:val="00FA1492"/>
    <w:rsid w:val="00FA1720"/>
    <w:rsid w:val="00FA2775"/>
    <w:rsid w:val="00FA6E06"/>
    <w:rsid w:val="00FA7662"/>
    <w:rsid w:val="00FB308E"/>
    <w:rsid w:val="00FB3DF3"/>
    <w:rsid w:val="00FB6AD5"/>
    <w:rsid w:val="00FB724A"/>
    <w:rsid w:val="00FC1677"/>
    <w:rsid w:val="00FC1724"/>
    <w:rsid w:val="00FC1DE7"/>
    <w:rsid w:val="00FC3151"/>
    <w:rsid w:val="00FC5485"/>
    <w:rsid w:val="00FC6ECB"/>
    <w:rsid w:val="00FC7B72"/>
    <w:rsid w:val="00FD2BB4"/>
    <w:rsid w:val="00FD3C4E"/>
    <w:rsid w:val="00FD4231"/>
    <w:rsid w:val="00FD6270"/>
    <w:rsid w:val="00FD7ED4"/>
    <w:rsid w:val="00FE34B4"/>
    <w:rsid w:val="00FE653A"/>
    <w:rsid w:val="00FE7B09"/>
    <w:rsid w:val="00FF0973"/>
    <w:rsid w:val="00FF0D5D"/>
    <w:rsid w:val="00FF24B3"/>
    <w:rsid w:val="00FF2D52"/>
    <w:rsid w:val="00FF57BD"/>
    <w:rsid w:val="00FF57D6"/>
    <w:rsid w:val="00FF6B09"/>
    <w:rsid w:val="00FF6F82"/>
    <w:rsid w:val="00FF714B"/>
  </w:rsids>
  <m:mathPr>
    <m:mathFont m:val="Cambria Math"/>
    <m:brkBin m:val="before"/>
    <m:brkBinSub m:val="--"/>
    <m:smallFrac m:val="0"/>
    <m:dispDef/>
    <m:lMargin m:val="0"/>
    <m:rMargin m:val="0"/>
    <m:defJc m:val="centerGroup"/>
    <m:wrapIndent m:val="1440"/>
    <m:intLim m:val="subSup"/>
    <m:naryLim m:val="undOvr"/>
  </m:mathPr>
  <w:themeFontLang w:val="de-AT"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A7F744C-5951-4387-A424-88F79330F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nhideWhenUsed="1"/>
    <w:lsdException w:name="List" w:semiHidden="1" w:unhideWhenUsed="1"/>
    <w:lsdException w:name="List Bullet" w:semiHidden="1"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6"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0"/>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34"/>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AB1C0F"/>
    <w:pPr>
      <w:jc w:val="both"/>
    </w:pPr>
    <w:rPr>
      <w:rFonts w:ascii="Calibri" w:eastAsia="Times New Roman" w:hAnsi="Calibri" w:cs="Times New Roman"/>
      <w:szCs w:val="20"/>
      <w:lang w:eastAsia="de-DE"/>
    </w:rPr>
  </w:style>
  <w:style w:type="paragraph" w:styleId="1">
    <w:name w:val="heading 1"/>
    <w:aliases w:val="Ü1,Hoofdstuk"/>
    <w:basedOn w:val="HydrophilStandard"/>
    <w:next w:val="HydrophilStandard"/>
    <w:link w:val="10"/>
    <w:qFormat/>
    <w:rsid w:val="00BE680F"/>
    <w:pPr>
      <w:keepNext/>
      <w:keepLines/>
      <w:numPr>
        <w:numId w:val="15"/>
      </w:numPr>
      <w:spacing w:before="240" w:after="240"/>
      <w:outlineLvl w:val="0"/>
    </w:pPr>
    <w:rPr>
      <w:rFonts w:asciiTheme="majorHAnsi" w:eastAsiaTheme="majorEastAsia" w:hAnsiTheme="majorHAnsi" w:cstheme="majorBidi"/>
      <w:b/>
      <w:bCs/>
      <w:caps/>
      <w:color w:val="030F40" w:themeColor="text2"/>
      <w:sz w:val="28"/>
      <w:szCs w:val="28"/>
    </w:rPr>
  </w:style>
  <w:style w:type="paragraph" w:styleId="2">
    <w:name w:val="heading 2"/>
    <w:aliases w:val="Ü2,Paragraaf"/>
    <w:basedOn w:val="1"/>
    <w:next w:val="HydrophilStandard"/>
    <w:link w:val="21"/>
    <w:unhideWhenUsed/>
    <w:qFormat/>
    <w:rsid w:val="00BE680F"/>
    <w:pPr>
      <w:numPr>
        <w:ilvl w:val="1"/>
      </w:numPr>
      <w:outlineLvl w:val="1"/>
    </w:pPr>
    <w:rPr>
      <w:b w:val="0"/>
      <w:bCs w:val="0"/>
      <w:color w:val="AADC14" w:themeColor="text1"/>
      <w:sz w:val="26"/>
      <w:szCs w:val="26"/>
    </w:rPr>
  </w:style>
  <w:style w:type="paragraph" w:styleId="30">
    <w:name w:val="heading 3"/>
    <w:aliases w:val="Ü3,Subparagraaf"/>
    <w:basedOn w:val="2"/>
    <w:next w:val="HydrophilStandard"/>
    <w:link w:val="32"/>
    <w:unhideWhenUsed/>
    <w:qFormat/>
    <w:rsid w:val="0022217F"/>
    <w:pPr>
      <w:numPr>
        <w:ilvl w:val="2"/>
      </w:numPr>
      <w:outlineLvl w:val="2"/>
    </w:pPr>
    <w:rPr>
      <w:bCs/>
      <w:caps w:val="0"/>
      <w:sz w:val="24"/>
      <w:szCs w:val="24"/>
    </w:rPr>
  </w:style>
  <w:style w:type="paragraph" w:styleId="41">
    <w:name w:val="heading 4"/>
    <w:aliases w:val="Ü4"/>
    <w:basedOn w:val="30"/>
    <w:next w:val="HydrophilStandard"/>
    <w:link w:val="42"/>
    <w:unhideWhenUsed/>
    <w:qFormat/>
    <w:rsid w:val="00C83551"/>
    <w:pPr>
      <w:numPr>
        <w:ilvl w:val="3"/>
      </w:numPr>
      <w:outlineLvl w:val="3"/>
    </w:pPr>
    <w:rPr>
      <w:bCs w:val="0"/>
      <w:iCs/>
      <w:lang w:eastAsia="en-US"/>
    </w:rPr>
  </w:style>
  <w:style w:type="paragraph" w:styleId="51">
    <w:name w:val="heading 5"/>
    <w:basedOn w:val="HydrophilStandard"/>
    <w:next w:val="HydrophilStandard"/>
    <w:link w:val="52"/>
    <w:uiPriority w:val="99"/>
    <w:qFormat/>
    <w:rsid w:val="001C6880"/>
    <w:pPr>
      <w:keepNext/>
      <w:keepLines/>
      <w:numPr>
        <w:ilvl w:val="4"/>
        <w:numId w:val="15"/>
      </w:numPr>
      <w:spacing w:before="200"/>
      <w:outlineLvl w:val="4"/>
    </w:pPr>
    <w:rPr>
      <w:rFonts w:asciiTheme="majorHAnsi" w:eastAsiaTheme="majorEastAsia" w:hAnsiTheme="majorHAnsi" w:cstheme="majorBidi"/>
    </w:rPr>
  </w:style>
  <w:style w:type="paragraph" w:styleId="6">
    <w:name w:val="heading 6"/>
    <w:basedOn w:val="HydrophilStandard"/>
    <w:next w:val="HydrophilStandard"/>
    <w:link w:val="60"/>
    <w:qFormat/>
    <w:rsid w:val="001C6880"/>
    <w:pPr>
      <w:keepNext/>
      <w:keepLines/>
      <w:numPr>
        <w:ilvl w:val="5"/>
        <w:numId w:val="15"/>
      </w:numPr>
      <w:spacing w:before="200"/>
      <w:outlineLvl w:val="5"/>
    </w:pPr>
    <w:rPr>
      <w:rFonts w:asciiTheme="majorHAnsi" w:eastAsiaTheme="majorEastAsia" w:hAnsiTheme="majorHAnsi" w:cstheme="majorBidi"/>
      <w:i/>
      <w:iCs/>
    </w:rPr>
  </w:style>
  <w:style w:type="paragraph" w:styleId="7">
    <w:name w:val="heading 7"/>
    <w:basedOn w:val="HydrophilStandard"/>
    <w:next w:val="a0"/>
    <w:link w:val="70"/>
    <w:unhideWhenUsed/>
    <w:qFormat/>
    <w:rsid w:val="001C6880"/>
    <w:pPr>
      <w:keepNext/>
      <w:keepLines/>
      <w:numPr>
        <w:ilvl w:val="6"/>
        <w:numId w:val="15"/>
      </w:numPr>
      <w:spacing w:before="200"/>
      <w:outlineLvl w:val="6"/>
    </w:pPr>
    <w:rPr>
      <w:rFonts w:asciiTheme="majorHAnsi" w:eastAsiaTheme="majorEastAsia" w:hAnsiTheme="majorHAnsi" w:cstheme="majorBidi"/>
      <w:i/>
      <w:iCs/>
    </w:rPr>
  </w:style>
  <w:style w:type="paragraph" w:styleId="8">
    <w:name w:val="heading 8"/>
    <w:basedOn w:val="HydrophilStandard"/>
    <w:next w:val="a0"/>
    <w:link w:val="80"/>
    <w:unhideWhenUsed/>
    <w:qFormat/>
    <w:rsid w:val="001C6880"/>
    <w:pPr>
      <w:keepNext/>
      <w:keepLines/>
      <w:numPr>
        <w:ilvl w:val="7"/>
        <w:numId w:val="15"/>
      </w:numPr>
      <w:spacing w:before="200"/>
      <w:outlineLvl w:val="7"/>
    </w:pPr>
    <w:rPr>
      <w:rFonts w:asciiTheme="majorHAnsi" w:eastAsiaTheme="majorEastAsia" w:hAnsiTheme="majorHAnsi" w:cstheme="majorBidi"/>
      <w:sz w:val="20"/>
    </w:rPr>
  </w:style>
  <w:style w:type="paragraph" w:styleId="9">
    <w:name w:val="heading 9"/>
    <w:basedOn w:val="a0"/>
    <w:next w:val="a0"/>
    <w:link w:val="90"/>
    <w:unhideWhenUsed/>
    <w:qFormat/>
    <w:rsid w:val="00066C48"/>
    <w:pPr>
      <w:numPr>
        <w:ilvl w:val="8"/>
        <w:numId w:val="15"/>
      </w:numPr>
      <w:spacing w:before="360" w:after="60"/>
      <w:jc w:val="left"/>
      <w:outlineLvl w:val="8"/>
    </w:pPr>
    <w:rPr>
      <w:rFonts w:asciiTheme="minorHAnsi" w:hAnsiTheme="minorHAnsi" w:cs="Arial"/>
      <w:b/>
      <w:bCs/>
      <w:iCs/>
      <w:color w:val="030F40" w:themeColor="text2"/>
      <w:sz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HydrophilStandard">
    <w:name w:val="Hydrophil Standard"/>
    <w:link w:val="HydrophilStandardZchn"/>
    <w:qFormat/>
    <w:rsid w:val="004775EC"/>
    <w:pPr>
      <w:spacing w:after="120"/>
      <w:contextualSpacing/>
      <w:jc w:val="both"/>
    </w:pPr>
    <w:rPr>
      <w:rFonts w:eastAsia="Times New Roman" w:cs="Times New Roman"/>
      <w:noProof/>
      <w:szCs w:val="20"/>
      <w:lang w:eastAsia="de-DE"/>
    </w:rPr>
  </w:style>
  <w:style w:type="character" w:customStyle="1" w:styleId="10">
    <w:name w:val="Заголовок 1 Знак"/>
    <w:aliases w:val="Ü1 Знак,Hoofdstuk Знак"/>
    <w:basedOn w:val="a1"/>
    <w:link w:val="1"/>
    <w:rsid w:val="00BE680F"/>
    <w:rPr>
      <w:rFonts w:asciiTheme="majorHAnsi" w:eastAsiaTheme="majorEastAsia" w:hAnsiTheme="majorHAnsi" w:cstheme="majorBidi"/>
      <w:b/>
      <w:bCs/>
      <w:caps/>
      <w:noProof/>
      <w:color w:val="030F40" w:themeColor="text2"/>
      <w:sz w:val="28"/>
      <w:szCs w:val="28"/>
      <w:lang w:val="uk-UA" w:eastAsia="de-DE"/>
    </w:rPr>
  </w:style>
  <w:style w:type="character" w:customStyle="1" w:styleId="21">
    <w:name w:val="Заголовок 2 Знак"/>
    <w:aliases w:val="Ü2 Знак,Paragraaf Знак"/>
    <w:basedOn w:val="a1"/>
    <w:link w:val="2"/>
    <w:rsid w:val="00BE680F"/>
    <w:rPr>
      <w:rFonts w:asciiTheme="majorHAnsi" w:eastAsiaTheme="majorEastAsia" w:hAnsiTheme="majorHAnsi" w:cstheme="majorBidi"/>
      <w:caps/>
      <w:noProof/>
      <w:color w:val="AADC14" w:themeColor="text1"/>
      <w:sz w:val="26"/>
      <w:szCs w:val="26"/>
      <w:lang w:val="uk-UA" w:eastAsia="de-DE"/>
    </w:rPr>
  </w:style>
  <w:style w:type="character" w:customStyle="1" w:styleId="32">
    <w:name w:val="Заголовок 3 Знак"/>
    <w:aliases w:val="Ü3 Знак,Subparagraaf Знак"/>
    <w:basedOn w:val="a1"/>
    <w:link w:val="30"/>
    <w:rsid w:val="0022217F"/>
    <w:rPr>
      <w:rFonts w:asciiTheme="majorHAnsi" w:eastAsiaTheme="majorEastAsia" w:hAnsiTheme="majorHAnsi" w:cstheme="majorBidi"/>
      <w:bCs/>
      <w:noProof/>
      <w:color w:val="AADC14" w:themeColor="text1"/>
      <w:sz w:val="24"/>
      <w:szCs w:val="24"/>
      <w:lang w:val="uk-UA" w:eastAsia="de-DE"/>
    </w:rPr>
  </w:style>
  <w:style w:type="character" w:customStyle="1" w:styleId="42">
    <w:name w:val="Заголовок 4 Знак"/>
    <w:aliases w:val="Ü4 Знак"/>
    <w:basedOn w:val="a1"/>
    <w:link w:val="41"/>
    <w:rsid w:val="00C83551"/>
    <w:rPr>
      <w:rFonts w:asciiTheme="majorHAnsi" w:eastAsiaTheme="majorEastAsia" w:hAnsiTheme="majorHAnsi" w:cstheme="majorBidi"/>
      <w:iCs/>
      <w:noProof/>
      <w:color w:val="AADC14" w:themeColor="text1"/>
      <w:sz w:val="24"/>
      <w:szCs w:val="24"/>
    </w:rPr>
  </w:style>
  <w:style w:type="character" w:customStyle="1" w:styleId="52">
    <w:name w:val="Заголовок 5 Знак"/>
    <w:basedOn w:val="a1"/>
    <w:link w:val="51"/>
    <w:rsid w:val="001C6880"/>
    <w:rPr>
      <w:rFonts w:asciiTheme="majorHAnsi" w:eastAsiaTheme="majorEastAsia" w:hAnsiTheme="majorHAnsi" w:cstheme="majorBidi"/>
      <w:noProof/>
      <w:szCs w:val="20"/>
      <w:lang w:val="uk-UA" w:eastAsia="de-DE"/>
    </w:rPr>
  </w:style>
  <w:style w:type="character" w:customStyle="1" w:styleId="60">
    <w:name w:val="Заголовок 6 Знак"/>
    <w:basedOn w:val="a1"/>
    <w:link w:val="6"/>
    <w:rsid w:val="001C6880"/>
    <w:rPr>
      <w:rFonts w:asciiTheme="majorHAnsi" w:eastAsiaTheme="majorEastAsia" w:hAnsiTheme="majorHAnsi" w:cstheme="majorBidi"/>
      <w:i/>
      <w:iCs/>
      <w:noProof/>
      <w:szCs w:val="20"/>
      <w:lang w:val="uk-UA" w:eastAsia="de-DE"/>
    </w:rPr>
  </w:style>
  <w:style w:type="character" w:customStyle="1" w:styleId="70">
    <w:name w:val="Заголовок 7 Знак"/>
    <w:basedOn w:val="a1"/>
    <w:link w:val="7"/>
    <w:rsid w:val="001C6880"/>
    <w:rPr>
      <w:rFonts w:asciiTheme="majorHAnsi" w:eastAsiaTheme="majorEastAsia" w:hAnsiTheme="majorHAnsi" w:cstheme="majorBidi"/>
      <w:i/>
      <w:iCs/>
      <w:noProof/>
      <w:szCs w:val="20"/>
      <w:lang w:val="uk-UA" w:eastAsia="de-DE"/>
    </w:rPr>
  </w:style>
  <w:style w:type="character" w:customStyle="1" w:styleId="80">
    <w:name w:val="Заголовок 8 Знак"/>
    <w:basedOn w:val="a1"/>
    <w:link w:val="8"/>
    <w:rsid w:val="001C6880"/>
    <w:rPr>
      <w:rFonts w:asciiTheme="majorHAnsi" w:eastAsiaTheme="majorEastAsia" w:hAnsiTheme="majorHAnsi" w:cstheme="majorBidi"/>
      <w:noProof/>
      <w:sz w:val="20"/>
      <w:szCs w:val="20"/>
      <w:lang w:val="uk-UA" w:eastAsia="de-DE"/>
    </w:rPr>
  </w:style>
  <w:style w:type="character" w:customStyle="1" w:styleId="90">
    <w:name w:val="Заголовок 9 Знак"/>
    <w:basedOn w:val="a1"/>
    <w:link w:val="9"/>
    <w:rsid w:val="00066C48"/>
    <w:rPr>
      <w:rFonts w:eastAsia="Times New Roman" w:cs="Arial"/>
      <w:b/>
      <w:bCs/>
      <w:iCs/>
      <w:color w:val="030F40" w:themeColor="text2"/>
      <w:sz w:val="20"/>
      <w:szCs w:val="20"/>
      <w:lang w:val="uk-UA" w:eastAsia="de-DE"/>
    </w:rPr>
  </w:style>
  <w:style w:type="paragraph" w:styleId="a4">
    <w:name w:val="annotation text"/>
    <w:basedOn w:val="a0"/>
    <w:link w:val="a5"/>
    <w:uiPriority w:val="99"/>
    <w:semiHidden/>
    <w:unhideWhenUsed/>
    <w:rsid w:val="005D697A"/>
    <w:rPr>
      <w:sz w:val="20"/>
    </w:rPr>
  </w:style>
  <w:style w:type="character" w:customStyle="1" w:styleId="a5">
    <w:name w:val="Текст примечания Знак"/>
    <w:basedOn w:val="a1"/>
    <w:link w:val="a4"/>
    <w:uiPriority w:val="99"/>
    <w:semiHidden/>
    <w:rsid w:val="005D697A"/>
    <w:rPr>
      <w:rFonts w:ascii="Calibri" w:eastAsia="Times New Roman" w:hAnsi="Calibri" w:cs="Times New Roman"/>
      <w:sz w:val="20"/>
      <w:szCs w:val="20"/>
      <w:lang w:val="uk-UA" w:eastAsia="de-DE"/>
    </w:rPr>
  </w:style>
  <w:style w:type="paragraph" w:styleId="11">
    <w:name w:val="index 1"/>
    <w:basedOn w:val="a0"/>
    <w:next w:val="a0"/>
    <w:autoRedefine/>
    <w:semiHidden/>
    <w:unhideWhenUsed/>
    <w:rsid w:val="005D697A"/>
    <w:pPr>
      <w:ind w:left="220" w:hanging="220"/>
    </w:pPr>
  </w:style>
  <w:style w:type="paragraph" w:styleId="a6">
    <w:name w:val="Balloon Text"/>
    <w:basedOn w:val="a0"/>
    <w:link w:val="a7"/>
    <w:uiPriority w:val="99"/>
    <w:semiHidden/>
    <w:unhideWhenUsed/>
    <w:rsid w:val="005D697A"/>
    <w:rPr>
      <w:rFonts w:ascii="Tahoma" w:hAnsi="Tahoma" w:cs="Tahoma"/>
      <w:sz w:val="16"/>
      <w:szCs w:val="16"/>
    </w:rPr>
  </w:style>
  <w:style w:type="character" w:customStyle="1" w:styleId="a7">
    <w:name w:val="Текст выноски Знак"/>
    <w:basedOn w:val="a1"/>
    <w:link w:val="a6"/>
    <w:uiPriority w:val="99"/>
    <w:semiHidden/>
    <w:rsid w:val="005D697A"/>
    <w:rPr>
      <w:rFonts w:ascii="Tahoma" w:eastAsia="Times New Roman" w:hAnsi="Tahoma" w:cs="Tahoma"/>
      <w:sz w:val="16"/>
      <w:szCs w:val="16"/>
      <w:lang w:val="uk-UA" w:eastAsia="de-DE"/>
    </w:rPr>
  </w:style>
  <w:style w:type="paragraph" w:styleId="a8">
    <w:name w:val="Body Text"/>
    <w:basedOn w:val="a0"/>
    <w:link w:val="a9"/>
    <w:uiPriority w:val="1"/>
    <w:unhideWhenUsed/>
    <w:qFormat/>
    <w:rsid w:val="005D697A"/>
    <w:pPr>
      <w:spacing w:after="120"/>
    </w:pPr>
  </w:style>
  <w:style w:type="character" w:customStyle="1" w:styleId="a9">
    <w:name w:val="Основной текст Знак"/>
    <w:basedOn w:val="a1"/>
    <w:link w:val="a8"/>
    <w:uiPriority w:val="1"/>
    <w:rsid w:val="005D697A"/>
    <w:rPr>
      <w:rFonts w:ascii="Calibri" w:eastAsia="Times New Roman" w:hAnsi="Calibri" w:cs="Times New Roman"/>
      <w:szCs w:val="20"/>
      <w:lang w:val="uk-UA" w:eastAsia="de-DE"/>
    </w:rPr>
  </w:style>
  <w:style w:type="paragraph" w:styleId="aa">
    <w:name w:val="caption"/>
    <w:basedOn w:val="HydrophilStandard"/>
    <w:next w:val="HydrophilStandard"/>
    <w:link w:val="ab"/>
    <w:unhideWhenUsed/>
    <w:qFormat/>
    <w:rsid w:val="009E102A"/>
    <w:pPr>
      <w:tabs>
        <w:tab w:val="left" w:pos="993"/>
      </w:tabs>
      <w:spacing w:after="0"/>
      <w:contextualSpacing w:val="0"/>
    </w:pPr>
    <w:rPr>
      <w:b/>
      <w:bCs/>
      <w:szCs w:val="18"/>
    </w:rPr>
  </w:style>
  <w:style w:type="character" w:customStyle="1" w:styleId="ab">
    <w:name w:val="Название объекта Знак"/>
    <w:basedOn w:val="a1"/>
    <w:link w:val="aa"/>
    <w:rsid w:val="009E102A"/>
    <w:rPr>
      <w:rFonts w:eastAsia="Times New Roman" w:cs="Times New Roman"/>
      <w:b/>
      <w:bCs/>
      <w:sz w:val="21"/>
      <w:szCs w:val="18"/>
      <w:lang w:val="uk-UA" w:eastAsia="de-DE"/>
    </w:rPr>
  </w:style>
  <w:style w:type="paragraph" w:styleId="a">
    <w:name w:val="List Bullet"/>
    <w:basedOn w:val="HydrophilStandard"/>
    <w:uiPriority w:val="99"/>
    <w:qFormat/>
    <w:rsid w:val="0098666A"/>
    <w:pPr>
      <w:numPr>
        <w:ilvl w:val="2"/>
        <w:numId w:val="9"/>
      </w:numPr>
    </w:pPr>
  </w:style>
  <w:style w:type="paragraph" w:styleId="22">
    <w:name w:val="toc 2"/>
    <w:basedOn w:val="2"/>
    <w:next w:val="HydrophilStandard"/>
    <w:uiPriority w:val="39"/>
    <w:qFormat/>
    <w:rsid w:val="006F7D73"/>
    <w:pPr>
      <w:keepNext w:val="0"/>
      <w:keepLines w:val="0"/>
      <w:numPr>
        <w:ilvl w:val="0"/>
        <w:numId w:val="0"/>
      </w:numPr>
      <w:tabs>
        <w:tab w:val="left" w:pos="880"/>
        <w:tab w:val="right" w:leader="dot" w:pos="9627"/>
      </w:tabs>
      <w:spacing w:before="60" w:after="60"/>
      <w:ind w:left="221"/>
      <w:contextualSpacing w:val="0"/>
      <w:jc w:val="left"/>
      <w:outlineLvl w:val="9"/>
    </w:pPr>
    <w:rPr>
      <w:rFonts w:asciiTheme="minorHAnsi" w:eastAsia="Times New Roman" w:hAnsiTheme="minorHAnsi" w:cstheme="minorHAnsi"/>
      <w:b/>
      <w:caps w:val="0"/>
      <w:smallCaps/>
      <w:color w:val="auto"/>
      <w:sz w:val="20"/>
      <w:szCs w:val="20"/>
    </w:rPr>
  </w:style>
  <w:style w:type="paragraph" w:styleId="12">
    <w:name w:val="toc 1"/>
    <w:basedOn w:val="1"/>
    <w:next w:val="HydrophilStandard"/>
    <w:uiPriority w:val="39"/>
    <w:qFormat/>
    <w:rsid w:val="00466F28"/>
    <w:pPr>
      <w:keepNext w:val="0"/>
      <w:keepLines w:val="0"/>
      <w:numPr>
        <w:numId w:val="0"/>
      </w:numPr>
      <w:spacing w:before="120" w:after="120"/>
      <w:contextualSpacing w:val="0"/>
      <w:jc w:val="left"/>
      <w:outlineLvl w:val="9"/>
    </w:pPr>
    <w:rPr>
      <w:rFonts w:asciiTheme="minorHAnsi" w:eastAsia="Times New Roman" w:hAnsiTheme="minorHAnsi" w:cstheme="minorHAnsi"/>
      <w:noProof w:val="0"/>
      <w:color w:val="auto"/>
      <w:sz w:val="20"/>
      <w:szCs w:val="20"/>
    </w:rPr>
  </w:style>
  <w:style w:type="paragraph" w:styleId="ac">
    <w:name w:val="table of figures"/>
    <w:basedOn w:val="HydrophilStandard"/>
    <w:next w:val="HydrophilStandard"/>
    <w:uiPriority w:val="99"/>
    <w:rsid w:val="00E7080E"/>
    <w:pPr>
      <w:tabs>
        <w:tab w:val="left" w:pos="1100"/>
        <w:tab w:val="right" w:leader="dot" w:pos="9627"/>
      </w:tabs>
      <w:spacing w:after="0"/>
      <w:ind w:left="1134" w:hanging="1134"/>
      <w:contextualSpacing w:val="0"/>
      <w:jc w:val="left"/>
    </w:pPr>
    <w:rPr>
      <w:rFonts w:cstheme="minorHAnsi"/>
      <w:sz w:val="20"/>
    </w:rPr>
  </w:style>
  <w:style w:type="character" w:styleId="ad">
    <w:name w:val="Hyperlink"/>
    <w:basedOn w:val="a1"/>
    <w:uiPriority w:val="99"/>
    <w:unhideWhenUsed/>
    <w:rsid w:val="00AB1C0F"/>
    <w:rPr>
      <w:color w:val="AADC14" w:themeColor="text1"/>
      <w:u w:val="single"/>
      <w:lang w:val="uk-UA"/>
    </w:rPr>
  </w:style>
  <w:style w:type="paragraph" w:styleId="20">
    <w:name w:val="List Bullet 2"/>
    <w:basedOn w:val="a"/>
    <w:qFormat/>
    <w:rsid w:val="0098666A"/>
    <w:pPr>
      <w:numPr>
        <w:ilvl w:val="3"/>
        <w:numId w:val="8"/>
      </w:numPr>
    </w:pPr>
  </w:style>
  <w:style w:type="table" w:styleId="-5">
    <w:name w:val="Colorful Grid Accent 5"/>
    <w:basedOn w:val="a2"/>
    <w:uiPriority w:val="73"/>
    <w:rsid w:val="009577DA"/>
    <w:rPr>
      <w:color w:val="AADC14" w:themeColor="text1"/>
    </w:rPr>
    <w:tblPr>
      <w:tblStyleRowBandSize w:val="1"/>
      <w:tblStyleColBandSize w:val="1"/>
      <w:tblBorders>
        <w:insideH w:val="single" w:sz="4" w:space="0" w:color="FFFFFF" w:themeColor="background1"/>
      </w:tblBorders>
    </w:tblPr>
    <w:tcPr>
      <w:shd w:val="clear" w:color="auto" w:fill="F9F9FA" w:themeFill="accent5" w:themeFillTint="33"/>
    </w:tcPr>
    <w:tblStylePr w:type="firstRow">
      <w:rPr>
        <w:b/>
        <w:bCs/>
      </w:rPr>
      <w:tblPr/>
      <w:tcPr>
        <w:shd w:val="clear" w:color="auto" w:fill="F3F4F6" w:themeFill="accent5" w:themeFillTint="66"/>
      </w:tcPr>
    </w:tblStylePr>
    <w:tblStylePr w:type="lastRow">
      <w:rPr>
        <w:b/>
        <w:bCs/>
        <w:color w:val="AADC14" w:themeColor="text1"/>
      </w:rPr>
      <w:tblPr/>
      <w:tcPr>
        <w:shd w:val="clear" w:color="auto" w:fill="F3F4F6" w:themeFill="accent5" w:themeFillTint="66"/>
      </w:tcPr>
    </w:tblStylePr>
    <w:tblStylePr w:type="firstCol">
      <w:rPr>
        <w:color w:val="FFFFFF" w:themeColor="background1"/>
      </w:rPr>
      <w:tblPr/>
      <w:tcPr>
        <w:shd w:val="clear" w:color="auto" w:fill="A0A4B8" w:themeFill="accent5" w:themeFillShade="BF"/>
      </w:tcPr>
    </w:tblStylePr>
    <w:tblStylePr w:type="lastCol">
      <w:rPr>
        <w:color w:val="FFFFFF" w:themeColor="background1"/>
      </w:rPr>
      <w:tblPr/>
      <w:tcPr>
        <w:shd w:val="clear" w:color="auto" w:fill="A0A4B8" w:themeFill="accent5" w:themeFillShade="BF"/>
      </w:tcPr>
    </w:tblStylePr>
    <w:tblStylePr w:type="band1Vert">
      <w:tblPr/>
      <w:tcPr>
        <w:shd w:val="clear" w:color="auto" w:fill="F0F1F4" w:themeFill="accent5" w:themeFillTint="7F"/>
      </w:tcPr>
    </w:tblStylePr>
    <w:tblStylePr w:type="band1Horz">
      <w:tblPr/>
      <w:tcPr>
        <w:shd w:val="clear" w:color="auto" w:fill="F0F1F4" w:themeFill="accent5" w:themeFillTint="7F"/>
      </w:tcPr>
    </w:tblStylePr>
  </w:style>
  <w:style w:type="paragraph" w:customStyle="1" w:styleId="HydrophilStandardFett">
    <w:name w:val="Hydrophil Standard Fett"/>
    <w:basedOn w:val="HydrophilStandard"/>
    <w:link w:val="HydrophilStandardFettZchn"/>
    <w:qFormat/>
    <w:rsid w:val="0098666A"/>
    <w:pPr>
      <w:spacing w:before="120" w:after="60"/>
    </w:pPr>
    <w:rPr>
      <w:b/>
      <w:lang w:eastAsia="en-GB"/>
    </w:rPr>
  </w:style>
  <w:style w:type="table" w:styleId="-3">
    <w:name w:val="Colorful Grid Accent 3"/>
    <w:basedOn w:val="a2"/>
    <w:uiPriority w:val="73"/>
    <w:rsid w:val="009577DA"/>
    <w:rPr>
      <w:color w:val="AADC14" w:themeColor="text1"/>
    </w:rPr>
    <w:tblPr>
      <w:tblStyleRowBandSize w:val="1"/>
      <w:tblStyleColBandSize w:val="1"/>
      <w:tblBorders>
        <w:insideH w:val="single" w:sz="4" w:space="0" w:color="FFFFFF" w:themeColor="background1"/>
      </w:tblBorders>
    </w:tblPr>
    <w:tcPr>
      <w:shd w:val="clear" w:color="auto" w:fill="D3D6E6" w:themeFill="accent3" w:themeFillTint="33"/>
    </w:tcPr>
    <w:tblStylePr w:type="firstRow">
      <w:rPr>
        <w:b/>
        <w:bCs/>
      </w:rPr>
      <w:tblPr/>
      <w:tcPr>
        <w:shd w:val="clear" w:color="auto" w:fill="A7AECD" w:themeFill="accent3" w:themeFillTint="66"/>
      </w:tcPr>
    </w:tblStylePr>
    <w:tblStylePr w:type="lastRow">
      <w:rPr>
        <w:b/>
        <w:bCs/>
        <w:color w:val="AADC14" w:themeColor="text1"/>
      </w:rPr>
      <w:tblPr/>
      <w:tcPr>
        <w:shd w:val="clear" w:color="auto" w:fill="A7AECD" w:themeFill="accent3" w:themeFillTint="66"/>
      </w:tcPr>
    </w:tblStylePr>
    <w:tblStylePr w:type="firstCol">
      <w:rPr>
        <w:color w:val="FFFFFF" w:themeColor="background1"/>
      </w:rPr>
      <w:tblPr/>
      <w:tcPr>
        <w:shd w:val="clear" w:color="auto" w:fill="2D3450" w:themeFill="accent3" w:themeFillShade="BF"/>
      </w:tcPr>
    </w:tblStylePr>
    <w:tblStylePr w:type="lastCol">
      <w:rPr>
        <w:color w:val="FFFFFF" w:themeColor="background1"/>
      </w:rPr>
      <w:tblPr/>
      <w:tcPr>
        <w:shd w:val="clear" w:color="auto" w:fill="2D3450" w:themeFill="accent3" w:themeFillShade="BF"/>
      </w:tcPr>
    </w:tblStylePr>
    <w:tblStylePr w:type="band1Vert">
      <w:tblPr/>
      <w:tcPr>
        <w:shd w:val="clear" w:color="auto" w:fill="929BC1" w:themeFill="accent3" w:themeFillTint="7F"/>
      </w:tcPr>
    </w:tblStylePr>
    <w:tblStylePr w:type="band1Horz">
      <w:tblPr/>
      <w:tcPr>
        <w:shd w:val="clear" w:color="auto" w:fill="929BC1" w:themeFill="accent3" w:themeFillTint="7F"/>
      </w:tcPr>
    </w:tblStylePr>
  </w:style>
  <w:style w:type="table" w:styleId="2-3">
    <w:name w:val="Medium Shading 2 Accent 3"/>
    <w:basedOn w:val="a2"/>
    <w:uiPriority w:val="64"/>
    <w:rsid w:val="009577D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D466C"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D466C" w:themeFill="accent3"/>
      </w:tcPr>
    </w:tblStylePr>
    <w:tblStylePr w:type="lastCol">
      <w:rPr>
        <w:b/>
        <w:bCs/>
        <w:color w:val="FFFFFF" w:themeColor="background1"/>
      </w:rPr>
      <w:tblPr/>
      <w:tcPr>
        <w:tcBorders>
          <w:left w:val="nil"/>
          <w:right w:val="nil"/>
          <w:insideH w:val="nil"/>
          <w:insideV w:val="nil"/>
        </w:tcBorders>
        <w:shd w:val="clear" w:color="auto" w:fill="3D466C"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
    <w:name w:val="Colorful Grid Accent 2"/>
    <w:basedOn w:val="a2"/>
    <w:uiPriority w:val="73"/>
    <w:rsid w:val="009577DA"/>
    <w:rPr>
      <w:color w:val="AADC14" w:themeColor="text1"/>
    </w:rPr>
    <w:tblPr>
      <w:tblStyleRowBandSize w:val="1"/>
      <w:tblStyleColBandSize w:val="1"/>
      <w:tblBorders>
        <w:insideH w:val="single" w:sz="4" w:space="0" w:color="FFFFFF" w:themeColor="background1"/>
      </w:tblBorders>
    </w:tblPr>
    <w:tcPr>
      <w:shd w:val="clear" w:color="auto" w:fill="EFFACD" w:themeFill="accent2" w:themeFillTint="33"/>
    </w:tcPr>
    <w:tblStylePr w:type="firstRow">
      <w:rPr>
        <w:b/>
        <w:bCs/>
      </w:rPr>
      <w:tblPr/>
      <w:tcPr>
        <w:shd w:val="clear" w:color="auto" w:fill="DFF69C" w:themeFill="accent2" w:themeFillTint="66"/>
      </w:tcPr>
    </w:tblStylePr>
    <w:tblStylePr w:type="lastRow">
      <w:rPr>
        <w:b/>
        <w:bCs/>
        <w:color w:val="AADC14" w:themeColor="text1"/>
      </w:rPr>
      <w:tblPr/>
      <w:tcPr>
        <w:shd w:val="clear" w:color="auto" w:fill="DFF69C" w:themeFill="accent2" w:themeFillTint="66"/>
      </w:tcPr>
    </w:tblStylePr>
    <w:tblStylePr w:type="firstCol">
      <w:rPr>
        <w:color w:val="FFFFFF" w:themeColor="background1"/>
      </w:rPr>
      <w:tblPr/>
      <w:tcPr>
        <w:shd w:val="clear" w:color="auto" w:fill="7FA40F" w:themeFill="accent2" w:themeFillShade="BF"/>
      </w:tcPr>
    </w:tblStylePr>
    <w:tblStylePr w:type="lastCol">
      <w:rPr>
        <w:color w:val="FFFFFF" w:themeColor="background1"/>
      </w:rPr>
      <w:tblPr/>
      <w:tcPr>
        <w:shd w:val="clear" w:color="auto" w:fill="7FA40F" w:themeFill="accent2" w:themeFillShade="BF"/>
      </w:tcPr>
    </w:tblStylePr>
    <w:tblStylePr w:type="band1Vert">
      <w:tblPr/>
      <w:tcPr>
        <w:shd w:val="clear" w:color="auto" w:fill="D7F383" w:themeFill="accent2" w:themeFillTint="7F"/>
      </w:tcPr>
    </w:tblStylePr>
    <w:tblStylePr w:type="band1Horz">
      <w:tblPr/>
      <w:tcPr>
        <w:shd w:val="clear" w:color="auto" w:fill="D7F383" w:themeFill="accent2" w:themeFillTint="7F"/>
      </w:tcPr>
    </w:tblStylePr>
  </w:style>
  <w:style w:type="paragraph" w:styleId="33">
    <w:name w:val="toc 3"/>
    <w:basedOn w:val="30"/>
    <w:next w:val="a0"/>
    <w:uiPriority w:val="39"/>
    <w:unhideWhenUsed/>
    <w:qFormat/>
    <w:rsid w:val="006F7D73"/>
    <w:pPr>
      <w:keepNext w:val="0"/>
      <w:keepLines w:val="0"/>
      <w:numPr>
        <w:ilvl w:val="0"/>
        <w:numId w:val="0"/>
      </w:numPr>
      <w:tabs>
        <w:tab w:val="left" w:pos="1320"/>
        <w:tab w:val="right" w:leader="dot" w:pos="9627"/>
      </w:tabs>
      <w:spacing w:before="60" w:after="60"/>
      <w:ind w:left="442"/>
      <w:contextualSpacing w:val="0"/>
      <w:jc w:val="left"/>
      <w:outlineLvl w:val="9"/>
    </w:pPr>
    <w:rPr>
      <w:rFonts w:asciiTheme="minorHAnsi" w:eastAsia="Times New Roman" w:hAnsiTheme="minorHAnsi" w:cstheme="minorHAnsi"/>
      <w:b/>
      <w:bCs w:val="0"/>
      <w:iCs/>
      <w:color w:val="auto"/>
      <w:sz w:val="20"/>
      <w:szCs w:val="20"/>
    </w:rPr>
  </w:style>
  <w:style w:type="table" w:styleId="3-3">
    <w:name w:val="Medium Grid 3 Accent 3"/>
    <w:basedOn w:val="a2"/>
    <w:uiPriority w:val="69"/>
    <w:rsid w:val="009577D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DE0"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D466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D466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D466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D466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9BC1"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9BC1" w:themeFill="accent3" w:themeFillTint="7F"/>
      </w:tcPr>
    </w:tblStylePr>
  </w:style>
  <w:style w:type="table" w:styleId="3-1">
    <w:name w:val="Medium Grid 3 Accent 1"/>
    <w:basedOn w:val="a2"/>
    <w:uiPriority w:val="69"/>
    <w:rsid w:val="009577D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6A9FA"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30F4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30F4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30F4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30F4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2C53F5"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2C53F5" w:themeFill="accent1" w:themeFillTint="7F"/>
      </w:tcPr>
    </w:tblStylePr>
  </w:style>
  <w:style w:type="paragraph" w:styleId="31">
    <w:name w:val="List Bullet 3"/>
    <w:basedOn w:val="50"/>
    <w:rsid w:val="0098666A"/>
    <w:pPr>
      <w:numPr>
        <w:ilvl w:val="4"/>
        <w:numId w:val="10"/>
      </w:numPr>
    </w:pPr>
  </w:style>
  <w:style w:type="paragraph" w:styleId="40">
    <w:name w:val="List Bullet 4"/>
    <w:basedOn w:val="50"/>
    <w:rsid w:val="0098666A"/>
    <w:pPr>
      <w:numPr>
        <w:ilvl w:val="5"/>
      </w:numPr>
    </w:pPr>
  </w:style>
  <w:style w:type="paragraph" w:styleId="50">
    <w:name w:val="List Bullet 5"/>
    <w:basedOn w:val="a0"/>
    <w:rsid w:val="0098666A"/>
    <w:pPr>
      <w:numPr>
        <w:ilvl w:val="6"/>
        <w:numId w:val="7"/>
      </w:numPr>
      <w:spacing w:after="120"/>
    </w:pPr>
  </w:style>
  <w:style w:type="paragraph" w:customStyle="1" w:styleId="Quellenangabe">
    <w:name w:val="Quellenangabe"/>
    <w:basedOn w:val="HydrophilStandard"/>
    <w:next w:val="HydrophilStandard"/>
    <w:rsid w:val="00B17924"/>
    <w:pPr>
      <w:spacing w:after="240"/>
    </w:pPr>
    <w:rPr>
      <w:sz w:val="18"/>
    </w:rPr>
  </w:style>
  <w:style w:type="paragraph" w:styleId="ae">
    <w:name w:val="List Number"/>
    <w:basedOn w:val="HydrophilStandard"/>
    <w:rsid w:val="00D30CC8"/>
    <w:pPr>
      <w:tabs>
        <w:tab w:val="num" w:pos="360"/>
      </w:tabs>
      <w:spacing w:before="60" w:after="60"/>
      <w:ind w:left="360" w:hanging="360"/>
    </w:pPr>
  </w:style>
  <w:style w:type="paragraph" w:styleId="23">
    <w:name w:val="List Number 2"/>
    <w:basedOn w:val="HydrophilStandard"/>
    <w:rsid w:val="00D30CC8"/>
    <w:pPr>
      <w:tabs>
        <w:tab w:val="num" w:pos="643"/>
      </w:tabs>
      <w:spacing w:before="60" w:after="60" w:line="264" w:lineRule="auto"/>
      <w:ind w:left="643" w:hanging="360"/>
    </w:pPr>
  </w:style>
  <w:style w:type="paragraph" w:styleId="3">
    <w:name w:val="List Number 3"/>
    <w:basedOn w:val="HydrophilStandard"/>
    <w:rsid w:val="00662675"/>
    <w:pPr>
      <w:numPr>
        <w:numId w:val="3"/>
      </w:numPr>
      <w:tabs>
        <w:tab w:val="right" w:pos="1077"/>
      </w:tabs>
      <w:spacing w:before="60" w:after="60" w:line="264" w:lineRule="auto"/>
      <w:ind w:left="1003"/>
    </w:pPr>
  </w:style>
  <w:style w:type="paragraph" w:styleId="4">
    <w:name w:val="List Number 4"/>
    <w:basedOn w:val="HydrophilStandard"/>
    <w:rsid w:val="00662675"/>
    <w:pPr>
      <w:numPr>
        <w:numId w:val="4"/>
      </w:numPr>
      <w:tabs>
        <w:tab w:val="right" w:pos="1440"/>
      </w:tabs>
      <w:spacing w:before="60" w:after="60" w:line="264" w:lineRule="auto"/>
      <w:ind w:left="1363"/>
    </w:pPr>
  </w:style>
  <w:style w:type="paragraph" w:styleId="5">
    <w:name w:val="List Number 5"/>
    <w:basedOn w:val="HydrophilStandard"/>
    <w:rsid w:val="00662675"/>
    <w:pPr>
      <w:numPr>
        <w:numId w:val="5"/>
      </w:numPr>
      <w:tabs>
        <w:tab w:val="clear" w:pos="1492"/>
        <w:tab w:val="num" w:pos="1723"/>
        <w:tab w:val="right" w:pos="1797"/>
      </w:tabs>
      <w:spacing w:before="60" w:after="60" w:line="264" w:lineRule="auto"/>
      <w:ind w:left="1723"/>
    </w:pPr>
  </w:style>
  <w:style w:type="character" w:customStyle="1" w:styleId="HydrophilStandardZchn">
    <w:name w:val="Hydrophil Standard Zchn"/>
    <w:basedOn w:val="a1"/>
    <w:link w:val="HydrophilStandard"/>
    <w:locked/>
    <w:rsid w:val="004775EC"/>
    <w:rPr>
      <w:rFonts w:eastAsia="Times New Roman" w:cs="Times New Roman"/>
      <w:noProof/>
      <w:szCs w:val="20"/>
      <w:lang w:val="uk-UA" w:eastAsia="de-DE"/>
    </w:rPr>
  </w:style>
  <w:style w:type="table" w:customStyle="1" w:styleId="-411">
    <w:name w:val="Таблица-сетка 4 — акцент 11"/>
    <w:basedOn w:val="a2"/>
    <w:uiPriority w:val="49"/>
    <w:rsid w:val="00133EFD"/>
    <w:pPr>
      <w:jc w:val="center"/>
    </w:pPr>
    <w:tblPr>
      <w:tblStyleRowBandSize w:val="1"/>
      <w:tblStyleColBandSize w:val="1"/>
      <w:tblBorders>
        <w:top w:val="single" w:sz="4" w:space="0" w:color="0B36E8" w:themeColor="accent1" w:themeTint="99"/>
        <w:left w:val="single" w:sz="4" w:space="0" w:color="0B36E8" w:themeColor="accent1" w:themeTint="99"/>
        <w:bottom w:val="single" w:sz="4" w:space="0" w:color="0B36E8" w:themeColor="accent1" w:themeTint="99"/>
        <w:right w:val="single" w:sz="4" w:space="0" w:color="0B36E8" w:themeColor="accent1" w:themeTint="99"/>
        <w:insideH w:val="single" w:sz="4" w:space="0" w:color="0B36E8" w:themeColor="accent1" w:themeTint="99"/>
        <w:insideV w:val="single" w:sz="4" w:space="0" w:color="0B36E8" w:themeColor="accent1" w:themeTint="99"/>
      </w:tblBorders>
    </w:tblPr>
    <w:tcPr>
      <w:vAlign w:val="center"/>
    </w:tcPr>
    <w:tblStylePr w:type="firstRow">
      <w:rPr>
        <w:b/>
        <w:bCs/>
        <w:color w:val="FFFFFF" w:themeColor="background1"/>
      </w:rPr>
      <w:tblPr/>
      <w:tcPr>
        <w:tcBorders>
          <w:top w:val="single" w:sz="4" w:space="0" w:color="030F40" w:themeColor="accent1"/>
          <w:left w:val="single" w:sz="4" w:space="0" w:color="030F40" w:themeColor="accent1"/>
          <w:bottom w:val="single" w:sz="4" w:space="0" w:color="030F40" w:themeColor="accent1"/>
          <w:right w:val="single" w:sz="4" w:space="0" w:color="030F40" w:themeColor="accent1"/>
          <w:insideH w:val="nil"/>
          <w:insideV w:val="nil"/>
        </w:tcBorders>
        <w:shd w:val="clear" w:color="auto" w:fill="030F40" w:themeFill="accent1"/>
      </w:tcPr>
    </w:tblStylePr>
    <w:tblStylePr w:type="lastRow">
      <w:rPr>
        <w:b/>
        <w:bCs/>
      </w:rPr>
      <w:tblPr/>
      <w:tcPr>
        <w:tcBorders>
          <w:top w:val="double" w:sz="4" w:space="0" w:color="030F40" w:themeColor="accent1"/>
        </w:tcBorders>
      </w:tcPr>
    </w:tblStylePr>
    <w:tblStylePr w:type="firstCol">
      <w:rPr>
        <w:b/>
        <w:bCs/>
      </w:rPr>
    </w:tblStylePr>
    <w:tblStylePr w:type="lastCol">
      <w:rPr>
        <w:b/>
        <w:bCs/>
      </w:rPr>
    </w:tblStylePr>
    <w:tblStylePr w:type="band1Vert">
      <w:tblPr/>
      <w:tcPr>
        <w:shd w:val="clear" w:color="auto" w:fill="AABAFB" w:themeFill="accent1" w:themeFillTint="33"/>
      </w:tcPr>
    </w:tblStylePr>
    <w:tblStylePr w:type="band1Horz">
      <w:tblPr/>
      <w:tcPr>
        <w:shd w:val="clear" w:color="auto" w:fill="AABAFB" w:themeFill="accent1" w:themeFillTint="33"/>
      </w:tcPr>
    </w:tblStylePr>
  </w:style>
  <w:style w:type="paragraph" w:customStyle="1" w:styleId="Textzeilentabelle">
    <w:name w:val="Text zeilen tabelle"/>
    <w:basedOn w:val="a0"/>
    <w:rsid w:val="00747F62"/>
    <w:rPr>
      <w:b/>
      <w:bCs/>
      <w:color w:val="FFFFFF" w:themeColor="background1"/>
    </w:rPr>
  </w:style>
  <w:style w:type="character" w:customStyle="1" w:styleId="Mentionnonrsolue1">
    <w:name w:val="Mention non résolue1"/>
    <w:basedOn w:val="a1"/>
    <w:uiPriority w:val="99"/>
    <w:semiHidden/>
    <w:unhideWhenUsed/>
    <w:rsid w:val="009E102A"/>
    <w:rPr>
      <w:color w:val="605E5C"/>
      <w:shd w:val="clear" w:color="auto" w:fill="E1DFDD"/>
    </w:rPr>
  </w:style>
  <w:style w:type="paragraph" w:styleId="43">
    <w:name w:val="toc 4"/>
    <w:basedOn w:val="a0"/>
    <w:next w:val="a0"/>
    <w:autoRedefine/>
    <w:uiPriority w:val="39"/>
    <w:unhideWhenUsed/>
    <w:rsid w:val="002024C6"/>
    <w:pPr>
      <w:ind w:left="660"/>
      <w:jc w:val="left"/>
    </w:pPr>
    <w:rPr>
      <w:rFonts w:asciiTheme="minorHAnsi" w:hAnsiTheme="minorHAnsi" w:cstheme="minorHAnsi"/>
      <w:sz w:val="18"/>
      <w:szCs w:val="18"/>
    </w:rPr>
  </w:style>
  <w:style w:type="paragraph" w:styleId="91">
    <w:name w:val="toc 9"/>
    <w:basedOn w:val="22"/>
    <w:next w:val="a0"/>
    <w:autoRedefine/>
    <w:uiPriority w:val="39"/>
    <w:unhideWhenUsed/>
    <w:rsid w:val="00385103"/>
    <w:pPr>
      <w:tabs>
        <w:tab w:val="clear" w:pos="880"/>
        <w:tab w:val="left" w:pos="567"/>
      </w:tabs>
      <w:ind w:left="0"/>
    </w:pPr>
  </w:style>
  <w:style w:type="paragraph" w:styleId="af">
    <w:name w:val="header"/>
    <w:basedOn w:val="HydrophilStandard"/>
    <w:link w:val="af0"/>
    <w:uiPriority w:val="99"/>
    <w:unhideWhenUsed/>
    <w:rsid w:val="0098666A"/>
    <w:pPr>
      <w:jc w:val="right"/>
    </w:pPr>
    <w:rPr>
      <w:rFonts w:eastAsiaTheme="minorHAnsi"/>
      <w:color w:val="030F40" w:themeColor="text2"/>
      <w:sz w:val="18"/>
      <w:szCs w:val="18"/>
      <w:lang w:eastAsia="de-AT"/>
    </w:rPr>
  </w:style>
  <w:style w:type="character" w:customStyle="1" w:styleId="af0">
    <w:name w:val="Верхний колонтитул Знак"/>
    <w:basedOn w:val="a1"/>
    <w:link w:val="af"/>
    <w:uiPriority w:val="99"/>
    <w:rsid w:val="0098666A"/>
    <w:rPr>
      <w:rFonts w:cs="Times New Roman"/>
      <w:noProof/>
      <w:color w:val="030F40" w:themeColor="text2"/>
      <w:sz w:val="18"/>
      <w:szCs w:val="18"/>
      <w:lang w:val="uk-UA" w:eastAsia="de-AT"/>
    </w:rPr>
  </w:style>
  <w:style w:type="paragraph" w:styleId="af1">
    <w:name w:val="footer"/>
    <w:basedOn w:val="a0"/>
    <w:link w:val="af2"/>
    <w:uiPriority w:val="99"/>
    <w:unhideWhenUsed/>
    <w:rsid w:val="0098666A"/>
    <w:pPr>
      <w:pBdr>
        <w:top w:val="single" w:sz="8" w:space="1" w:color="AADC14" w:themeColor="accent2"/>
      </w:pBdr>
      <w:tabs>
        <w:tab w:val="center" w:pos="4820"/>
        <w:tab w:val="right" w:pos="9072"/>
      </w:tabs>
      <w:jc w:val="left"/>
    </w:pPr>
    <w:rPr>
      <w:rFonts w:asciiTheme="minorHAnsi" w:hAnsiTheme="minorHAnsi" w:cstheme="minorHAnsi"/>
      <w:color w:val="030F40" w:themeColor="text2"/>
      <w:sz w:val="18"/>
      <w:szCs w:val="18"/>
    </w:rPr>
  </w:style>
  <w:style w:type="character" w:customStyle="1" w:styleId="af2">
    <w:name w:val="Нижний колонтитул Знак"/>
    <w:basedOn w:val="a1"/>
    <w:link w:val="af1"/>
    <w:uiPriority w:val="99"/>
    <w:rsid w:val="0098666A"/>
    <w:rPr>
      <w:rFonts w:eastAsia="Times New Roman" w:cstheme="minorHAnsi"/>
      <w:color w:val="030F40" w:themeColor="text2"/>
      <w:sz w:val="18"/>
      <w:szCs w:val="18"/>
      <w:lang w:val="uk-UA" w:eastAsia="de-DE"/>
    </w:rPr>
  </w:style>
  <w:style w:type="character" w:customStyle="1" w:styleId="HydrophilStandardFettZchn">
    <w:name w:val="Hydrophil Standard Fett Zchn"/>
    <w:basedOn w:val="HydrophilStandardZchn"/>
    <w:link w:val="HydrophilStandardFett"/>
    <w:rsid w:val="0098666A"/>
    <w:rPr>
      <w:rFonts w:eastAsia="Times New Roman" w:cs="Times New Roman"/>
      <w:b/>
      <w:noProof/>
      <w:szCs w:val="20"/>
      <w:lang w:val="uk-UA" w:eastAsia="en-GB"/>
    </w:rPr>
  </w:style>
  <w:style w:type="paragraph" w:customStyle="1" w:styleId="Cover-Sektionen">
    <w:name w:val="Cover-Sektionen"/>
    <w:basedOn w:val="Cover-Copy"/>
    <w:qFormat/>
    <w:rsid w:val="006B4E58"/>
    <w:rPr>
      <w:rFonts w:asciiTheme="majorHAnsi" w:eastAsia="Calibri" w:hAnsiTheme="majorHAnsi"/>
      <w:b/>
      <w:bCs/>
      <w:sz w:val="40"/>
      <w:szCs w:val="40"/>
    </w:rPr>
  </w:style>
  <w:style w:type="paragraph" w:customStyle="1" w:styleId="Cover-Copy">
    <w:name w:val="Cover-Copy"/>
    <w:basedOn w:val="HydrophilStandard"/>
    <w:rsid w:val="00C86E73"/>
    <w:pPr>
      <w:spacing w:before="120" w:line="440" w:lineRule="exact"/>
    </w:pPr>
    <w:rPr>
      <w:color w:val="AADC14" w:themeColor="text1"/>
      <w:sz w:val="36"/>
      <w:szCs w:val="30"/>
      <w:lang w:eastAsia="en-US"/>
    </w:rPr>
  </w:style>
  <w:style w:type="paragraph" w:customStyle="1" w:styleId="Cover-Sektionengrau">
    <w:name w:val="Cover-Sektionen grau"/>
    <w:basedOn w:val="Cover-Sektionen"/>
    <w:qFormat/>
    <w:rsid w:val="005F0A54"/>
    <w:pPr>
      <w:pBdr>
        <w:bottom w:val="single" w:sz="2" w:space="1" w:color="808080" w:themeColor="background1" w:themeShade="80"/>
      </w:pBdr>
    </w:pPr>
  </w:style>
  <w:style w:type="paragraph" w:styleId="af3">
    <w:name w:val="List Paragraph"/>
    <w:aliases w:val="En tête 1"/>
    <w:basedOn w:val="a0"/>
    <w:uiPriority w:val="34"/>
    <w:qFormat/>
    <w:rsid w:val="0090402B"/>
    <w:pPr>
      <w:ind w:left="720"/>
      <w:contextualSpacing/>
    </w:pPr>
  </w:style>
  <w:style w:type="table" w:customStyle="1" w:styleId="-561">
    <w:name w:val="Таблица-сетка 5 темная — акцент 61"/>
    <w:basedOn w:val="a2"/>
    <w:uiPriority w:val="50"/>
    <w:rsid w:val="005C7E6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F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FFF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FFF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FFF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FFFF" w:themeFill="accent6"/>
      </w:tcPr>
    </w:tblStylePr>
    <w:tblStylePr w:type="band1Vert">
      <w:tblPr/>
      <w:tcPr>
        <w:shd w:val="clear" w:color="auto" w:fill="FFFFFF" w:themeFill="accent6" w:themeFillTint="66"/>
      </w:tcPr>
    </w:tblStylePr>
    <w:tblStylePr w:type="band1Horz">
      <w:tblPr/>
      <w:tcPr>
        <w:shd w:val="clear" w:color="auto" w:fill="FFFFFF" w:themeFill="accent6" w:themeFillTint="66"/>
      </w:tcPr>
    </w:tblStylePr>
  </w:style>
  <w:style w:type="table" w:customStyle="1" w:styleId="-461">
    <w:name w:val="Таблица-сетка 4 — акцент 61"/>
    <w:basedOn w:val="a2"/>
    <w:uiPriority w:val="49"/>
    <w:rsid w:val="000D162E"/>
    <w:tblPr>
      <w:tblStyleRowBandSize w:val="1"/>
      <w:tblStyleColBandSize w:val="1"/>
      <w:tblBorders>
        <w:top w:val="single" w:sz="4" w:space="0" w:color="FFFFFF" w:themeColor="accent6" w:themeTint="99"/>
        <w:left w:val="single" w:sz="4" w:space="0" w:color="FFFFFF" w:themeColor="accent6" w:themeTint="99"/>
        <w:bottom w:val="single" w:sz="4" w:space="0" w:color="FFFFFF" w:themeColor="accent6" w:themeTint="99"/>
        <w:right w:val="single" w:sz="4" w:space="0" w:color="FFFFFF" w:themeColor="accent6" w:themeTint="99"/>
        <w:insideH w:val="single" w:sz="4" w:space="0" w:color="FFFFFF" w:themeColor="accent6" w:themeTint="99"/>
        <w:insideV w:val="single" w:sz="4" w:space="0" w:color="FFFFFF" w:themeColor="accent6" w:themeTint="99"/>
      </w:tblBorders>
    </w:tblPr>
    <w:tblStylePr w:type="firstRow">
      <w:rPr>
        <w:b/>
        <w:bCs/>
        <w:color w:val="FFFFFF" w:themeColor="background1"/>
      </w:rPr>
      <w:tblPr/>
      <w:tcPr>
        <w:tcBorders>
          <w:top w:val="single" w:sz="4" w:space="0" w:color="FFFFFF" w:themeColor="accent6"/>
          <w:left w:val="single" w:sz="4" w:space="0" w:color="FFFFFF" w:themeColor="accent6"/>
          <w:bottom w:val="single" w:sz="4" w:space="0" w:color="FFFFFF" w:themeColor="accent6"/>
          <w:right w:val="single" w:sz="4" w:space="0" w:color="FFFFFF" w:themeColor="accent6"/>
          <w:insideH w:val="nil"/>
          <w:insideV w:val="nil"/>
        </w:tcBorders>
        <w:shd w:val="clear" w:color="auto" w:fill="FFFFFF" w:themeFill="accent6"/>
      </w:tcPr>
    </w:tblStylePr>
    <w:tblStylePr w:type="lastRow">
      <w:rPr>
        <w:b/>
        <w:bCs/>
      </w:rPr>
      <w:tblPr/>
      <w:tcPr>
        <w:tcBorders>
          <w:top w:val="double" w:sz="4" w:space="0" w:color="FFFFFF" w:themeColor="accent6"/>
        </w:tcBorders>
      </w:tcPr>
    </w:tblStylePr>
    <w:tblStylePr w:type="firstCol">
      <w:rPr>
        <w:b/>
        <w:bCs/>
      </w:rPr>
    </w:tblStylePr>
    <w:tblStylePr w:type="lastCol">
      <w:rPr>
        <w:b/>
        <w:bCs/>
      </w:rPr>
    </w:tblStylePr>
    <w:tblStylePr w:type="band1Vert">
      <w:tblPr/>
      <w:tcPr>
        <w:shd w:val="clear" w:color="auto" w:fill="FFFFFF" w:themeFill="accent6" w:themeFillTint="33"/>
      </w:tcPr>
    </w:tblStylePr>
    <w:tblStylePr w:type="band1Horz">
      <w:tblPr/>
      <w:tcPr>
        <w:shd w:val="clear" w:color="auto" w:fill="FFFFFF" w:themeFill="accent6" w:themeFillTint="33"/>
      </w:tcPr>
    </w:tblStylePr>
  </w:style>
  <w:style w:type="numbering" w:customStyle="1" w:styleId="FormatvorlageNummerierteListeTextkrperCalibri105PtLinks0">
    <w:name w:val="Formatvorlage Nummerierte Liste +Textkörper (Calibri) 105 Pt. Links:  0..."/>
    <w:basedOn w:val="a3"/>
    <w:rsid w:val="00E12DD7"/>
    <w:pPr>
      <w:numPr>
        <w:numId w:val="6"/>
      </w:numPr>
    </w:pPr>
  </w:style>
  <w:style w:type="paragraph" w:styleId="53">
    <w:name w:val="toc 5"/>
    <w:basedOn w:val="a0"/>
    <w:next w:val="a0"/>
    <w:autoRedefine/>
    <w:uiPriority w:val="39"/>
    <w:unhideWhenUsed/>
    <w:rsid w:val="00A6069A"/>
    <w:pPr>
      <w:ind w:left="880"/>
      <w:jc w:val="left"/>
    </w:pPr>
    <w:rPr>
      <w:rFonts w:asciiTheme="minorHAnsi" w:hAnsiTheme="minorHAnsi" w:cstheme="minorHAnsi"/>
      <w:sz w:val="18"/>
      <w:szCs w:val="18"/>
    </w:rPr>
  </w:style>
  <w:style w:type="paragraph" w:styleId="61">
    <w:name w:val="toc 6"/>
    <w:basedOn w:val="a0"/>
    <w:next w:val="a0"/>
    <w:autoRedefine/>
    <w:uiPriority w:val="39"/>
    <w:unhideWhenUsed/>
    <w:rsid w:val="00A6069A"/>
    <w:pPr>
      <w:ind w:left="1100"/>
      <w:jc w:val="left"/>
    </w:pPr>
    <w:rPr>
      <w:rFonts w:asciiTheme="minorHAnsi" w:hAnsiTheme="minorHAnsi" w:cstheme="minorHAnsi"/>
      <w:sz w:val="18"/>
      <w:szCs w:val="18"/>
    </w:rPr>
  </w:style>
  <w:style w:type="paragraph" w:styleId="71">
    <w:name w:val="toc 7"/>
    <w:basedOn w:val="a0"/>
    <w:next w:val="a0"/>
    <w:autoRedefine/>
    <w:uiPriority w:val="39"/>
    <w:unhideWhenUsed/>
    <w:rsid w:val="00A6069A"/>
    <w:pPr>
      <w:ind w:left="1320"/>
      <w:jc w:val="left"/>
    </w:pPr>
    <w:rPr>
      <w:rFonts w:asciiTheme="minorHAnsi" w:hAnsiTheme="minorHAnsi" w:cstheme="minorHAnsi"/>
      <w:sz w:val="18"/>
      <w:szCs w:val="18"/>
    </w:rPr>
  </w:style>
  <w:style w:type="paragraph" w:styleId="81">
    <w:name w:val="toc 8"/>
    <w:basedOn w:val="a0"/>
    <w:next w:val="a0"/>
    <w:autoRedefine/>
    <w:uiPriority w:val="39"/>
    <w:unhideWhenUsed/>
    <w:rsid w:val="00A6069A"/>
    <w:pPr>
      <w:ind w:left="1540"/>
      <w:jc w:val="left"/>
    </w:pPr>
    <w:rPr>
      <w:rFonts w:asciiTheme="minorHAnsi" w:hAnsiTheme="minorHAnsi" w:cstheme="minorHAnsi"/>
      <w:sz w:val="18"/>
      <w:szCs w:val="18"/>
    </w:rPr>
  </w:style>
  <w:style w:type="table" w:customStyle="1" w:styleId="-511">
    <w:name w:val="Таблица-сетка 5 темная — акцент 11"/>
    <w:basedOn w:val="a2"/>
    <w:uiPriority w:val="50"/>
    <w:rsid w:val="00133EFD"/>
    <w:pPr>
      <w:jc w:val="center"/>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ABAFB" w:themeFill="accent1" w:themeFillTint="33"/>
      <w:vAlign w:val="center"/>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30F4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30F4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30F4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30F40" w:themeFill="accent1"/>
      </w:tcPr>
    </w:tblStylePr>
    <w:tblStylePr w:type="band1Vert">
      <w:tblPr/>
      <w:tcPr>
        <w:shd w:val="clear" w:color="auto" w:fill="5575F7" w:themeFill="accent1" w:themeFillTint="66"/>
      </w:tcPr>
    </w:tblStylePr>
    <w:tblStylePr w:type="band1Horz">
      <w:tblPr/>
      <w:tcPr>
        <w:shd w:val="clear" w:color="auto" w:fill="5575F7" w:themeFill="accent1" w:themeFillTint="66"/>
      </w:tcPr>
    </w:tblStylePr>
  </w:style>
  <w:style w:type="table" w:styleId="af4">
    <w:name w:val="Table Grid"/>
    <w:basedOn w:val="a2"/>
    <w:uiPriority w:val="59"/>
    <w:rsid w:val="004A1E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 светлая1"/>
    <w:basedOn w:val="a2"/>
    <w:uiPriority w:val="40"/>
    <w:rsid w:val="004A1E3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extheadingstabelle">
    <w:name w:val="Text headings tabelle"/>
    <w:basedOn w:val="HydrophilStandardFett"/>
    <w:next w:val="HydrophilStandardFett"/>
    <w:rsid w:val="001B5B6D"/>
    <w:pPr>
      <w:spacing w:before="0" w:after="0"/>
      <w:contextualSpacing w:val="0"/>
      <w:jc w:val="center"/>
    </w:pPr>
    <w:rPr>
      <w:color w:val="FFFFFF" w:themeColor="background1"/>
    </w:rPr>
  </w:style>
  <w:style w:type="table" w:customStyle="1" w:styleId="-421">
    <w:name w:val="Таблица-сетка 4 — акцент 21"/>
    <w:basedOn w:val="a2"/>
    <w:uiPriority w:val="49"/>
    <w:rsid w:val="006627EC"/>
    <w:tblPr>
      <w:tblStyleRowBandSize w:val="1"/>
      <w:tblStyleColBandSize w:val="1"/>
      <w:tblBorders>
        <w:top w:val="single" w:sz="4" w:space="0" w:color="CFF16A" w:themeColor="accent2" w:themeTint="99"/>
        <w:left w:val="single" w:sz="4" w:space="0" w:color="CFF16A" w:themeColor="accent2" w:themeTint="99"/>
        <w:bottom w:val="single" w:sz="4" w:space="0" w:color="CFF16A" w:themeColor="accent2" w:themeTint="99"/>
        <w:right w:val="single" w:sz="4" w:space="0" w:color="CFF16A" w:themeColor="accent2" w:themeTint="99"/>
        <w:insideH w:val="single" w:sz="4" w:space="0" w:color="CFF16A" w:themeColor="accent2" w:themeTint="99"/>
        <w:insideV w:val="single" w:sz="4" w:space="0" w:color="CFF16A" w:themeColor="accent2" w:themeTint="99"/>
      </w:tblBorders>
    </w:tblPr>
    <w:tblStylePr w:type="firstRow">
      <w:rPr>
        <w:b/>
        <w:bCs/>
        <w:color w:val="FFFFFF" w:themeColor="background1"/>
      </w:rPr>
      <w:tblPr/>
      <w:tcPr>
        <w:tcBorders>
          <w:top w:val="single" w:sz="4" w:space="0" w:color="AADC14" w:themeColor="accent2"/>
          <w:left w:val="single" w:sz="4" w:space="0" w:color="AADC14" w:themeColor="accent2"/>
          <w:bottom w:val="single" w:sz="4" w:space="0" w:color="AADC14" w:themeColor="accent2"/>
          <w:right w:val="single" w:sz="4" w:space="0" w:color="AADC14" w:themeColor="accent2"/>
          <w:insideH w:val="nil"/>
          <w:insideV w:val="nil"/>
        </w:tcBorders>
        <w:shd w:val="clear" w:color="auto" w:fill="AADC14" w:themeFill="accent2"/>
      </w:tcPr>
    </w:tblStylePr>
    <w:tblStylePr w:type="lastRow">
      <w:rPr>
        <w:b/>
        <w:bCs/>
      </w:rPr>
      <w:tblPr/>
      <w:tcPr>
        <w:tcBorders>
          <w:top w:val="double" w:sz="4" w:space="0" w:color="AADC14" w:themeColor="accent2"/>
        </w:tcBorders>
      </w:tcPr>
    </w:tblStylePr>
    <w:tblStylePr w:type="firstCol">
      <w:rPr>
        <w:b/>
        <w:bCs/>
      </w:rPr>
    </w:tblStylePr>
    <w:tblStylePr w:type="lastCol">
      <w:rPr>
        <w:b/>
        <w:bCs/>
      </w:rPr>
    </w:tblStylePr>
    <w:tblStylePr w:type="band1Vert">
      <w:tblPr/>
      <w:tcPr>
        <w:shd w:val="clear" w:color="auto" w:fill="EFFACD" w:themeFill="accent2" w:themeFillTint="33"/>
      </w:tcPr>
    </w:tblStylePr>
    <w:tblStylePr w:type="band1Horz">
      <w:tblPr/>
      <w:tcPr>
        <w:shd w:val="clear" w:color="auto" w:fill="EFFACD" w:themeFill="accent2" w:themeFillTint="33"/>
      </w:tcPr>
    </w:tblStylePr>
  </w:style>
  <w:style w:type="table" w:customStyle="1" w:styleId="-521">
    <w:name w:val="Таблица-сетка 5 темная — акцент 21"/>
    <w:basedOn w:val="a2"/>
    <w:uiPriority w:val="50"/>
    <w:rsid w:val="006627E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FACD"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ADC14"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ADC14"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ADC14"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ADC14" w:themeFill="accent2"/>
      </w:tcPr>
    </w:tblStylePr>
    <w:tblStylePr w:type="band1Vert">
      <w:tblPr/>
      <w:tcPr>
        <w:shd w:val="clear" w:color="auto" w:fill="DFF69C" w:themeFill="accent2" w:themeFillTint="66"/>
      </w:tcPr>
    </w:tblStylePr>
    <w:tblStylePr w:type="band1Horz">
      <w:tblPr/>
      <w:tcPr>
        <w:shd w:val="clear" w:color="auto" w:fill="DFF69C" w:themeFill="accent2" w:themeFillTint="66"/>
      </w:tcPr>
    </w:tblStylePr>
  </w:style>
  <w:style w:type="paragraph" w:customStyle="1" w:styleId="CoverEntitAdresse">
    <w:name w:val="Cover Entité Adresse"/>
    <w:basedOn w:val="a0"/>
    <w:rsid w:val="000F7F68"/>
    <w:pPr>
      <w:ind w:left="142"/>
      <w:jc w:val="left"/>
    </w:pPr>
    <w:rPr>
      <w:rFonts w:asciiTheme="majorHAnsi" w:eastAsia="Calibri" w:hAnsiTheme="majorHAnsi" w:cstheme="minorHAnsi"/>
      <w:color w:val="FFFFFF" w:themeColor="background1"/>
      <w:sz w:val="20"/>
      <w:szCs w:val="22"/>
      <w:lang w:eastAsia="en-US"/>
    </w:rPr>
  </w:style>
  <w:style w:type="table" w:customStyle="1" w:styleId="-431">
    <w:name w:val="Таблица-сетка 4 — акцент 31"/>
    <w:basedOn w:val="a2"/>
    <w:uiPriority w:val="49"/>
    <w:rsid w:val="00D52E9D"/>
    <w:tblPr>
      <w:tblStyleRowBandSize w:val="1"/>
      <w:tblStyleColBandSize w:val="1"/>
      <w:tblBorders>
        <w:top w:val="single" w:sz="4" w:space="0" w:color="7C86B5" w:themeColor="accent3" w:themeTint="99"/>
        <w:left w:val="single" w:sz="4" w:space="0" w:color="7C86B5" w:themeColor="accent3" w:themeTint="99"/>
        <w:bottom w:val="single" w:sz="4" w:space="0" w:color="7C86B5" w:themeColor="accent3" w:themeTint="99"/>
        <w:right w:val="single" w:sz="4" w:space="0" w:color="7C86B5" w:themeColor="accent3" w:themeTint="99"/>
        <w:insideH w:val="single" w:sz="4" w:space="0" w:color="7C86B5" w:themeColor="accent3" w:themeTint="99"/>
        <w:insideV w:val="single" w:sz="4" w:space="0" w:color="7C86B5" w:themeColor="accent3" w:themeTint="99"/>
      </w:tblBorders>
    </w:tblPr>
    <w:tblStylePr w:type="firstRow">
      <w:rPr>
        <w:b/>
        <w:bCs/>
        <w:color w:val="FFFFFF" w:themeColor="background1"/>
      </w:rPr>
      <w:tblPr/>
      <w:tcPr>
        <w:tcBorders>
          <w:top w:val="single" w:sz="4" w:space="0" w:color="3D466C" w:themeColor="accent3"/>
          <w:left w:val="single" w:sz="4" w:space="0" w:color="3D466C" w:themeColor="accent3"/>
          <w:bottom w:val="single" w:sz="4" w:space="0" w:color="3D466C" w:themeColor="accent3"/>
          <w:right w:val="single" w:sz="4" w:space="0" w:color="3D466C" w:themeColor="accent3"/>
          <w:insideH w:val="nil"/>
          <w:insideV w:val="nil"/>
        </w:tcBorders>
        <w:shd w:val="clear" w:color="auto" w:fill="3D466C" w:themeFill="accent3"/>
      </w:tcPr>
    </w:tblStylePr>
    <w:tblStylePr w:type="lastRow">
      <w:rPr>
        <w:b/>
        <w:bCs/>
      </w:rPr>
      <w:tblPr/>
      <w:tcPr>
        <w:tcBorders>
          <w:top w:val="double" w:sz="4" w:space="0" w:color="3D466C" w:themeColor="accent3"/>
        </w:tcBorders>
      </w:tcPr>
    </w:tblStylePr>
    <w:tblStylePr w:type="firstCol">
      <w:rPr>
        <w:b/>
        <w:bCs/>
      </w:rPr>
    </w:tblStylePr>
    <w:tblStylePr w:type="lastCol">
      <w:rPr>
        <w:b/>
        <w:bCs/>
      </w:rPr>
    </w:tblStylePr>
    <w:tblStylePr w:type="band1Vert">
      <w:tblPr/>
      <w:tcPr>
        <w:shd w:val="clear" w:color="auto" w:fill="D3D6E6" w:themeFill="accent3" w:themeFillTint="33"/>
      </w:tcPr>
    </w:tblStylePr>
    <w:tblStylePr w:type="band1Horz">
      <w:tblPr/>
      <w:tcPr>
        <w:shd w:val="clear" w:color="auto" w:fill="D3D6E6" w:themeFill="accent3" w:themeFillTint="33"/>
      </w:tcPr>
    </w:tblStylePr>
  </w:style>
  <w:style w:type="table" w:customStyle="1" w:styleId="-531">
    <w:name w:val="Таблица-сетка 5 темная — акцент 31"/>
    <w:basedOn w:val="a2"/>
    <w:uiPriority w:val="50"/>
    <w:rsid w:val="00D52E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6E6"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D466C"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D466C"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D466C"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D466C" w:themeFill="accent3"/>
      </w:tcPr>
    </w:tblStylePr>
    <w:tblStylePr w:type="band1Vert">
      <w:tblPr/>
      <w:tcPr>
        <w:shd w:val="clear" w:color="auto" w:fill="A7AECD" w:themeFill="accent3" w:themeFillTint="66"/>
      </w:tcPr>
    </w:tblStylePr>
    <w:tblStylePr w:type="band1Horz">
      <w:tblPr/>
      <w:tcPr>
        <w:shd w:val="clear" w:color="auto" w:fill="A7AECD" w:themeFill="accent3" w:themeFillTint="66"/>
      </w:tcPr>
    </w:tblStylePr>
  </w:style>
  <w:style w:type="table" w:customStyle="1" w:styleId="-51">
    <w:name w:val="Таблица-сетка 5 темная1"/>
    <w:basedOn w:val="a2"/>
    <w:uiPriority w:val="50"/>
    <w:rsid w:val="00D52E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FACD"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ADC14"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ADC14"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ADC14"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ADC14" w:themeFill="text1"/>
      </w:tcPr>
    </w:tblStylePr>
    <w:tblStylePr w:type="band1Vert">
      <w:tblPr/>
      <w:tcPr>
        <w:shd w:val="clear" w:color="auto" w:fill="DFF69C" w:themeFill="text1" w:themeFillTint="66"/>
      </w:tcPr>
    </w:tblStylePr>
    <w:tblStylePr w:type="band1Horz">
      <w:tblPr/>
      <w:tcPr>
        <w:shd w:val="clear" w:color="auto" w:fill="DFF69C" w:themeFill="text1" w:themeFillTint="66"/>
      </w:tcPr>
    </w:tblStylePr>
  </w:style>
  <w:style w:type="table" w:customStyle="1" w:styleId="-41">
    <w:name w:val="Таблица-сетка 41"/>
    <w:basedOn w:val="a2"/>
    <w:uiPriority w:val="49"/>
    <w:rsid w:val="00C2598D"/>
    <w:tblPr>
      <w:tblStyleRowBandSize w:val="1"/>
      <w:tblStyleColBandSize w:val="1"/>
      <w:tblBorders>
        <w:top w:val="single" w:sz="4" w:space="0" w:color="CFF16A" w:themeColor="text1" w:themeTint="99"/>
        <w:left w:val="single" w:sz="4" w:space="0" w:color="CFF16A" w:themeColor="text1" w:themeTint="99"/>
        <w:bottom w:val="single" w:sz="4" w:space="0" w:color="CFF16A" w:themeColor="text1" w:themeTint="99"/>
        <w:right w:val="single" w:sz="4" w:space="0" w:color="CFF16A" w:themeColor="text1" w:themeTint="99"/>
        <w:insideH w:val="single" w:sz="4" w:space="0" w:color="CFF16A" w:themeColor="text1" w:themeTint="99"/>
        <w:insideV w:val="single" w:sz="4" w:space="0" w:color="CFF16A" w:themeColor="text1" w:themeTint="99"/>
      </w:tblBorders>
    </w:tblPr>
    <w:tblStylePr w:type="firstRow">
      <w:rPr>
        <w:b/>
        <w:bCs/>
        <w:color w:val="FFFFFF" w:themeColor="background1"/>
      </w:rPr>
      <w:tblPr/>
      <w:tcPr>
        <w:tcBorders>
          <w:top w:val="single" w:sz="4" w:space="0" w:color="AADC14" w:themeColor="text1"/>
          <w:left w:val="single" w:sz="4" w:space="0" w:color="AADC14" w:themeColor="text1"/>
          <w:bottom w:val="single" w:sz="4" w:space="0" w:color="AADC14" w:themeColor="text1"/>
          <w:right w:val="single" w:sz="4" w:space="0" w:color="AADC14" w:themeColor="text1"/>
          <w:insideH w:val="nil"/>
          <w:insideV w:val="nil"/>
        </w:tcBorders>
        <w:shd w:val="clear" w:color="auto" w:fill="AADC14" w:themeFill="text1"/>
      </w:tcPr>
    </w:tblStylePr>
    <w:tblStylePr w:type="lastRow">
      <w:rPr>
        <w:b/>
        <w:bCs/>
      </w:rPr>
      <w:tblPr/>
      <w:tcPr>
        <w:tcBorders>
          <w:top w:val="double" w:sz="4" w:space="0" w:color="AADC14" w:themeColor="text1"/>
        </w:tcBorders>
      </w:tcPr>
    </w:tblStylePr>
    <w:tblStylePr w:type="firstCol">
      <w:rPr>
        <w:b/>
        <w:bCs/>
      </w:rPr>
    </w:tblStylePr>
    <w:tblStylePr w:type="lastCol">
      <w:rPr>
        <w:b/>
        <w:bCs/>
      </w:rPr>
    </w:tblStylePr>
    <w:tblStylePr w:type="band1Vert">
      <w:tblPr/>
      <w:tcPr>
        <w:shd w:val="clear" w:color="auto" w:fill="EFFACD" w:themeFill="text1" w:themeFillTint="33"/>
      </w:tcPr>
    </w:tblStylePr>
    <w:tblStylePr w:type="band1Horz">
      <w:tblPr/>
      <w:tcPr>
        <w:shd w:val="clear" w:color="auto" w:fill="EFFACD" w:themeFill="text1" w:themeFillTint="33"/>
      </w:tcPr>
    </w:tblStylePr>
  </w:style>
  <w:style w:type="table" w:customStyle="1" w:styleId="-441">
    <w:name w:val="Таблица-сетка 4 — акцент 41"/>
    <w:basedOn w:val="a2"/>
    <w:uiPriority w:val="49"/>
    <w:rsid w:val="00C2598D"/>
    <w:tblPr>
      <w:tblStyleRowBandSize w:val="1"/>
      <w:tblStyleColBandSize w:val="1"/>
      <w:tblBorders>
        <w:top w:val="single" w:sz="4" w:space="0" w:color="ECF0DD" w:themeColor="accent4" w:themeTint="99"/>
        <w:left w:val="single" w:sz="4" w:space="0" w:color="ECF0DD" w:themeColor="accent4" w:themeTint="99"/>
        <w:bottom w:val="single" w:sz="4" w:space="0" w:color="ECF0DD" w:themeColor="accent4" w:themeTint="99"/>
        <w:right w:val="single" w:sz="4" w:space="0" w:color="ECF0DD" w:themeColor="accent4" w:themeTint="99"/>
        <w:insideH w:val="single" w:sz="4" w:space="0" w:color="ECF0DD" w:themeColor="accent4" w:themeTint="99"/>
        <w:insideV w:val="single" w:sz="4" w:space="0" w:color="ECF0DD" w:themeColor="accent4" w:themeTint="99"/>
      </w:tblBorders>
    </w:tblPr>
    <w:tblStylePr w:type="firstRow">
      <w:rPr>
        <w:b/>
        <w:bCs/>
        <w:color w:val="FFFFFF" w:themeColor="background1"/>
      </w:rPr>
      <w:tblPr/>
      <w:tcPr>
        <w:tcBorders>
          <w:top w:val="single" w:sz="4" w:space="0" w:color="E0E7C7" w:themeColor="accent4"/>
          <w:left w:val="single" w:sz="4" w:space="0" w:color="E0E7C7" w:themeColor="accent4"/>
          <w:bottom w:val="single" w:sz="4" w:space="0" w:color="E0E7C7" w:themeColor="accent4"/>
          <w:right w:val="single" w:sz="4" w:space="0" w:color="E0E7C7" w:themeColor="accent4"/>
          <w:insideH w:val="nil"/>
          <w:insideV w:val="nil"/>
        </w:tcBorders>
        <w:shd w:val="clear" w:color="auto" w:fill="E0E7C7" w:themeFill="accent4"/>
      </w:tcPr>
    </w:tblStylePr>
    <w:tblStylePr w:type="lastRow">
      <w:rPr>
        <w:b/>
        <w:bCs/>
      </w:rPr>
      <w:tblPr/>
      <w:tcPr>
        <w:tcBorders>
          <w:top w:val="double" w:sz="4" w:space="0" w:color="E0E7C7" w:themeColor="accent4"/>
        </w:tcBorders>
      </w:tcPr>
    </w:tblStylePr>
    <w:tblStylePr w:type="firstCol">
      <w:rPr>
        <w:b/>
        <w:bCs/>
      </w:rPr>
    </w:tblStylePr>
    <w:tblStylePr w:type="lastCol">
      <w:rPr>
        <w:b/>
        <w:bCs/>
      </w:rPr>
    </w:tblStylePr>
    <w:tblStylePr w:type="band1Vert">
      <w:tblPr/>
      <w:tcPr>
        <w:shd w:val="clear" w:color="auto" w:fill="F8FAF3" w:themeFill="accent4" w:themeFillTint="33"/>
      </w:tcPr>
    </w:tblStylePr>
    <w:tblStylePr w:type="band1Horz">
      <w:tblPr/>
      <w:tcPr>
        <w:shd w:val="clear" w:color="auto" w:fill="F8FAF3" w:themeFill="accent4" w:themeFillTint="33"/>
      </w:tcPr>
    </w:tblStylePr>
  </w:style>
  <w:style w:type="table" w:customStyle="1" w:styleId="-451">
    <w:name w:val="Таблица-сетка 4 — акцент 51"/>
    <w:basedOn w:val="a2"/>
    <w:uiPriority w:val="49"/>
    <w:rsid w:val="00C2598D"/>
    <w:tblPr>
      <w:tblStyleRowBandSize w:val="1"/>
      <w:tblStyleColBandSize w:val="1"/>
      <w:tblBorders>
        <w:top w:val="single" w:sz="4" w:space="0" w:color="EEEEF2" w:themeColor="accent5" w:themeTint="99"/>
        <w:left w:val="single" w:sz="4" w:space="0" w:color="EEEEF2" w:themeColor="accent5" w:themeTint="99"/>
        <w:bottom w:val="single" w:sz="4" w:space="0" w:color="EEEEF2" w:themeColor="accent5" w:themeTint="99"/>
        <w:right w:val="single" w:sz="4" w:space="0" w:color="EEEEF2" w:themeColor="accent5" w:themeTint="99"/>
        <w:insideH w:val="single" w:sz="4" w:space="0" w:color="EEEEF2" w:themeColor="accent5" w:themeTint="99"/>
        <w:insideV w:val="single" w:sz="4" w:space="0" w:color="EEEEF2" w:themeColor="accent5" w:themeTint="99"/>
      </w:tblBorders>
    </w:tblPr>
    <w:tblStylePr w:type="firstRow">
      <w:rPr>
        <w:b/>
        <w:bCs/>
        <w:color w:val="FFFFFF" w:themeColor="background1"/>
      </w:rPr>
      <w:tblPr/>
      <w:tcPr>
        <w:tcBorders>
          <w:top w:val="single" w:sz="4" w:space="0" w:color="E3E4EA" w:themeColor="accent5"/>
          <w:left w:val="single" w:sz="4" w:space="0" w:color="E3E4EA" w:themeColor="accent5"/>
          <w:bottom w:val="single" w:sz="4" w:space="0" w:color="E3E4EA" w:themeColor="accent5"/>
          <w:right w:val="single" w:sz="4" w:space="0" w:color="E3E4EA" w:themeColor="accent5"/>
          <w:insideH w:val="nil"/>
          <w:insideV w:val="nil"/>
        </w:tcBorders>
        <w:shd w:val="clear" w:color="auto" w:fill="E3E4EA" w:themeFill="accent5"/>
      </w:tcPr>
    </w:tblStylePr>
    <w:tblStylePr w:type="lastRow">
      <w:rPr>
        <w:b/>
        <w:bCs/>
      </w:rPr>
      <w:tblPr/>
      <w:tcPr>
        <w:tcBorders>
          <w:top w:val="double" w:sz="4" w:space="0" w:color="E3E4EA" w:themeColor="accent5"/>
        </w:tcBorders>
      </w:tcPr>
    </w:tblStylePr>
    <w:tblStylePr w:type="firstCol">
      <w:rPr>
        <w:b/>
        <w:bCs/>
      </w:rPr>
    </w:tblStylePr>
    <w:tblStylePr w:type="lastCol">
      <w:rPr>
        <w:b/>
        <w:bCs/>
      </w:rPr>
    </w:tblStylePr>
    <w:tblStylePr w:type="band1Vert">
      <w:tblPr/>
      <w:tcPr>
        <w:shd w:val="clear" w:color="auto" w:fill="F9F9FA" w:themeFill="accent5" w:themeFillTint="33"/>
      </w:tcPr>
    </w:tblStylePr>
    <w:tblStylePr w:type="band1Horz">
      <w:tblPr/>
      <w:tcPr>
        <w:shd w:val="clear" w:color="auto" w:fill="F9F9FA" w:themeFill="accent5" w:themeFillTint="33"/>
      </w:tcPr>
    </w:tblStylePr>
  </w:style>
  <w:style w:type="paragraph" w:styleId="af5">
    <w:name w:val="Normal (Web)"/>
    <w:basedOn w:val="a0"/>
    <w:uiPriority w:val="99"/>
    <w:rsid w:val="0003612E"/>
    <w:pPr>
      <w:spacing w:after="200" w:line="276" w:lineRule="auto"/>
      <w:jc w:val="left"/>
    </w:pPr>
    <w:rPr>
      <w:rFonts w:ascii="Times New Roman" w:eastAsia="Calibri" w:hAnsi="Times New Roman"/>
      <w:sz w:val="24"/>
      <w:szCs w:val="24"/>
      <w:lang w:eastAsia="en-US"/>
    </w:rPr>
  </w:style>
  <w:style w:type="paragraph" w:styleId="af6">
    <w:name w:val="footnote text"/>
    <w:basedOn w:val="a0"/>
    <w:link w:val="af7"/>
    <w:uiPriority w:val="99"/>
    <w:semiHidden/>
    <w:unhideWhenUsed/>
    <w:rsid w:val="00297253"/>
    <w:rPr>
      <w:sz w:val="20"/>
    </w:rPr>
  </w:style>
  <w:style w:type="character" w:customStyle="1" w:styleId="af7">
    <w:name w:val="Текст сноски Знак"/>
    <w:basedOn w:val="a1"/>
    <w:link w:val="af6"/>
    <w:uiPriority w:val="99"/>
    <w:semiHidden/>
    <w:rsid w:val="00297253"/>
    <w:rPr>
      <w:rFonts w:ascii="Calibri" w:eastAsia="Times New Roman" w:hAnsi="Calibri" w:cs="Times New Roman"/>
      <w:sz w:val="20"/>
      <w:szCs w:val="20"/>
      <w:lang w:val="uk-UA" w:eastAsia="de-DE"/>
    </w:rPr>
  </w:style>
  <w:style w:type="character" w:styleId="af8">
    <w:name w:val="footnote reference"/>
    <w:basedOn w:val="a1"/>
    <w:uiPriority w:val="99"/>
    <w:semiHidden/>
    <w:unhideWhenUsed/>
    <w:rsid w:val="00297253"/>
    <w:rPr>
      <w:vertAlign w:val="superscript"/>
    </w:rPr>
  </w:style>
  <w:style w:type="paragraph" w:styleId="af9">
    <w:name w:val="Body Text Indent"/>
    <w:basedOn w:val="a0"/>
    <w:link w:val="afa"/>
    <w:uiPriority w:val="99"/>
    <w:semiHidden/>
    <w:unhideWhenUsed/>
    <w:rsid w:val="00834427"/>
    <w:pPr>
      <w:spacing w:after="120"/>
      <w:ind w:left="283"/>
    </w:pPr>
  </w:style>
  <w:style w:type="character" w:customStyle="1" w:styleId="afa">
    <w:name w:val="Основной текст с отступом Знак"/>
    <w:basedOn w:val="a1"/>
    <w:link w:val="af9"/>
    <w:uiPriority w:val="99"/>
    <w:semiHidden/>
    <w:rsid w:val="00834427"/>
    <w:rPr>
      <w:rFonts w:ascii="Calibri" w:eastAsia="Times New Roman" w:hAnsi="Calibri" w:cs="Times New Roman"/>
      <w:szCs w:val="20"/>
      <w:lang w:val="uk-UA" w:eastAsia="de-DE"/>
    </w:rPr>
  </w:style>
  <w:style w:type="character" w:styleId="afb">
    <w:name w:val="FollowedHyperlink"/>
    <w:basedOn w:val="a1"/>
    <w:uiPriority w:val="99"/>
    <w:semiHidden/>
    <w:unhideWhenUsed/>
    <w:rsid w:val="00C27266"/>
    <w:rPr>
      <w:color w:val="030F40" w:themeColor="followedHyperlink"/>
      <w:u w:val="single"/>
    </w:rPr>
  </w:style>
  <w:style w:type="paragraph" w:customStyle="1" w:styleId="xl63">
    <w:name w:val="xl63"/>
    <w:basedOn w:val="a0"/>
    <w:rsid w:val="008719C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szCs w:val="24"/>
      <w:lang w:eastAsia="en-GB"/>
    </w:rPr>
  </w:style>
  <w:style w:type="paragraph" w:customStyle="1" w:styleId="xl64">
    <w:name w:val="xl64"/>
    <w:basedOn w:val="a0"/>
    <w:rsid w:val="008719C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4"/>
      <w:szCs w:val="24"/>
      <w:lang w:eastAsia="en-GB"/>
    </w:rPr>
  </w:style>
  <w:style w:type="paragraph" w:customStyle="1" w:styleId="xl65">
    <w:name w:val="xl65"/>
    <w:basedOn w:val="a0"/>
    <w:rsid w:val="008719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eastAsia="en-GB"/>
    </w:rPr>
  </w:style>
  <w:style w:type="paragraph" w:customStyle="1" w:styleId="xl66">
    <w:name w:val="xl66"/>
    <w:basedOn w:val="a0"/>
    <w:rsid w:val="008719C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eastAsia="en-GB"/>
    </w:rPr>
  </w:style>
  <w:style w:type="paragraph" w:customStyle="1" w:styleId="xl67">
    <w:name w:val="xl67"/>
    <w:basedOn w:val="a0"/>
    <w:rsid w:val="008719CD"/>
    <w:pPr>
      <w:pBdr>
        <w:top w:val="single" w:sz="4" w:space="0" w:color="auto"/>
        <w:left w:val="single" w:sz="4" w:space="0" w:color="auto"/>
      </w:pBdr>
      <w:spacing w:before="100" w:beforeAutospacing="1" w:after="100" w:afterAutospacing="1"/>
      <w:jc w:val="center"/>
      <w:textAlignment w:val="center"/>
    </w:pPr>
    <w:rPr>
      <w:rFonts w:ascii="Times New Roman" w:hAnsi="Times New Roman"/>
      <w:sz w:val="24"/>
      <w:szCs w:val="24"/>
      <w:lang w:eastAsia="en-GB"/>
    </w:rPr>
  </w:style>
  <w:style w:type="paragraph" w:customStyle="1" w:styleId="xl68">
    <w:name w:val="xl68"/>
    <w:basedOn w:val="a0"/>
    <w:rsid w:val="008719CD"/>
    <w:pPr>
      <w:pBdr>
        <w:top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eastAsia="en-GB"/>
    </w:rPr>
  </w:style>
  <w:style w:type="paragraph" w:customStyle="1" w:styleId="xl69">
    <w:name w:val="xl69"/>
    <w:basedOn w:val="a0"/>
    <w:rsid w:val="008719CD"/>
    <w:pPr>
      <w:pBdr>
        <w:left w:val="single" w:sz="4" w:space="0" w:color="auto"/>
      </w:pBdr>
      <w:spacing w:before="100" w:beforeAutospacing="1" w:after="100" w:afterAutospacing="1"/>
      <w:jc w:val="center"/>
      <w:textAlignment w:val="center"/>
    </w:pPr>
    <w:rPr>
      <w:rFonts w:ascii="Times New Roman" w:hAnsi="Times New Roman"/>
      <w:sz w:val="24"/>
      <w:szCs w:val="24"/>
      <w:lang w:eastAsia="en-GB"/>
    </w:rPr>
  </w:style>
  <w:style w:type="paragraph" w:customStyle="1" w:styleId="xl70">
    <w:name w:val="xl70"/>
    <w:basedOn w:val="a0"/>
    <w:rsid w:val="008719CD"/>
    <w:pPr>
      <w:pBdr>
        <w:right w:val="single" w:sz="4" w:space="0" w:color="auto"/>
      </w:pBdr>
      <w:spacing w:before="100" w:beforeAutospacing="1" w:after="100" w:afterAutospacing="1"/>
      <w:jc w:val="center"/>
      <w:textAlignment w:val="center"/>
    </w:pPr>
    <w:rPr>
      <w:rFonts w:ascii="Times New Roman" w:hAnsi="Times New Roman"/>
      <w:sz w:val="24"/>
      <w:szCs w:val="24"/>
      <w:lang w:eastAsia="en-GB"/>
    </w:rPr>
  </w:style>
  <w:style w:type="paragraph" w:customStyle="1" w:styleId="xl71">
    <w:name w:val="xl71"/>
    <w:basedOn w:val="a0"/>
    <w:rsid w:val="008719CD"/>
    <w:pPr>
      <w:pBdr>
        <w:left w:val="single" w:sz="4" w:space="0" w:color="auto"/>
        <w:bottom w:val="single" w:sz="4" w:space="0" w:color="auto"/>
      </w:pBdr>
      <w:spacing w:before="100" w:beforeAutospacing="1" w:after="100" w:afterAutospacing="1"/>
      <w:jc w:val="center"/>
      <w:textAlignment w:val="center"/>
    </w:pPr>
    <w:rPr>
      <w:rFonts w:ascii="Times New Roman" w:hAnsi="Times New Roman"/>
      <w:sz w:val="24"/>
      <w:szCs w:val="24"/>
      <w:lang w:eastAsia="en-GB"/>
    </w:rPr>
  </w:style>
  <w:style w:type="paragraph" w:customStyle="1" w:styleId="xl72">
    <w:name w:val="xl72"/>
    <w:basedOn w:val="a0"/>
    <w:rsid w:val="008719CD"/>
    <w:pPr>
      <w:pBdr>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eastAsia="en-GB"/>
    </w:rPr>
  </w:style>
  <w:style w:type="paragraph" w:customStyle="1" w:styleId="xl73">
    <w:name w:val="xl73"/>
    <w:basedOn w:val="a0"/>
    <w:rsid w:val="008719CD"/>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sz w:val="24"/>
      <w:szCs w:val="24"/>
      <w:lang w:eastAsia="en-GB"/>
    </w:rPr>
  </w:style>
  <w:style w:type="paragraph" w:customStyle="1" w:styleId="xl74">
    <w:name w:val="xl74"/>
    <w:basedOn w:val="a0"/>
    <w:rsid w:val="008719CD"/>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lang w:eastAsia="en-GB"/>
    </w:rPr>
  </w:style>
  <w:style w:type="paragraph" w:customStyle="1" w:styleId="xl75">
    <w:name w:val="xl75"/>
    <w:basedOn w:val="a0"/>
    <w:rsid w:val="008719CD"/>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jc w:val="center"/>
      <w:textAlignment w:val="center"/>
    </w:pPr>
    <w:rPr>
      <w:rFonts w:cs="Calibri"/>
      <w:b/>
      <w:bCs/>
      <w:color w:val="FFFFFF"/>
      <w:sz w:val="24"/>
      <w:szCs w:val="24"/>
      <w:lang w:eastAsia="en-GB"/>
    </w:rPr>
  </w:style>
  <w:style w:type="paragraph" w:customStyle="1" w:styleId="xl76">
    <w:name w:val="xl76"/>
    <w:basedOn w:val="a0"/>
    <w:rsid w:val="008719CD"/>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jc w:val="center"/>
    </w:pPr>
    <w:rPr>
      <w:rFonts w:cs="Calibri"/>
      <w:b/>
      <w:bCs/>
      <w:color w:val="FFFFFF"/>
      <w:sz w:val="24"/>
      <w:szCs w:val="24"/>
      <w:lang w:eastAsia="en-GB"/>
    </w:rPr>
  </w:style>
  <w:style w:type="paragraph" w:styleId="afc">
    <w:name w:val="Title"/>
    <w:basedOn w:val="a0"/>
    <w:next w:val="a0"/>
    <w:link w:val="afd"/>
    <w:uiPriority w:val="6"/>
    <w:qFormat/>
    <w:rsid w:val="00BA39D0"/>
    <w:pPr>
      <w:contextualSpacing/>
    </w:pPr>
    <w:rPr>
      <w:rFonts w:asciiTheme="majorHAnsi" w:eastAsiaTheme="majorEastAsia" w:hAnsiTheme="majorHAnsi" w:cstheme="majorBidi"/>
      <w:spacing w:val="-10"/>
      <w:kern w:val="28"/>
      <w:sz w:val="56"/>
      <w:szCs w:val="56"/>
    </w:rPr>
  </w:style>
  <w:style w:type="character" w:customStyle="1" w:styleId="afd">
    <w:name w:val="Заголовок Знак"/>
    <w:basedOn w:val="a1"/>
    <w:link w:val="afc"/>
    <w:uiPriority w:val="6"/>
    <w:rsid w:val="00BA39D0"/>
    <w:rPr>
      <w:rFonts w:asciiTheme="majorHAnsi" w:eastAsiaTheme="majorEastAsia" w:hAnsiTheme="majorHAnsi" w:cstheme="majorBidi"/>
      <w:spacing w:val="-10"/>
      <w:kern w:val="28"/>
      <w:sz w:val="56"/>
      <w:szCs w:val="56"/>
      <w:lang w:val="uk-UA" w:eastAsia="de-DE"/>
    </w:rPr>
  </w:style>
  <w:style w:type="paragraph" w:styleId="HTML">
    <w:name w:val="HTML Preformatted"/>
    <w:basedOn w:val="a0"/>
    <w:link w:val="HTML0"/>
    <w:uiPriority w:val="99"/>
    <w:unhideWhenUsed/>
    <w:rsid w:val="001A20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lang w:eastAsia="en-US"/>
    </w:rPr>
  </w:style>
  <w:style w:type="character" w:customStyle="1" w:styleId="HTML0">
    <w:name w:val="Стандартный HTML Знак"/>
    <w:basedOn w:val="a1"/>
    <w:link w:val="HTML"/>
    <w:uiPriority w:val="99"/>
    <w:rsid w:val="001A20A9"/>
    <w:rPr>
      <w:rFonts w:ascii="Courier New" w:eastAsia="Times New Roman" w:hAnsi="Courier New" w:cs="Courier New"/>
      <w:sz w:val="20"/>
      <w:szCs w:val="20"/>
      <w:lang w:val="uk-UA"/>
    </w:rPr>
  </w:style>
  <w:style w:type="paragraph" w:customStyle="1" w:styleId="iCStandard">
    <w:name w:val="iC Standard"/>
    <w:qFormat/>
    <w:rsid w:val="004F1918"/>
    <w:rPr>
      <w:rFonts w:ascii="Calibri" w:eastAsia="Times New Roman" w:hAnsi="Calibri" w:cs="Times New Roman"/>
      <w:szCs w:val="20"/>
      <w:lang w:eastAsia="de-DE"/>
    </w:rPr>
  </w:style>
  <w:style w:type="paragraph" w:customStyle="1" w:styleId="format1">
    <w:name w:val="format 1"/>
    <w:basedOn w:val="af3"/>
    <w:qFormat/>
    <w:rsid w:val="00A06EDC"/>
    <w:pPr>
      <w:numPr>
        <w:numId w:val="31"/>
      </w:numPr>
      <w:contextualSpacing w:val="0"/>
      <w:jc w:val="left"/>
    </w:pPr>
    <w:rPr>
      <w:rFonts w:ascii="Arial Narrow" w:eastAsia="Calibri" w:hAnsi="Arial Narrow"/>
      <w:b/>
      <w:sz w:val="28"/>
      <w:szCs w:val="28"/>
      <w:lang w:eastAsia="en-US"/>
    </w:rPr>
  </w:style>
  <w:style w:type="paragraph" w:customStyle="1" w:styleId="format3">
    <w:name w:val="format 3"/>
    <w:basedOn w:val="a0"/>
    <w:qFormat/>
    <w:rsid w:val="00A06EDC"/>
    <w:rPr>
      <w:rFonts w:ascii="Arial Narrow" w:hAnsi="Arial Narrow" w:cs="Arial"/>
      <w:b/>
      <w:sz w:val="24"/>
      <w:szCs w:val="24"/>
    </w:rPr>
  </w:style>
  <w:style w:type="paragraph" w:customStyle="1" w:styleId="iC-berschriftklein">
    <w:name w:val="iC-Überschrift klein"/>
    <w:next w:val="a0"/>
    <w:autoRedefine/>
    <w:qFormat/>
    <w:rsid w:val="00A21E0F"/>
    <w:pPr>
      <w:pBdr>
        <w:top w:val="single" w:sz="4" w:space="1" w:color="auto"/>
      </w:pBdr>
      <w:spacing w:before="560" w:after="140" w:line="280" w:lineRule="exact"/>
    </w:pPr>
    <w:rPr>
      <w:rFonts w:ascii="Calibri" w:eastAsia="Cambria" w:hAnsi="Calibri" w:cs="Calibri-Bold"/>
      <w:bCs/>
      <w:color w:val="000000"/>
      <w:sz w:val="20"/>
      <w:szCs w:val="34"/>
    </w:rPr>
  </w:style>
  <w:style w:type="paragraph" w:customStyle="1" w:styleId="iC-Dokument">
    <w:name w:val="iC-Dokument"/>
    <w:next w:val="a0"/>
    <w:qFormat/>
    <w:rsid w:val="00A21E0F"/>
    <w:pPr>
      <w:spacing w:after="140"/>
    </w:pPr>
    <w:rPr>
      <w:rFonts w:ascii="Calibri" w:eastAsia="Cambria" w:hAnsi="Calibri" w:cs="Calibri-Bold"/>
      <w:b/>
      <w:bCs/>
      <w:color w:val="000000"/>
      <w:sz w:val="60"/>
      <w:szCs w:val="34"/>
    </w:rPr>
  </w:style>
  <w:style w:type="paragraph" w:customStyle="1" w:styleId="1-21">
    <w:name w:val="Средняя сетка 1 - Акцент 21"/>
    <w:basedOn w:val="a0"/>
    <w:uiPriority w:val="34"/>
    <w:qFormat/>
    <w:rsid w:val="00A21E0F"/>
    <w:pPr>
      <w:ind w:left="720"/>
      <w:contextualSpacing/>
    </w:pPr>
  </w:style>
  <w:style w:type="paragraph" w:customStyle="1" w:styleId="Dokumentdatum">
    <w:name w:val="Dokumentdatum"/>
    <w:basedOn w:val="a0"/>
    <w:qFormat/>
    <w:rsid w:val="00A21E0F"/>
    <w:rPr>
      <w:rFonts w:cs="Calibri"/>
      <w:sz w:val="16"/>
    </w:rPr>
  </w:style>
  <w:style w:type="paragraph" w:customStyle="1" w:styleId="-11">
    <w:name w:val="Цветной список - Акцент 11"/>
    <w:basedOn w:val="a0"/>
    <w:uiPriority w:val="34"/>
    <w:qFormat/>
    <w:rsid w:val="00A21E0F"/>
    <w:pPr>
      <w:spacing w:after="200" w:line="276" w:lineRule="auto"/>
      <w:ind w:left="720"/>
      <w:contextualSpacing/>
      <w:jc w:val="left"/>
    </w:pPr>
    <w:rPr>
      <w:rFonts w:eastAsia="Calibri"/>
      <w:szCs w:val="22"/>
      <w:lang w:eastAsia="en-US"/>
    </w:rPr>
  </w:style>
  <w:style w:type="paragraph" w:customStyle="1" w:styleId="iCEinzug1">
    <w:name w:val="iC Einzug 1"/>
    <w:basedOn w:val="iCStandard"/>
    <w:qFormat/>
    <w:rsid w:val="00A21E0F"/>
  </w:style>
  <w:style w:type="paragraph" w:customStyle="1" w:styleId="iC11Zwischenberschrift">
    <w:name w:val="iC 11 Zwischenüberschrift"/>
    <w:basedOn w:val="iCStandard"/>
    <w:next w:val="iCEinzug1"/>
    <w:uiPriority w:val="10"/>
    <w:qFormat/>
    <w:rsid w:val="00A21E0F"/>
  </w:style>
  <w:style w:type="paragraph" w:customStyle="1" w:styleId="iC10Zwischenberschrift">
    <w:name w:val="iC 10 Zwischenüberschrift"/>
    <w:basedOn w:val="iC11Zwischenberschrift"/>
    <w:uiPriority w:val="11"/>
    <w:qFormat/>
    <w:rsid w:val="00A21E0F"/>
  </w:style>
  <w:style w:type="character" w:customStyle="1" w:styleId="iC9Text">
    <w:name w:val="iC 9 Text"/>
    <w:uiPriority w:val="30"/>
    <w:qFormat/>
    <w:rsid w:val="00A21E0F"/>
    <w:rPr>
      <w:color w:val="auto"/>
      <w:sz w:val="18"/>
    </w:rPr>
  </w:style>
  <w:style w:type="character" w:customStyle="1" w:styleId="iC10Text">
    <w:name w:val="iC 10 Text"/>
    <w:uiPriority w:val="31"/>
    <w:qFormat/>
    <w:rsid w:val="00A21E0F"/>
    <w:rPr>
      <w:color w:val="auto"/>
      <w:sz w:val="20"/>
    </w:rPr>
  </w:style>
  <w:style w:type="character" w:customStyle="1" w:styleId="iC11Text">
    <w:name w:val="iC 11 Text"/>
    <w:uiPriority w:val="32"/>
    <w:qFormat/>
    <w:rsid w:val="00A21E0F"/>
    <w:rPr>
      <w:color w:val="auto"/>
      <w:sz w:val="22"/>
    </w:rPr>
  </w:style>
  <w:style w:type="paragraph" w:styleId="afe">
    <w:name w:val="Subtitle"/>
    <w:basedOn w:val="a0"/>
    <w:link w:val="aff"/>
    <w:qFormat/>
    <w:rsid w:val="00A21E0F"/>
    <w:pPr>
      <w:spacing w:after="60"/>
      <w:jc w:val="center"/>
    </w:pPr>
    <w:rPr>
      <w:i/>
    </w:rPr>
  </w:style>
  <w:style w:type="character" w:customStyle="1" w:styleId="aff">
    <w:name w:val="Подзаголовок Знак"/>
    <w:basedOn w:val="a1"/>
    <w:link w:val="afe"/>
    <w:rsid w:val="00A21E0F"/>
    <w:rPr>
      <w:rFonts w:ascii="Calibri" w:eastAsia="Times New Roman" w:hAnsi="Calibri" w:cs="Times New Roman"/>
      <w:i/>
      <w:szCs w:val="20"/>
      <w:lang w:val="uk-UA" w:eastAsia="de-DE"/>
    </w:rPr>
  </w:style>
  <w:style w:type="character" w:styleId="aff0">
    <w:name w:val="Strong"/>
    <w:uiPriority w:val="22"/>
    <w:qFormat/>
    <w:rsid w:val="00A21E0F"/>
    <w:rPr>
      <w:rFonts w:ascii="Calibri" w:hAnsi="Calibri"/>
      <w:b/>
      <w:bCs/>
    </w:rPr>
  </w:style>
  <w:style w:type="character" w:styleId="aff1">
    <w:name w:val="Emphasis"/>
    <w:uiPriority w:val="20"/>
    <w:qFormat/>
    <w:rsid w:val="00A21E0F"/>
    <w:rPr>
      <w:rFonts w:ascii="Calibri" w:hAnsi="Calibri"/>
      <w:i/>
      <w:iCs/>
    </w:rPr>
  </w:style>
  <w:style w:type="character" w:customStyle="1" w:styleId="-30">
    <w:name w:val="Светлая сетка - Акцент 3 Знак"/>
    <w:aliases w:val="En tête 1 Знак"/>
    <w:link w:val="-31"/>
    <w:uiPriority w:val="34"/>
    <w:rsid w:val="00A21E0F"/>
    <w:rPr>
      <w:rFonts w:ascii="Calibri" w:eastAsia="Calibri" w:hAnsi="Calibri"/>
      <w:sz w:val="22"/>
      <w:szCs w:val="22"/>
      <w:lang w:val="uk-UA"/>
    </w:rPr>
  </w:style>
  <w:style w:type="table" w:styleId="-31">
    <w:name w:val="Light Grid Accent 3"/>
    <w:basedOn w:val="a2"/>
    <w:link w:val="-30"/>
    <w:uiPriority w:val="34"/>
    <w:unhideWhenUsed/>
    <w:rsid w:val="00A21E0F"/>
    <w:rPr>
      <w:rFonts w:ascii="Calibri" w:eastAsia="Calibri" w:hAnsi="Calibri"/>
    </w:rPr>
    <w:tblPr>
      <w:tblStyleRowBandSize w:val="1"/>
      <w:tblStyleColBandSize w:val="1"/>
      <w:tblBorders>
        <w:top w:val="single" w:sz="8" w:space="0" w:color="3D466C" w:themeColor="accent3"/>
        <w:left w:val="single" w:sz="8" w:space="0" w:color="3D466C" w:themeColor="accent3"/>
        <w:bottom w:val="single" w:sz="8" w:space="0" w:color="3D466C" w:themeColor="accent3"/>
        <w:right w:val="single" w:sz="8" w:space="0" w:color="3D466C" w:themeColor="accent3"/>
        <w:insideH w:val="single" w:sz="8" w:space="0" w:color="3D466C" w:themeColor="accent3"/>
        <w:insideV w:val="single" w:sz="8" w:space="0" w:color="3D466C" w:themeColor="accent3"/>
      </w:tblBorders>
    </w:tblPr>
    <w:tblStylePr w:type="firstRow">
      <w:pPr>
        <w:spacing w:before="0" w:after="0" w:line="240" w:lineRule="auto"/>
      </w:pPr>
      <w:tblPr/>
      <w:tcPr>
        <w:tcBorders>
          <w:top w:val="single" w:sz="8" w:space="0" w:color="3D466C" w:themeColor="accent3"/>
          <w:left w:val="single" w:sz="8" w:space="0" w:color="3D466C" w:themeColor="accent3"/>
          <w:bottom w:val="single" w:sz="18" w:space="0" w:color="3D466C" w:themeColor="accent3"/>
          <w:right w:val="single" w:sz="8" w:space="0" w:color="3D466C" w:themeColor="accent3"/>
          <w:insideH w:val="nil"/>
          <w:insideV w:val="single" w:sz="8" w:space="0" w:color="3D466C" w:themeColor="accent3"/>
        </w:tcBorders>
      </w:tcPr>
    </w:tblStylePr>
    <w:tblStylePr w:type="lastRow">
      <w:pPr>
        <w:spacing w:before="0" w:after="0" w:line="240" w:lineRule="auto"/>
      </w:pPr>
      <w:tblPr/>
      <w:tcPr>
        <w:tcBorders>
          <w:top w:val="double" w:sz="6" w:space="0" w:color="3D466C" w:themeColor="accent3"/>
          <w:left w:val="single" w:sz="8" w:space="0" w:color="3D466C" w:themeColor="accent3"/>
          <w:bottom w:val="single" w:sz="8" w:space="0" w:color="3D466C" w:themeColor="accent3"/>
          <w:right w:val="single" w:sz="8" w:space="0" w:color="3D466C" w:themeColor="accent3"/>
          <w:insideH w:val="nil"/>
          <w:insideV w:val="single" w:sz="8" w:space="0" w:color="3D466C" w:themeColor="accent3"/>
        </w:tcBorders>
      </w:tcPr>
    </w:tblStylePr>
    <w:tblStylePr w:type="lastCol">
      <w:tblPr/>
      <w:tcPr>
        <w:tcBorders>
          <w:top w:val="single" w:sz="8" w:space="0" w:color="3D466C" w:themeColor="accent3"/>
          <w:left w:val="single" w:sz="8" w:space="0" w:color="3D466C" w:themeColor="accent3"/>
          <w:bottom w:val="single" w:sz="8" w:space="0" w:color="3D466C" w:themeColor="accent3"/>
          <w:right w:val="single" w:sz="8" w:space="0" w:color="3D466C" w:themeColor="accent3"/>
        </w:tcBorders>
      </w:tcPr>
    </w:tblStylePr>
    <w:tblStylePr w:type="band1Vert">
      <w:tblPr/>
      <w:tcPr>
        <w:tcBorders>
          <w:top w:val="single" w:sz="8" w:space="0" w:color="3D466C" w:themeColor="accent3"/>
          <w:left w:val="single" w:sz="8" w:space="0" w:color="3D466C" w:themeColor="accent3"/>
          <w:bottom w:val="single" w:sz="8" w:space="0" w:color="3D466C" w:themeColor="accent3"/>
          <w:right w:val="single" w:sz="8" w:space="0" w:color="3D466C" w:themeColor="accent3"/>
        </w:tcBorders>
        <w:shd w:val="clear" w:color="auto" w:fill="C9CDE0" w:themeFill="accent3" w:themeFillTint="3F"/>
      </w:tcPr>
    </w:tblStylePr>
    <w:tblStylePr w:type="band1Horz">
      <w:tblPr/>
      <w:tcPr>
        <w:tcBorders>
          <w:top w:val="single" w:sz="8" w:space="0" w:color="3D466C" w:themeColor="accent3"/>
          <w:left w:val="single" w:sz="8" w:space="0" w:color="3D466C" w:themeColor="accent3"/>
          <w:bottom w:val="single" w:sz="8" w:space="0" w:color="3D466C" w:themeColor="accent3"/>
          <w:right w:val="single" w:sz="8" w:space="0" w:color="3D466C" w:themeColor="accent3"/>
          <w:insideV w:val="single" w:sz="8" w:space="0" w:color="3D466C" w:themeColor="accent3"/>
        </w:tcBorders>
        <w:shd w:val="clear" w:color="auto" w:fill="C9CDE0" w:themeFill="accent3" w:themeFillTint="3F"/>
      </w:tcPr>
    </w:tblStylePr>
    <w:tblStylePr w:type="band2Horz">
      <w:tblPr/>
      <w:tcPr>
        <w:tcBorders>
          <w:top w:val="single" w:sz="8" w:space="0" w:color="3D466C" w:themeColor="accent3"/>
          <w:left w:val="single" w:sz="8" w:space="0" w:color="3D466C" w:themeColor="accent3"/>
          <w:bottom w:val="single" w:sz="8" w:space="0" w:color="3D466C" w:themeColor="accent3"/>
          <w:right w:val="single" w:sz="8" w:space="0" w:color="3D466C" w:themeColor="accent3"/>
          <w:insideV w:val="single" w:sz="8" w:space="0" w:color="3D466C" w:themeColor="accent3"/>
        </w:tcBorders>
      </w:tcPr>
    </w:tblStylePr>
  </w:style>
  <w:style w:type="character" w:customStyle="1" w:styleId="fontstyle01">
    <w:name w:val="fontstyle01"/>
    <w:basedOn w:val="a1"/>
    <w:rsid w:val="00A21E0F"/>
    <w:rPr>
      <w:rFonts w:ascii="Verdana" w:hAnsi="Verdana" w:hint="default"/>
      <w:b w:val="0"/>
      <w:bCs w:val="0"/>
      <w:i w:val="0"/>
      <w:iCs w:val="0"/>
      <w:color w:val="000000"/>
      <w:sz w:val="18"/>
      <w:szCs w:val="18"/>
    </w:rPr>
  </w:style>
  <w:style w:type="paragraph" w:styleId="aff2">
    <w:name w:val="TOC Heading"/>
    <w:basedOn w:val="1"/>
    <w:next w:val="a0"/>
    <w:uiPriority w:val="39"/>
    <w:unhideWhenUsed/>
    <w:qFormat/>
    <w:rsid w:val="00A21E0F"/>
    <w:pPr>
      <w:numPr>
        <w:numId w:val="0"/>
      </w:numPr>
      <w:spacing w:after="0" w:line="259" w:lineRule="auto"/>
      <w:contextualSpacing w:val="0"/>
      <w:jc w:val="left"/>
      <w:outlineLvl w:val="9"/>
    </w:pPr>
    <w:rPr>
      <w:b w:val="0"/>
      <w:bCs w:val="0"/>
      <w:caps w:val="0"/>
      <w:noProof w:val="0"/>
      <w:color w:val="020B2F" w:themeColor="accent1" w:themeShade="BF"/>
      <w:sz w:val="32"/>
      <w:szCs w:val="32"/>
      <w:lang w:eastAsia="en-GB"/>
    </w:rPr>
  </w:style>
  <w:style w:type="character" w:customStyle="1" w:styleId="text-upper">
    <w:name w:val="text-upper"/>
    <w:basedOn w:val="a1"/>
    <w:rsid w:val="00A21E0F"/>
  </w:style>
  <w:style w:type="paragraph" w:customStyle="1" w:styleId="TableParagraph">
    <w:name w:val="Table Paragraph"/>
    <w:basedOn w:val="a0"/>
    <w:uiPriority w:val="1"/>
    <w:qFormat/>
    <w:rsid w:val="00A21E0F"/>
    <w:pPr>
      <w:widowControl w:val="0"/>
      <w:jc w:val="left"/>
    </w:pPr>
    <w:rPr>
      <w:rFonts w:asciiTheme="minorHAnsi" w:eastAsiaTheme="minorHAnsi" w:hAnsiTheme="minorHAnsi" w:cstheme="minorBidi"/>
      <w:szCs w:val="22"/>
      <w:lang w:eastAsia="en-US"/>
    </w:rPr>
  </w:style>
  <w:style w:type="table" w:customStyle="1" w:styleId="TableNormal1">
    <w:name w:val="Table Normal1"/>
    <w:uiPriority w:val="2"/>
    <w:semiHidden/>
    <w:unhideWhenUsed/>
    <w:qFormat/>
    <w:rsid w:val="00A21E0F"/>
    <w:pPr>
      <w:widowControl w:val="0"/>
    </w:pPr>
    <w:tblPr>
      <w:tblInd w:w="0" w:type="dxa"/>
      <w:tblCellMar>
        <w:top w:w="0" w:type="dxa"/>
        <w:left w:w="0" w:type="dxa"/>
        <w:bottom w:w="0" w:type="dxa"/>
        <w:right w:w="0" w:type="dxa"/>
      </w:tblCellMar>
    </w:tblPr>
  </w:style>
  <w:style w:type="character" w:styleId="aff3">
    <w:name w:val="annotation reference"/>
    <w:basedOn w:val="a1"/>
    <w:uiPriority w:val="99"/>
    <w:semiHidden/>
    <w:unhideWhenUsed/>
    <w:rsid w:val="00A21E0F"/>
    <w:rPr>
      <w:sz w:val="16"/>
      <w:szCs w:val="16"/>
    </w:rPr>
  </w:style>
  <w:style w:type="paragraph" w:styleId="aff4">
    <w:name w:val="annotation subject"/>
    <w:basedOn w:val="a4"/>
    <w:next w:val="a4"/>
    <w:link w:val="aff5"/>
    <w:uiPriority w:val="99"/>
    <w:semiHidden/>
    <w:unhideWhenUsed/>
    <w:rsid w:val="00A21E0F"/>
    <w:rPr>
      <w:b/>
      <w:bCs/>
    </w:rPr>
  </w:style>
  <w:style w:type="character" w:customStyle="1" w:styleId="aff5">
    <w:name w:val="Тема примечания Знак"/>
    <w:basedOn w:val="a5"/>
    <w:link w:val="aff4"/>
    <w:uiPriority w:val="99"/>
    <w:semiHidden/>
    <w:rsid w:val="00A21E0F"/>
    <w:rPr>
      <w:rFonts w:ascii="Calibri" w:eastAsia="Times New Roman" w:hAnsi="Calibri" w:cs="Times New Roman"/>
      <w:b/>
      <w:bCs/>
      <w:sz w:val="20"/>
      <w:szCs w:val="20"/>
      <w:lang w:val="uk-UA" w:eastAsia="de-DE"/>
    </w:rPr>
  </w:style>
  <w:style w:type="paragraph" w:styleId="aff6">
    <w:name w:val="Revision"/>
    <w:hidden/>
    <w:uiPriority w:val="99"/>
    <w:semiHidden/>
    <w:rsid w:val="00A21E0F"/>
    <w:rPr>
      <w:rFonts w:ascii="Calibri" w:eastAsia="Times New Roman" w:hAnsi="Calibri" w:cs="Times New Roman"/>
      <w:szCs w:val="20"/>
      <w:lang w:eastAsia="de-DE"/>
    </w:rPr>
  </w:style>
  <w:style w:type="paragraph" w:styleId="aff7">
    <w:name w:val="No Spacing"/>
    <w:link w:val="aff8"/>
    <w:uiPriority w:val="1"/>
    <w:qFormat/>
    <w:rsid w:val="00A21E0F"/>
    <w:rPr>
      <w:rFonts w:eastAsiaTheme="minorEastAsia"/>
      <w:lang w:eastAsia="en-GB"/>
    </w:rPr>
  </w:style>
  <w:style w:type="character" w:customStyle="1" w:styleId="aff8">
    <w:name w:val="Без интервала Знак"/>
    <w:basedOn w:val="a1"/>
    <w:link w:val="aff7"/>
    <w:uiPriority w:val="1"/>
    <w:rsid w:val="00A21E0F"/>
    <w:rPr>
      <w:rFonts w:eastAsiaTheme="minorEastAsia"/>
      <w:lang w:val="uk-UA" w:eastAsia="en-GB"/>
    </w:rPr>
  </w:style>
  <w:style w:type="paragraph" w:styleId="24">
    <w:name w:val="Body Text Indent 2"/>
    <w:basedOn w:val="a0"/>
    <w:link w:val="25"/>
    <w:uiPriority w:val="99"/>
    <w:semiHidden/>
    <w:unhideWhenUsed/>
    <w:rsid w:val="00A21E0F"/>
    <w:pPr>
      <w:spacing w:after="120" w:line="480" w:lineRule="auto"/>
      <w:ind w:left="283"/>
    </w:pPr>
  </w:style>
  <w:style w:type="character" w:customStyle="1" w:styleId="25">
    <w:name w:val="Основной текст с отступом 2 Знак"/>
    <w:basedOn w:val="a1"/>
    <w:link w:val="24"/>
    <w:uiPriority w:val="99"/>
    <w:semiHidden/>
    <w:rsid w:val="00A21E0F"/>
    <w:rPr>
      <w:rFonts w:ascii="Calibri" w:eastAsia="Times New Roman" w:hAnsi="Calibri" w:cs="Times New Roman"/>
      <w:szCs w:val="20"/>
      <w:lang w:val="uk-UA" w:eastAsia="de-DE"/>
    </w:rPr>
  </w:style>
  <w:style w:type="table" w:styleId="14">
    <w:name w:val="Table Grid 1"/>
    <w:basedOn w:val="a2"/>
    <w:uiPriority w:val="99"/>
    <w:rsid w:val="00A21E0F"/>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character" w:customStyle="1" w:styleId="hps">
    <w:name w:val="hps"/>
    <w:basedOn w:val="a1"/>
    <w:rsid w:val="00A21E0F"/>
  </w:style>
  <w:style w:type="character" w:customStyle="1" w:styleId="mntl-sc-block-headingtext">
    <w:name w:val="mntl-sc-block-heading__text"/>
    <w:basedOn w:val="a1"/>
    <w:rsid w:val="00A21E0F"/>
  </w:style>
  <w:style w:type="character" w:customStyle="1" w:styleId="definition-url">
    <w:name w:val="definition-url"/>
    <w:basedOn w:val="a1"/>
    <w:rsid w:val="00A21E0F"/>
  </w:style>
  <w:style w:type="paragraph" w:customStyle="1" w:styleId="format2">
    <w:name w:val="format 2"/>
    <w:basedOn w:val="a0"/>
    <w:qFormat/>
    <w:rsid w:val="00A21E0F"/>
    <w:rPr>
      <w:rFonts w:ascii="Arial Narrow" w:hAnsi="Arial Narrow"/>
      <w:b/>
      <w:sz w:val="26"/>
      <w:szCs w:val="26"/>
    </w:rPr>
  </w:style>
  <w:style w:type="character" w:customStyle="1" w:styleId="26">
    <w:name w:val="Основной текст (2)_"/>
    <w:basedOn w:val="a1"/>
    <w:link w:val="27"/>
    <w:rsid w:val="00100ECC"/>
    <w:rPr>
      <w:rFonts w:ascii="Times New Roman" w:eastAsia="Times New Roman" w:hAnsi="Times New Roman" w:cs="Times New Roman"/>
      <w:sz w:val="19"/>
      <w:szCs w:val="19"/>
      <w:shd w:val="clear" w:color="auto" w:fill="FFFFFF"/>
    </w:rPr>
  </w:style>
  <w:style w:type="paragraph" w:customStyle="1" w:styleId="27">
    <w:name w:val="Основной текст (2)"/>
    <w:basedOn w:val="a0"/>
    <w:link w:val="26"/>
    <w:rsid w:val="00100ECC"/>
    <w:pPr>
      <w:widowControl w:val="0"/>
      <w:shd w:val="clear" w:color="auto" w:fill="FFFFFF"/>
      <w:spacing w:before="240" w:after="780" w:line="0" w:lineRule="atLeast"/>
      <w:ind w:hanging="780"/>
      <w:jc w:val="center"/>
    </w:pPr>
    <w:rPr>
      <w:rFonts w:ascii="Times New Roman" w:hAnsi="Times New Roman"/>
      <w:sz w:val="19"/>
      <w:szCs w:val="19"/>
      <w:lang w:eastAsia="en-US"/>
    </w:rPr>
  </w:style>
  <w:style w:type="paragraph" w:customStyle="1" w:styleId="Format20">
    <w:name w:val="Format_2"/>
    <w:basedOn w:val="a0"/>
    <w:qFormat/>
    <w:rsid w:val="00100ECC"/>
    <w:pPr>
      <w:spacing w:after="200" w:line="276" w:lineRule="auto"/>
      <w:jc w:val="left"/>
    </w:pPr>
    <w:rPr>
      <w:rFonts w:ascii="Arial Narrow" w:eastAsiaTheme="minorHAnsi" w:hAnsi="Arial Narrow" w:cstheme="minorBidi"/>
      <w:b/>
      <w:sz w:val="26"/>
      <w:szCs w:val="26"/>
      <w:lang w:eastAsia="en-US"/>
    </w:rPr>
  </w:style>
  <w:style w:type="character" w:customStyle="1" w:styleId="34">
    <w:name w:val="Заголовок №3"/>
    <w:basedOn w:val="a1"/>
    <w:rsid w:val="00100ECC"/>
    <w:rPr>
      <w:rFonts w:ascii="Calibri" w:eastAsia="Calibri" w:hAnsi="Calibri" w:cs="Calibri"/>
      <w:b/>
      <w:bCs/>
      <w:i w:val="0"/>
      <w:iCs w:val="0"/>
      <w:smallCaps w:val="0"/>
      <w:strike w:val="0"/>
      <w:color w:val="000000"/>
      <w:spacing w:val="0"/>
      <w:w w:val="100"/>
      <w:position w:val="0"/>
      <w:sz w:val="26"/>
      <w:szCs w:val="26"/>
      <w:u w:val="none"/>
      <w:lang w:val="uk-UA" w:eastAsia="en-US" w:bidi="en-US"/>
    </w:rPr>
  </w:style>
  <w:style w:type="character" w:customStyle="1" w:styleId="16">
    <w:name w:val="Основной текст (16)"/>
    <w:basedOn w:val="a1"/>
    <w:rsid w:val="00100ECC"/>
    <w:rPr>
      <w:rFonts w:ascii="Calibri" w:eastAsia="Calibri" w:hAnsi="Calibri" w:cs="Calibri"/>
      <w:b/>
      <w:bCs/>
      <w:i w:val="0"/>
      <w:iCs w:val="0"/>
      <w:smallCaps w:val="0"/>
      <w:strike w:val="0"/>
      <w:color w:val="000000"/>
      <w:spacing w:val="0"/>
      <w:w w:val="100"/>
      <w:position w:val="0"/>
      <w:sz w:val="20"/>
      <w:szCs w:val="20"/>
      <w:u w:val="none"/>
      <w:lang w:val="uk-UA" w:eastAsia="en-US" w:bidi="en-US"/>
    </w:rPr>
  </w:style>
  <w:style w:type="paragraph" w:customStyle="1" w:styleId="Default">
    <w:name w:val="Default"/>
    <w:rsid w:val="00100ECC"/>
    <w:pPr>
      <w:autoSpaceDE w:val="0"/>
      <w:autoSpaceDN w:val="0"/>
      <w:adjustRightInd w:val="0"/>
    </w:pPr>
    <w:rPr>
      <w:rFonts w:ascii="EC Square Sans Pro Light" w:hAnsi="EC Square Sans Pro Light" w:cs="EC Square Sans Pro Light"/>
      <w:color w:val="000000"/>
      <w:sz w:val="24"/>
      <w:szCs w:val="24"/>
    </w:rPr>
  </w:style>
  <w:style w:type="paragraph" w:customStyle="1" w:styleId="Pa6">
    <w:name w:val="Pa6"/>
    <w:basedOn w:val="Default"/>
    <w:next w:val="Default"/>
    <w:uiPriority w:val="99"/>
    <w:rsid w:val="00100ECC"/>
    <w:pPr>
      <w:spacing w:line="201" w:lineRule="atLeast"/>
    </w:pPr>
    <w:rPr>
      <w:rFonts w:cstheme="minorBidi"/>
      <w:color w:val="auto"/>
    </w:rPr>
  </w:style>
  <w:style w:type="paragraph" w:customStyle="1" w:styleId="Pa29">
    <w:name w:val="Pa29"/>
    <w:basedOn w:val="Default"/>
    <w:next w:val="Default"/>
    <w:uiPriority w:val="99"/>
    <w:rsid w:val="00100ECC"/>
    <w:pPr>
      <w:spacing w:line="181" w:lineRule="atLeast"/>
    </w:pPr>
    <w:rPr>
      <w:rFonts w:ascii="EC Square Sans Pro Medium" w:hAnsi="EC Square Sans Pro Medium" w:cstheme="minorBidi"/>
      <w:color w:val="auto"/>
    </w:rPr>
  </w:style>
  <w:style w:type="character" w:customStyle="1" w:styleId="A60">
    <w:name w:val="A6"/>
    <w:uiPriority w:val="99"/>
    <w:rsid w:val="00100ECC"/>
    <w:rPr>
      <w:rFonts w:cs="EC Square Sans Pro Light"/>
      <w:color w:val="221E1F"/>
      <w:sz w:val="20"/>
      <w:szCs w:val="20"/>
    </w:rPr>
  </w:style>
  <w:style w:type="paragraph" w:customStyle="1" w:styleId="Pa30">
    <w:name w:val="Pa30"/>
    <w:basedOn w:val="Default"/>
    <w:next w:val="Default"/>
    <w:uiPriority w:val="99"/>
    <w:rsid w:val="00100ECC"/>
    <w:pPr>
      <w:spacing w:line="181" w:lineRule="atLeast"/>
    </w:pPr>
    <w:rPr>
      <w:rFonts w:ascii="EC Square Sans Pro Medium" w:hAnsi="EC Square Sans Pro Medium" w:cstheme="minorBidi"/>
      <w:color w:val="auto"/>
    </w:rPr>
  </w:style>
  <w:style w:type="paragraph" w:customStyle="1" w:styleId="Pa24">
    <w:name w:val="Pa24"/>
    <w:basedOn w:val="Default"/>
    <w:next w:val="Default"/>
    <w:uiPriority w:val="99"/>
    <w:rsid w:val="00100ECC"/>
    <w:pPr>
      <w:spacing w:line="181" w:lineRule="atLeast"/>
    </w:pPr>
    <w:rPr>
      <w:rFonts w:ascii="EC Square Sans Pro" w:hAnsi="EC Square Sans Pro" w:cstheme="minorBidi"/>
      <w:color w:val="auto"/>
    </w:rPr>
  </w:style>
  <w:style w:type="paragraph" w:customStyle="1" w:styleId="Pa39">
    <w:name w:val="Pa39"/>
    <w:basedOn w:val="Default"/>
    <w:next w:val="Default"/>
    <w:uiPriority w:val="99"/>
    <w:rsid w:val="00100ECC"/>
    <w:pPr>
      <w:spacing w:line="181" w:lineRule="atLeast"/>
    </w:pPr>
    <w:rPr>
      <w:rFonts w:ascii="EC Square Sans Pro" w:hAnsi="EC Square Sans Pro" w:cstheme="minorBidi"/>
      <w:color w:val="auto"/>
    </w:rPr>
  </w:style>
  <w:style w:type="character" w:customStyle="1" w:styleId="28">
    <w:name w:val="Подпись к таблице (2)_"/>
    <w:basedOn w:val="a1"/>
    <w:link w:val="29"/>
    <w:rsid w:val="00100ECC"/>
    <w:rPr>
      <w:rFonts w:ascii="Sylfaen" w:eastAsia="Sylfaen" w:hAnsi="Sylfaen" w:cs="Sylfaen"/>
      <w:b/>
      <w:bCs/>
      <w:sz w:val="20"/>
      <w:szCs w:val="20"/>
      <w:shd w:val="clear" w:color="auto" w:fill="FFFFFF"/>
    </w:rPr>
  </w:style>
  <w:style w:type="paragraph" w:customStyle="1" w:styleId="29">
    <w:name w:val="Подпись к таблице (2)"/>
    <w:basedOn w:val="a0"/>
    <w:link w:val="28"/>
    <w:rsid w:val="00100ECC"/>
    <w:pPr>
      <w:widowControl w:val="0"/>
      <w:shd w:val="clear" w:color="auto" w:fill="FFFFFF"/>
      <w:spacing w:line="0" w:lineRule="atLeast"/>
      <w:jc w:val="left"/>
    </w:pPr>
    <w:rPr>
      <w:rFonts w:ascii="Sylfaen" w:eastAsia="Sylfaen" w:hAnsi="Sylfaen" w:cs="Sylfaen"/>
      <w:b/>
      <w:bCs/>
      <w:sz w:val="20"/>
      <w:lang w:eastAsia="en-US"/>
    </w:rPr>
  </w:style>
  <w:style w:type="character" w:customStyle="1" w:styleId="2a">
    <w:name w:val="Основной текст (2) + Полужирный"/>
    <w:basedOn w:val="26"/>
    <w:rsid w:val="00100ECC"/>
    <w:rPr>
      <w:rFonts w:ascii="Calibri" w:eastAsia="Calibri" w:hAnsi="Calibri" w:cs="Calibri"/>
      <w:b/>
      <w:bCs/>
      <w:i w:val="0"/>
      <w:iCs w:val="0"/>
      <w:smallCaps w:val="0"/>
      <w:strike w:val="0"/>
      <w:color w:val="000000"/>
      <w:spacing w:val="0"/>
      <w:w w:val="100"/>
      <w:position w:val="0"/>
      <w:sz w:val="18"/>
      <w:szCs w:val="18"/>
      <w:u w:val="none"/>
      <w:shd w:val="clear" w:color="auto" w:fill="FFFFFF"/>
      <w:lang w:val="uk-UA" w:eastAsia="en-US" w:bidi="en-US"/>
    </w:rPr>
  </w:style>
  <w:style w:type="character" w:customStyle="1" w:styleId="285pt">
    <w:name w:val="Основной текст (2) + 8;5 pt"/>
    <w:basedOn w:val="26"/>
    <w:rsid w:val="00100ECC"/>
    <w:rPr>
      <w:rFonts w:ascii="Calibri" w:eastAsia="Calibri" w:hAnsi="Calibri" w:cs="Calibri"/>
      <w:b w:val="0"/>
      <w:bCs w:val="0"/>
      <w:i w:val="0"/>
      <w:iCs w:val="0"/>
      <w:smallCaps w:val="0"/>
      <w:strike w:val="0"/>
      <w:color w:val="000000"/>
      <w:spacing w:val="0"/>
      <w:w w:val="100"/>
      <w:position w:val="0"/>
      <w:sz w:val="17"/>
      <w:szCs w:val="17"/>
      <w:u w:val="none"/>
      <w:shd w:val="clear" w:color="auto" w:fill="FFFFFF"/>
      <w:lang w:val="uk-UA" w:eastAsia="en-US" w:bidi="en-US"/>
    </w:rPr>
  </w:style>
  <w:style w:type="character" w:customStyle="1" w:styleId="27pt">
    <w:name w:val="Подпись к таблице (2) + 7 pt;Не курсив"/>
    <w:basedOn w:val="28"/>
    <w:rsid w:val="00100ECC"/>
    <w:rPr>
      <w:rFonts w:ascii="Calibri" w:eastAsia="Calibri" w:hAnsi="Calibri" w:cs="Calibri"/>
      <w:b w:val="0"/>
      <w:bCs w:val="0"/>
      <w:i/>
      <w:iCs/>
      <w:smallCaps w:val="0"/>
      <w:strike w:val="0"/>
      <w:color w:val="000000"/>
      <w:spacing w:val="0"/>
      <w:w w:val="100"/>
      <w:position w:val="0"/>
      <w:sz w:val="14"/>
      <w:szCs w:val="14"/>
      <w:u w:val="none"/>
      <w:shd w:val="clear" w:color="auto" w:fill="FFFFFF"/>
      <w:lang w:val="uk-UA" w:eastAsia="en-US" w:bidi="en-US"/>
    </w:rPr>
  </w:style>
  <w:style w:type="character" w:customStyle="1" w:styleId="210pt">
    <w:name w:val="Основной текст (2) + 10 pt;Полужирный"/>
    <w:basedOn w:val="26"/>
    <w:rsid w:val="003D7364"/>
    <w:rPr>
      <w:rFonts w:ascii="Sylfaen" w:eastAsia="Sylfaen" w:hAnsi="Sylfaen" w:cs="Sylfaen"/>
      <w:b/>
      <w:bCs/>
      <w:i w:val="0"/>
      <w:iCs w:val="0"/>
      <w:smallCaps w:val="0"/>
      <w:strike w:val="0"/>
      <w:color w:val="000000"/>
      <w:spacing w:val="0"/>
      <w:w w:val="100"/>
      <w:position w:val="0"/>
      <w:sz w:val="20"/>
      <w:szCs w:val="20"/>
      <w:u w:val="none"/>
      <w:shd w:val="clear" w:color="auto" w:fill="FFFFFF"/>
      <w:lang w:val="uk-UA" w:eastAsia="en-US" w:bidi="en-US"/>
    </w:rPr>
  </w:style>
  <w:style w:type="character" w:customStyle="1" w:styleId="yiv0807484442font">
    <w:name w:val="yiv0807484442font"/>
    <w:basedOn w:val="a1"/>
    <w:rsid w:val="00447F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193533">
      <w:bodyDiv w:val="1"/>
      <w:marLeft w:val="0"/>
      <w:marRight w:val="0"/>
      <w:marTop w:val="0"/>
      <w:marBottom w:val="0"/>
      <w:divBdr>
        <w:top w:val="none" w:sz="0" w:space="0" w:color="auto"/>
        <w:left w:val="none" w:sz="0" w:space="0" w:color="auto"/>
        <w:bottom w:val="none" w:sz="0" w:space="0" w:color="auto"/>
        <w:right w:val="none" w:sz="0" w:space="0" w:color="auto"/>
      </w:divBdr>
    </w:div>
    <w:div w:id="99229837">
      <w:bodyDiv w:val="1"/>
      <w:marLeft w:val="0"/>
      <w:marRight w:val="0"/>
      <w:marTop w:val="0"/>
      <w:marBottom w:val="0"/>
      <w:divBdr>
        <w:top w:val="none" w:sz="0" w:space="0" w:color="auto"/>
        <w:left w:val="none" w:sz="0" w:space="0" w:color="auto"/>
        <w:bottom w:val="none" w:sz="0" w:space="0" w:color="auto"/>
        <w:right w:val="none" w:sz="0" w:space="0" w:color="auto"/>
      </w:divBdr>
    </w:div>
    <w:div w:id="173543617">
      <w:bodyDiv w:val="1"/>
      <w:marLeft w:val="0"/>
      <w:marRight w:val="0"/>
      <w:marTop w:val="0"/>
      <w:marBottom w:val="0"/>
      <w:divBdr>
        <w:top w:val="none" w:sz="0" w:space="0" w:color="auto"/>
        <w:left w:val="none" w:sz="0" w:space="0" w:color="auto"/>
        <w:bottom w:val="none" w:sz="0" w:space="0" w:color="auto"/>
        <w:right w:val="none" w:sz="0" w:space="0" w:color="auto"/>
      </w:divBdr>
    </w:div>
    <w:div w:id="180165519">
      <w:bodyDiv w:val="1"/>
      <w:marLeft w:val="0"/>
      <w:marRight w:val="0"/>
      <w:marTop w:val="0"/>
      <w:marBottom w:val="0"/>
      <w:divBdr>
        <w:top w:val="none" w:sz="0" w:space="0" w:color="auto"/>
        <w:left w:val="none" w:sz="0" w:space="0" w:color="auto"/>
        <w:bottom w:val="none" w:sz="0" w:space="0" w:color="auto"/>
        <w:right w:val="none" w:sz="0" w:space="0" w:color="auto"/>
      </w:divBdr>
    </w:div>
    <w:div w:id="201984104">
      <w:bodyDiv w:val="1"/>
      <w:marLeft w:val="0"/>
      <w:marRight w:val="0"/>
      <w:marTop w:val="0"/>
      <w:marBottom w:val="0"/>
      <w:divBdr>
        <w:top w:val="none" w:sz="0" w:space="0" w:color="auto"/>
        <w:left w:val="none" w:sz="0" w:space="0" w:color="auto"/>
        <w:bottom w:val="none" w:sz="0" w:space="0" w:color="auto"/>
        <w:right w:val="none" w:sz="0" w:space="0" w:color="auto"/>
      </w:divBdr>
    </w:div>
    <w:div w:id="234243773">
      <w:bodyDiv w:val="1"/>
      <w:marLeft w:val="0"/>
      <w:marRight w:val="0"/>
      <w:marTop w:val="0"/>
      <w:marBottom w:val="0"/>
      <w:divBdr>
        <w:top w:val="none" w:sz="0" w:space="0" w:color="auto"/>
        <w:left w:val="none" w:sz="0" w:space="0" w:color="auto"/>
        <w:bottom w:val="none" w:sz="0" w:space="0" w:color="auto"/>
        <w:right w:val="none" w:sz="0" w:space="0" w:color="auto"/>
      </w:divBdr>
    </w:div>
    <w:div w:id="371270359">
      <w:bodyDiv w:val="1"/>
      <w:marLeft w:val="0"/>
      <w:marRight w:val="0"/>
      <w:marTop w:val="0"/>
      <w:marBottom w:val="0"/>
      <w:divBdr>
        <w:top w:val="none" w:sz="0" w:space="0" w:color="auto"/>
        <w:left w:val="none" w:sz="0" w:space="0" w:color="auto"/>
        <w:bottom w:val="none" w:sz="0" w:space="0" w:color="auto"/>
        <w:right w:val="none" w:sz="0" w:space="0" w:color="auto"/>
      </w:divBdr>
    </w:div>
    <w:div w:id="380444278">
      <w:bodyDiv w:val="1"/>
      <w:marLeft w:val="0"/>
      <w:marRight w:val="0"/>
      <w:marTop w:val="0"/>
      <w:marBottom w:val="0"/>
      <w:divBdr>
        <w:top w:val="none" w:sz="0" w:space="0" w:color="auto"/>
        <w:left w:val="none" w:sz="0" w:space="0" w:color="auto"/>
        <w:bottom w:val="none" w:sz="0" w:space="0" w:color="auto"/>
        <w:right w:val="none" w:sz="0" w:space="0" w:color="auto"/>
      </w:divBdr>
    </w:div>
    <w:div w:id="384720604">
      <w:bodyDiv w:val="1"/>
      <w:marLeft w:val="0"/>
      <w:marRight w:val="0"/>
      <w:marTop w:val="0"/>
      <w:marBottom w:val="0"/>
      <w:divBdr>
        <w:top w:val="none" w:sz="0" w:space="0" w:color="auto"/>
        <w:left w:val="none" w:sz="0" w:space="0" w:color="auto"/>
        <w:bottom w:val="none" w:sz="0" w:space="0" w:color="auto"/>
        <w:right w:val="none" w:sz="0" w:space="0" w:color="auto"/>
      </w:divBdr>
    </w:div>
    <w:div w:id="502360954">
      <w:bodyDiv w:val="1"/>
      <w:marLeft w:val="0"/>
      <w:marRight w:val="0"/>
      <w:marTop w:val="0"/>
      <w:marBottom w:val="0"/>
      <w:divBdr>
        <w:top w:val="none" w:sz="0" w:space="0" w:color="auto"/>
        <w:left w:val="none" w:sz="0" w:space="0" w:color="auto"/>
        <w:bottom w:val="none" w:sz="0" w:space="0" w:color="auto"/>
        <w:right w:val="none" w:sz="0" w:space="0" w:color="auto"/>
      </w:divBdr>
    </w:div>
    <w:div w:id="503519326">
      <w:bodyDiv w:val="1"/>
      <w:marLeft w:val="0"/>
      <w:marRight w:val="0"/>
      <w:marTop w:val="0"/>
      <w:marBottom w:val="0"/>
      <w:divBdr>
        <w:top w:val="none" w:sz="0" w:space="0" w:color="auto"/>
        <w:left w:val="none" w:sz="0" w:space="0" w:color="auto"/>
        <w:bottom w:val="none" w:sz="0" w:space="0" w:color="auto"/>
        <w:right w:val="none" w:sz="0" w:space="0" w:color="auto"/>
      </w:divBdr>
    </w:div>
    <w:div w:id="526867978">
      <w:bodyDiv w:val="1"/>
      <w:marLeft w:val="0"/>
      <w:marRight w:val="0"/>
      <w:marTop w:val="0"/>
      <w:marBottom w:val="0"/>
      <w:divBdr>
        <w:top w:val="none" w:sz="0" w:space="0" w:color="auto"/>
        <w:left w:val="none" w:sz="0" w:space="0" w:color="auto"/>
        <w:bottom w:val="none" w:sz="0" w:space="0" w:color="auto"/>
        <w:right w:val="none" w:sz="0" w:space="0" w:color="auto"/>
      </w:divBdr>
    </w:div>
    <w:div w:id="566185346">
      <w:bodyDiv w:val="1"/>
      <w:marLeft w:val="0"/>
      <w:marRight w:val="0"/>
      <w:marTop w:val="0"/>
      <w:marBottom w:val="0"/>
      <w:divBdr>
        <w:top w:val="none" w:sz="0" w:space="0" w:color="auto"/>
        <w:left w:val="none" w:sz="0" w:space="0" w:color="auto"/>
        <w:bottom w:val="none" w:sz="0" w:space="0" w:color="auto"/>
        <w:right w:val="none" w:sz="0" w:space="0" w:color="auto"/>
      </w:divBdr>
    </w:div>
    <w:div w:id="579557735">
      <w:bodyDiv w:val="1"/>
      <w:marLeft w:val="0"/>
      <w:marRight w:val="0"/>
      <w:marTop w:val="0"/>
      <w:marBottom w:val="0"/>
      <w:divBdr>
        <w:top w:val="none" w:sz="0" w:space="0" w:color="auto"/>
        <w:left w:val="none" w:sz="0" w:space="0" w:color="auto"/>
        <w:bottom w:val="none" w:sz="0" w:space="0" w:color="auto"/>
        <w:right w:val="none" w:sz="0" w:space="0" w:color="auto"/>
      </w:divBdr>
    </w:div>
    <w:div w:id="608465660">
      <w:bodyDiv w:val="1"/>
      <w:marLeft w:val="0"/>
      <w:marRight w:val="0"/>
      <w:marTop w:val="0"/>
      <w:marBottom w:val="0"/>
      <w:divBdr>
        <w:top w:val="none" w:sz="0" w:space="0" w:color="auto"/>
        <w:left w:val="none" w:sz="0" w:space="0" w:color="auto"/>
        <w:bottom w:val="none" w:sz="0" w:space="0" w:color="auto"/>
        <w:right w:val="none" w:sz="0" w:space="0" w:color="auto"/>
      </w:divBdr>
    </w:div>
    <w:div w:id="696783160">
      <w:bodyDiv w:val="1"/>
      <w:marLeft w:val="0"/>
      <w:marRight w:val="0"/>
      <w:marTop w:val="0"/>
      <w:marBottom w:val="0"/>
      <w:divBdr>
        <w:top w:val="none" w:sz="0" w:space="0" w:color="auto"/>
        <w:left w:val="none" w:sz="0" w:space="0" w:color="auto"/>
        <w:bottom w:val="none" w:sz="0" w:space="0" w:color="auto"/>
        <w:right w:val="none" w:sz="0" w:space="0" w:color="auto"/>
      </w:divBdr>
    </w:div>
    <w:div w:id="703750529">
      <w:bodyDiv w:val="1"/>
      <w:marLeft w:val="0"/>
      <w:marRight w:val="0"/>
      <w:marTop w:val="0"/>
      <w:marBottom w:val="0"/>
      <w:divBdr>
        <w:top w:val="none" w:sz="0" w:space="0" w:color="auto"/>
        <w:left w:val="none" w:sz="0" w:space="0" w:color="auto"/>
        <w:bottom w:val="none" w:sz="0" w:space="0" w:color="auto"/>
        <w:right w:val="none" w:sz="0" w:space="0" w:color="auto"/>
      </w:divBdr>
    </w:div>
    <w:div w:id="742600504">
      <w:bodyDiv w:val="1"/>
      <w:marLeft w:val="0"/>
      <w:marRight w:val="0"/>
      <w:marTop w:val="0"/>
      <w:marBottom w:val="0"/>
      <w:divBdr>
        <w:top w:val="none" w:sz="0" w:space="0" w:color="auto"/>
        <w:left w:val="none" w:sz="0" w:space="0" w:color="auto"/>
        <w:bottom w:val="none" w:sz="0" w:space="0" w:color="auto"/>
        <w:right w:val="none" w:sz="0" w:space="0" w:color="auto"/>
      </w:divBdr>
    </w:div>
    <w:div w:id="749158969">
      <w:bodyDiv w:val="1"/>
      <w:marLeft w:val="0"/>
      <w:marRight w:val="0"/>
      <w:marTop w:val="0"/>
      <w:marBottom w:val="0"/>
      <w:divBdr>
        <w:top w:val="none" w:sz="0" w:space="0" w:color="auto"/>
        <w:left w:val="none" w:sz="0" w:space="0" w:color="auto"/>
        <w:bottom w:val="none" w:sz="0" w:space="0" w:color="auto"/>
        <w:right w:val="none" w:sz="0" w:space="0" w:color="auto"/>
      </w:divBdr>
    </w:div>
    <w:div w:id="883367613">
      <w:bodyDiv w:val="1"/>
      <w:marLeft w:val="0"/>
      <w:marRight w:val="0"/>
      <w:marTop w:val="0"/>
      <w:marBottom w:val="0"/>
      <w:divBdr>
        <w:top w:val="none" w:sz="0" w:space="0" w:color="auto"/>
        <w:left w:val="none" w:sz="0" w:space="0" w:color="auto"/>
        <w:bottom w:val="none" w:sz="0" w:space="0" w:color="auto"/>
        <w:right w:val="none" w:sz="0" w:space="0" w:color="auto"/>
      </w:divBdr>
    </w:div>
    <w:div w:id="1016228701">
      <w:bodyDiv w:val="1"/>
      <w:marLeft w:val="0"/>
      <w:marRight w:val="0"/>
      <w:marTop w:val="0"/>
      <w:marBottom w:val="0"/>
      <w:divBdr>
        <w:top w:val="none" w:sz="0" w:space="0" w:color="auto"/>
        <w:left w:val="none" w:sz="0" w:space="0" w:color="auto"/>
        <w:bottom w:val="none" w:sz="0" w:space="0" w:color="auto"/>
        <w:right w:val="none" w:sz="0" w:space="0" w:color="auto"/>
      </w:divBdr>
    </w:div>
    <w:div w:id="1094326977">
      <w:bodyDiv w:val="1"/>
      <w:marLeft w:val="0"/>
      <w:marRight w:val="0"/>
      <w:marTop w:val="0"/>
      <w:marBottom w:val="0"/>
      <w:divBdr>
        <w:top w:val="none" w:sz="0" w:space="0" w:color="auto"/>
        <w:left w:val="none" w:sz="0" w:space="0" w:color="auto"/>
        <w:bottom w:val="none" w:sz="0" w:space="0" w:color="auto"/>
        <w:right w:val="none" w:sz="0" w:space="0" w:color="auto"/>
      </w:divBdr>
    </w:div>
    <w:div w:id="1149786702">
      <w:bodyDiv w:val="1"/>
      <w:marLeft w:val="0"/>
      <w:marRight w:val="0"/>
      <w:marTop w:val="0"/>
      <w:marBottom w:val="0"/>
      <w:divBdr>
        <w:top w:val="none" w:sz="0" w:space="0" w:color="auto"/>
        <w:left w:val="none" w:sz="0" w:space="0" w:color="auto"/>
        <w:bottom w:val="none" w:sz="0" w:space="0" w:color="auto"/>
        <w:right w:val="none" w:sz="0" w:space="0" w:color="auto"/>
      </w:divBdr>
    </w:div>
    <w:div w:id="1275477105">
      <w:bodyDiv w:val="1"/>
      <w:marLeft w:val="0"/>
      <w:marRight w:val="0"/>
      <w:marTop w:val="0"/>
      <w:marBottom w:val="0"/>
      <w:divBdr>
        <w:top w:val="none" w:sz="0" w:space="0" w:color="auto"/>
        <w:left w:val="none" w:sz="0" w:space="0" w:color="auto"/>
        <w:bottom w:val="none" w:sz="0" w:space="0" w:color="auto"/>
        <w:right w:val="none" w:sz="0" w:space="0" w:color="auto"/>
      </w:divBdr>
    </w:div>
    <w:div w:id="1437558178">
      <w:bodyDiv w:val="1"/>
      <w:marLeft w:val="0"/>
      <w:marRight w:val="0"/>
      <w:marTop w:val="0"/>
      <w:marBottom w:val="0"/>
      <w:divBdr>
        <w:top w:val="none" w:sz="0" w:space="0" w:color="auto"/>
        <w:left w:val="none" w:sz="0" w:space="0" w:color="auto"/>
        <w:bottom w:val="none" w:sz="0" w:space="0" w:color="auto"/>
        <w:right w:val="none" w:sz="0" w:space="0" w:color="auto"/>
      </w:divBdr>
    </w:div>
    <w:div w:id="1476143018">
      <w:bodyDiv w:val="1"/>
      <w:marLeft w:val="0"/>
      <w:marRight w:val="0"/>
      <w:marTop w:val="0"/>
      <w:marBottom w:val="0"/>
      <w:divBdr>
        <w:top w:val="none" w:sz="0" w:space="0" w:color="auto"/>
        <w:left w:val="none" w:sz="0" w:space="0" w:color="auto"/>
        <w:bottom w:val="none" w:sz="0" w:space="0" w:color="auto"/>
        <w:right w:val="none" w:sz="0" w:space="0" w:color="auto"/>
      </w:divBdr>
    </w:div>
    <w:div w:id="1485733453">
      <w:bodyDiv w:val="1"/>
      <w:marLeft w:val="0"/>
      <w:marRight w:val="0"/>
      <w:marTop w:val="0"/>
      <w:marBottom w:val="0"/>
      <w:divBdr>
        <w:top w:val="none" w:sz="0" w:space="0" w:color="auto"/>
        <w:left w:val="none" w:sz="0" w:space="0" w:color="auto"/>
        <w:bottom w:val="none" w:sz="0" w:space="0" w:color="auto"/>
        <w:right w:val="none" w:sz="0" w:space="0" w:color="auto"/>
      </w:divBdr>
    </w:div>
    <w:div w:id="1814983312">
      <w:bodyDiv w:val="1"/>
      <w:marLeft w:val="0"/>
      <w:marRight w:val="0"/>
      <w:marTop w:val="0"/>
      <w:marBottom w:val="0"/>
      <w:divBdr>
        <w:top w:val="none" w:sz="0" w:space="0" w:color="auto"/>
        <w:left w:val="none" w:sz="0" w:space="0" w:color="auto"/>
        <w:bottom w:val="none" w:sz="0" w:space="0" w:color="auto"/>
        <w:right w:val="none" w:sz="0" w:space="0" w:color="auto"/>
      </w:divBdr>
    </w:div>
    <w:div w:id="1871914394">
      <w:bodyDiv w:val="1"/>
      <w:marLeft w:val="0"/>
      <w:marRight w:val="0"/>
      <w:marTop w:val="0"/>
      <w:marBottom w:val="0"/>
      <w:divBdr>
        <w:top w:val="none" w:sz="0" w:space="0" w:color="auto"/>
        <w:left w:val="none" w:sz="0" w:space="0" w:color="auto"/>
        <w:bottom w:val="none" w:sz="0" w:space="0" w:color="auto"/>
        <w:right w:val="none" w:sz="0" w:space="0" w:color="auto"/>
      </w:divBdr>
    </w:div>
    <w:div w:id="1975017826">
      <w:bodyDiv w:val="1"/>
      <w:marLeft w:val="0"/>
      <w:marRight w:val="0"/>
      <w:marTop w:val="0"/>
      <w:marBottom w:val="0"/>
      <w:divBdr>
        <w:top w:val="none" w:sz="0" w:space="0" w:color="auto"/>
        <w:left w:val="none" w:sz="0" w:space="0" w:color="auto"/>
        <w:bottom w:val="none" w:sz="0" w:space="0" w:color="auto"/>
        <w:right w:val="none" w:sz="0" w:space="0" w:color="auto"/>
      </w:divBdr>
    </w:div>
    <w:div w:id="1986810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mailto:a.stoisits@hydrophil.at" TargetMode="External"/><Relationship Id="rId26" Type="http://schemas.openxmlformats.org/officeDocument/2006/relationships/image" Target="media/image13.png"/><Relationship Id="rId39" Type="http://schemas.openxmlformats.org/officeDocument/2006/relationships/image" Target="media/image24.emf"/><Relationship Id="rId21" Type="http://schemas.openxmlformats.org/officeDocument/2006/relationships/image" Target="media/image9.png"/><Relationship Id="rId34" Type="http://schemas.openxmlformats.org/officeDocument/2006/relationships/image" Target="media/image19.png"/><Relationship Id="rId42" Type="http://schemas.openxmlformats.org/officeDocument/2006/relationships/image" Target="media/image27.emf"/><Relationship Id="rId47" Type="http://schemas.openxmlformats.org/officeDocument/2006/relationships/image" Target="media/image32.emf"/><Relationship Id="rId50" Type="http://schemas.openxmlformats.org/officeDocument/2006/relationships/image" Target="media/image35.emf"/><Relationship Id="rId55" Type="http://schemas.openxmlformats.org/officeDocument/2006/relationships/image" Target="media/image40.emf"/><Relationship Id="rId63" Type="http://schemas.openxmlformats.org/officeDocument/2006/relationships/image" Target="media/image48.emf"/><Relationship Id="rId68" Type="http://schemas.openxmlformats.org/officeDocument/2006/relationships/image" Target="media/image53.emf"/><Relationship Id="rId76" Type="http://schemas.openxmlformats.org/officeDocument/2006/relationships/header" Target="header7.xml"/><Relationship Id="rId7" Type="http://schemas.openxmlformats.org/officeDocument/2006/relationships/numbering" Target="numbering.xml"/><Relationship Id="rId71" Type="http://schemas.openxmlformats.org/officeDocument/2006/relationships/image" Target="media/image56.emf"/><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image" Target="media/image16.png"/><Relationship Id="rId11" Type="http://schemas.openxmlformats.org/officeDocument/2006/relationships/footnotes" Target="footnotes.xml"/><Relationship Id="rId24" Type="http://schemas.openxmlformats.org/officeDocument/2006/relationships/image" Target="media/image12.png"/><Relationship Id="rId32" Type="http://schemas.openxmlformats.org/officeDocument/2006/relationships/chart" Target="charts/chart1.xml"/><Relationship Id="rId37" Type="http://schemas.openxmlformats.org/officeDocument/2006/relationships/image" Target="media/image22.png"/><Relationship Id="rId40" Type="http://schemas.openxmlformats.org/officeDocument/2006/relationships/image" Target="media/image25.emf"/><Relationship Id="rId45" Type="http://schemas.openxmlformats.org/officeDocument/2006/relationships/image" Target="media/image30.png"/><Relationship Id="rId53" Type="http://schemas.openxmlformats.org/officeDocument/2006/relationships/image" Target="media/image38.emf"/><Relationship Id="rId58" Type="http://schemas.openxmlformats.org/officeDocument/2006/relationships/image" Target="media/image43.emf"/><Relationship Id="rId66" Type="http://schemas.openxmlformats.org/officeDocument/2006/relationships/image" Target="media/image51.emf"/><Relationship Id="rId74" Type="http://schemas.openxmlformats.org/officeDocument/2006/relationships/footer" Target="footer4.xml"/><Relationship Id="rId79"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image" Target="media/image46.emf"/><Relationship Id="rId10" Type="http://schemas.openxmlformats.org/officeDocument/2006/relationships/webSettings" Target="webSettings.xml"/><Relationship Id="rId19" Type="http://schemas.openxmlformats.org/officeDocument/2006/relationships/header" Target="header3.xml"/><Relationship Id="rId31" Type="http://schemas.openxmlformats.org/officeDocument/2006/relationships/image" Target="media/image18.png"/><Relationship Id="rId44" Type="http://schemas.openxmlformats.org/officeDocument/2006/relationships/image" Target="media/image29.emf"/><Relationship Id="rId52" Type="http://schemas.openxmlformats.org/officeDocument/2006/relationships/image" Target="media/image37.emf"/><Relationship Id="rId60" Type="http://schemas.openxmlformats.org/officeDocument/2006/relationships/image" Target="media/image45.emf"/><Relationship Id="rId65" Type="http://schemas.openxmlformats.org/officeDocument/2006/relationships/image" Target="media/image50.emf"/><Relationship Id="rId73" Type="http://schemas.openxmlformats.org/officeDocument/2006/relationships/header" Target="header5.xml"/><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image" Target="media/image10.png"/><Relationship Id="rId27" Type="http://schemas.openxmlformats.org/officeDocument/2006/relationships/image" Target="media/image14.png"/><Relationship Id="rId30" Type="http://schemas.openxmlformats.org/officeDocument/2006/relationships/image" Target="media/image17.emf"/><Relationship Id="rId35" Type="http://schemas.openxmlformats.org/officeDocument/2006/relationships/image" Target="media/image20.png"/><Relationship Id="rId43" Type="http://schemas.openxmlformats.org/officeDocument/2006/relationships/image" Target="media/image28.emf"/><Relationship Id="rId48" Type="http://schemas.openxmlformats.org/officeDocument/2006/relationships/image" Target="media/image33.emf"/><Relationship Id="rId56" Type="http://schemas.openxmlformats.org/officeDocument/2006/relationships/image" Target="media/image41.emf"/><Relationship Id="rId64" Type="http://schemas.openxmlformats.org/officeDocument/2006/relationships/image" Target="media/image49.emf"/><Relationship Id="rId69" Type="http://schemas.openxmlformats.org/officeDocument/2006/relationships/image" Target="media/image54.emf"/><Relationship Id="rId77" Type="http://schemas.openxmlformats.org/officeDocument/2006/relationships/footer" Target="footer5.xml"/><Relationship Id="rId8" Type="http://schemas.openxmlformats.org/officeDocument/2006/relationships/styles" Target="styles.xml"/><Relationship Id="rId51" Type="http://schemas.openxmlformats.org/officeDocument/2006/relationships/image" Target="media/image36.emf"/><Relationship Id="rId72" Type="http://schemas.openxmlformats.org/officeDocument/2006/relationships/image" Target="media/image57.emf"/><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mailto:olena.filipenko.ext@suez.com" TargetMode="External"/><Relationship Id="rId25" Type="http://schemas.openxmlformats.org/officeDocument/2006/relationships/header" Target="header4.xml"/><Relationship Id="rId33" Type="http://schemas.openxmlformats.org/officeDocument/2006/relationships/chart" Target="charts/chart2.xml"/><Relationship Id="rId38" Type="http://schemas.openxmlformats.org/officeDocument/2006/relationships/image" Target="media/image23.png"/><Relationship Id="rId46" Type="http://schemas.openxmlformats.org/officeDocument/2006/relationships/image" Target="media/image31.emf"/><Relationship Id="rId59" Type="http://schemas.openxmlformats.org/officeDocument/2006/relationships/image" Target="media/image44.emf"/><Relationship Id="rId67" Type="http://schemas.openxmlformats.org/officeDocument/2006/relationships/image" Target="media/image52.emf"/><Relationship Id="rId20" Type="http://schemas.openxmlformats.org/officeDocument/2006/relationships/footer" Target="footer3.xml"/><Relationship Id="rId41" Type="http://schemas.openxmlformats.org/officeDocument/2006/relationships/image" Target="media/image26.emf"/><Relationship Id="rId54" Type="http://schemas.openxmlformats.org/officeDocument/2006/relationships/image" Target="media/image39.emf"/><Relationship Id="rId62" Type="http://schemas.openxmlformats.org/officeDocument/2006/relationships/image" Target="media/image47.emf"/><Relationship Id="rId70" Type="http://schemas.openxmlformats.org/officeDocument/2006/relationships/image" Target="media/image55.emf"/><Relationship Id="rId75"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eader" Target="header2.xml"/><Relationship Id="rId23" Type="http://schemas.openxmlformats.org/officeDocument/2006/relationships/image" Target="media/image11.png"/><Relationship Id="rId28" Type="http://schemas.openxmlformats.org/officeDocument/2006/relationships/image" Target="media/image15.emf"/><Relationship Id="rId36" Type="http://schemas.openxmlformats.org/officeDocument/2006/relationships/image" Target="media/image21.png"/><Relationship Id="rId49" Type="http://schemas.openxmlformats.org/officeDocument/2006/relationships/image" Target="media/image34.emf"/><Relationship Id="rId57" Type="http://schemas.openxmlformats.org/officeDocument/2006/relationships/image" Target="media/image42.emf"/></Relationships>
</file>

<file path=word/_rels/footer1.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jpg"/><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hyperlink" Target="https://www.google.at/url?sa=i&amp;rct=j&amp;q=&amp;esrc=s&amp;source=images&amp;cd=&amp;ved=2ahUKEwi4_67-xsrjAhWS3KQKHfPJA6kQjRx6BAgBEAU&amp;url=https://twitter.com/suezde&amp;psig=AOvVaw16zdBJk4sdRXuDLgjiVsDJ&amp;ust=1563954504068811" TargetMode="External"/></Relationships>
</file>

<file path=word/_rels/footer5.xml.rels><?xml version="1.0" encoding="UTF-8" standalone="yes"?>
<Relationships xmlns="http://schemas.openxmlformats.org/package/2006/relationships"><Relationship Id="rId1" Type="http://schemas.openxmlformats.org/officeDocument/2006/relationships/image" Target="media/image7.jpe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_rels/header4.xml.rels><?xml version="1.0" encoding="UTF-8" standalone="yes"?>
<Relationships xmlns="http://schemas.openxmlformats.org/package/2006/relationships"><Relationship Id="rId1" Type="http://schemas.openxmlformats.org/officeDocument/2006/relationships/image" Target="media/image7.jpeg"/></Relationships>
</file>

<file path=word/_rels/header5.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hyperlink" Target="https://www.google.at/url?sa=i&amp;rct=j&amp;q=&amp;esrc=s&amp;source=images&amp;cd=&amp;ved=2ahUKEwi4_67-xsrjAhWS3KQKHfPJA6kQjRx6BAgBEAU&amp;url=https://twitter.com/suezde&amp;psig=AOvVaw16zdBJk4sdRXuDLgjiVsDJ&amp;ust=1563954504068811"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D:\&#1044;&#1086;&#1082;&#1091;&#1084;&#1077;&#1085;&#1090;&#1099;\Safage\Lutsk%20working%20files\Lutsk%20report%20in%20progress\Lutsk_Financial%20analysis_VP.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1044;&#1086;&#1082;&#1091;&#1084;&#1077;&#1085;&#1090;&#1099;\Safage\Lutsk%20working%20files\Lutsk%20report%20in%20progress\Lutsk_Financial%20analysis_VP.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view3D>
    <c:floor>
      <c:thickness val="0"/>
    </c:floor>
    <c:sideWall>
      <c:thickness val="0"/>
    </c:sideWall>
    <c:backWall>
      <c:thickness val="0"/>
    </c:backWall>
    <c:plotArea>
      <c:layout>
        <c:manualLayout>
          <c:layoutTarget val="inner"/>
          <c:xMode val="edge"/>
          <c:yMode val="edge"/>
          <c:x val="3.0555555555555555E-2"/>
          <c:y val="5.0925925925925923E-2"/>
          <c:w val="0.46605555555555556"/>
          <c:h val="0.71296296296296291"/>
        </c:manualLayout>
      </c:layout>
      <c:pie3DChart>
        <c:varyColors val="1"/>
        <c:ser>
          <c:idx val="0"/>
          <c:order val="0"/>
          <c:cat>
            <c:strRef>
              <c:f>'Costs breakdown (2)'!$B$6:$B$17</c:f>
              <c:strCache>
                <c:ptCount val="4"/>
                <c:pt idx="0">
                  <c:v>Direct material expenses:</c:v>
                </c:pt>
                <c:pt idx="1">
                  <c:v>Direct labour costs</c:v>
                </c:pt>
                <c:pt idx="2">
                  <c:v>Other direct costs, incl.:</c:v>
                </c:pt>
                <c:pt idx="3">
                  <c:v>Production expenditures</c:v>
                </c:pt>
              </c:strCache>
            </c:strRef>
          </c:cat>
          <c:val>
            <c:numRef>
              <c:f>'Costs breakdown (2)'!$C$6:$C$17</c:f>
            </c:numRef>
          </c:val>
          <c:extLst>
            <c:ext xmlns:c16="http://schemas.microsoft.com/office/drawing/2014/chart" uri="{C3380CC4-5D6E-409C-BE32-E72D297353CC}">
              <c16:uniqueId val="{00000000-1F42-45FF-8BD1-B99F9B9B1A55}"/>
            </c:ext>
          </c:extLst>
        </c:ser>
        <c:ser>
          <c:idx val="1"/>
          <c:order val="1"/>
          <c:cat>
            <c:strRef>
              <c:f>'Costs breakdown (2)'!$B$6:$B$17</c:f>
              <c:strCache>
                <c:ptCount val="4"/>
                <c:pt idx="0">
                  <c:v>Direct material expenses:</c:v>
                </c:pt>
                <c:pt idx="1">
                  <c:v>Direct labour costs</c:v>
                </c:pt>
                <c:pt idx="2">
                  <c:v>Other direct costs, incl.:</c:v>
                </c:pt>
                <c:pt idx="3">
                  <c:v>Production expenditures</c:v>
                </c:pt>
              </c:strCache>
            </c:strRef>
          </c:cat>
          <c:val>
            <c:numRef>
              <c:f>'Costs breakdown (2)'!$D$6:$D$17</c:f>
            </c:numRef>
          </c:val>
          <c:extLst>
            <c:ext xmlns:c16="http://schemas.microsoft.com/office/drawing/2014/chart" uri="{C3380CC4-5D6E-409C-BE32-E72D297353CC}">
              <c16:uniqueId val="{00000001-1F42-45FF-8BD1-B99F9B9B1A55}"/>
            </c:ext>
          </c:extLst>
        </c:ser>
        <c:ser>
          <c:idx val="2"/>
          <c:order val="2"/>
          <c:cat>
            <c:strRef>
              <c:f>'Costs breakdown (2)'!$B$6:$B$17</c:f>
              <c:strCache>
                <c:ptCount val="4"/>
                <c:pt idx="0">
                  <c:v>Direct material expenses:</c:v>
                </c:pt>
                <c:pt idx="1">
                  <c:v>Direct labour costs</c:v>
                </c:pt>
                <c:pt idx="2">
                  <c:v>Other direct costs, incl.:</c:v>
                </c:pt>
                <c:pt idx="3">
                  <c:v>Production expenditures</c:v>
                </c:pt>
              </c:strCache>
            </c:strRef>
          </c:cat>
          <c:val>
            <c:numRef>
              <c:f>'Costs breakdown (2)'!$E$6:$E$17</c:f>
            </c:numRef>
          </c:val>
          <c:extLst>
            <c:ext xmlns:c16="http://schemas.microsoft.com/office/drawing/2014/chart" uri="{C3380CC4-5D6E-409C-BE32-E72D297353CC}">
              <c16:uniqueId val="{00000002-1F42-45FF-8BD1-B99F9B9B1A55}"/>
            </c:ext>
          </c:extLst>
        </c:ser>
        <c:ser>
          <c:idx val="3"/>
          <c:order val="3"/>
          <c:cat>
            <c:strRef>
              <c:f>'Costs breakdown (2)'!$B$6:$B$17</c:f>
              <c:strCache>
                <c:ptCount val="4"/>
                <c:pt idx="0">
                  <c:v>Direct material expenses:</c:v>
                </c:pt>
                <c:pt idx="1">
                  <c:v>Direct labour costs</c:v>
                </c:pt>
                <c:pt idx="2">
                  <c:v>Other direct costs, incl.:</c:v>
                </c:pt>
                <c:pt idx="3">
                  <c:v>Production expenditures</c:v>
                </c:pt>
              </c:strCache>
            </c:strRef>
          </c:cat>
          <c:val>
            <c:numRef>
              <c:f>'Costs breakdown (2)'!$F$6:$F$17</c:f>
            </c:numRef>
          </c:val>
          <c:extLst>
            <c:ext xmlns:c16="http://schemas.microsoft.com/office/drawing/2014/chart" uri="{C3380CC4-5D6E-409C-BE32-E72D297353CC}">
              <c16:uniqueId val="{00000003-1F42-45FF-8BD1-B99F9B9B1A55}"/>
            </c:ext>
          </c:extLst>
        </c:ser>
        <c:ser>
          <c:idx val="4"/>
          <c:order val="4"/>
          <c:cat>
            <c:strRef>
              <c:f>'Costs breakdown (2)'!$B$6:$B$17</c:f>
              <c:strCache>
                <c:ptCount val="4"/>
                <c:pt idx="0">
                  <c:v>Direct material expenses:</c:v>
                </c:pt>
                <c:pt idx="1">
                  <c:v>Direct labour costs</c:v>
                </c:pt>
                <c:pt idx="2">
                  <c:v>Other direct costs, incl.:</c:v>
                </c:pt>
                <c:pt idx="3">
                  <c:v>Production expenditures</c:v>
                </c:pt>
              </c:strCache>
            </c:strRef>
          </c:cat>
          <c:val>
            <c:numRef>
              <c:f>'Costs breakdown (2)'!$G$6:$G$17</c:f>
            </c:numRef>
          </c:val>
          <c:extLst>
            <c:ext xmlns:c16="http://schemas.microsoft.com/office/drawing/2014/chart" uri="{C3380CC4-5D6E-409C-BE32-E72D297353CC}">
              <c16:uniqueId val="{00000004-1F42-45FF-8BD1-B99F9B9B1A55}"/>
            </c:ext>
          </c:extLst>
        </c:ser>
        <c:ser>
          <c:idx val="5"/>
          <c:order val="5"/>
          <c:cat>
            <c:strRef>
              <c:f>'Costs breakdown (2)'!$B$6:$B$17</c:f>
              <c:strCache>
                <c:ptCount val="4"/>
                <c:pt idx="0">
                  <c:v>Direct material expenses:</c:v>
                </c:pt>
                <c:pt idx="1">
                  <c:v>Direct labour costs</c:v>
                </c:pt>
                <c:pt idx="2">
                  <c:v>Other direct costs, incl.:</c:v>
                </c:pt>
                <c:pt idx="3">
                  <c:v>Production expenditures</c:v>
                </c:pt>
              </c:strCache>
            </c:strRef>
          </c:cat>
          <c:val>
            <c:numRef>
              <c:f>'Costs breakdown (2)'!$H$6:$H$17</c:f>
            </c:numRef>
          </c:val>
          <c:extLst>
            <c:ext xmlns:c16="http://schemas.microsoft.com/office/drawing/2014/chart" uri="{C3380CC4-5D6E-409C-BE32-E72D297353CC}">
              <c16:uniqueId val="{00000005-1F42-45FF-8BD1-B99F9B9B1A55}"/>
            </c:ext>
          </c:extLst>
        </c:ser>
        <c:ser>
          <c:idx val="6"/>
          <c:order val="6"/>
          <c:dPt>
            <c:idx val="0"/>
            <c:bubble3D val="0"/>
            <c:spPr>
              <a:solidFill>
                <a:srgbClr val="92D050"/>
              </a:solidFill>
            </c:spPr>
            <c:extLst>
              <c:ext xmlns:c16="http://schemas.microsoft.com/office/drawing/2014/chart" uri="{C3380CC4-5D6E-409C-BE32-E72D297353CC}">
                <c16:uniqueId val="{00000007-1F42-45FF-8BD1-B99F9B9B1A55}"/>
              </c:ext>
            </c:extLst>
          </c:dPt>
          <c:dPt>
            <c:idx val="1"/>
            <c:bubble3D val="0"/>
            <c:spPr>
              <a:solidFill>
                <a:srgbClr val="FFC000"/>
              </a:solidFill>
            </c:spPr>
            <c:extLst>
              <c:ext xmlns:c16="http://schemas.microsoft.com/office/drawing/2014/chart" uri="{C3380CC4-5D6E-409C-BE32-E72D297353CC}">
                <c16:uniqueId val="{00000009-1F42-45FF-8BD1-B99F9B9B1A55}"/>
              </c:ext>
            </c:extLst>
          </c:dPt>
          <c:cat>
            <c:strRef>
              <c:f>'Costs breakdown (2)'!$B$6:$B$17</c:f>
              <c:strCache>
                <c:ptCount val="4"/>
                <c:pt idx="0">
                  <c:v>Direct material expenses:</c:v>
                </c:pt>
                <c:pt idx="1">
                  <c:v>Direct labour costs</c:v>
                </c:pt>
                <c:pt idx="2">
                  <c:v>Other direct costs, incl.:</c:v>
                </c:pt>
                <c:pt idx="3">
                  <c:v>Production expenditures</c:v>
                </c:pt>
              </c:strCache>
            </c:strRef>
          </c:cat>
          <c:val>
            <c:numRef>
              <c:f>'Costs breakdown (2)'!$I$6:$I$17</c:f>
              <c:numCache>
                <c:formatCode>0.0000</c:formatCode>
                <c:ptCount val="4"/>
                <c:pt idx="0">
                  <c:v>30.838790261591559</c:v>
                </c:pt>
                <c:pt idx="1">
                  <c:v>14.007580689124307</c:v>
                </c:pt>
                <c:pt idx="2">
                  <c:v>18.016845136085436</c:v>
                </c:pt>
                <c:pt idx="3">
                  <c:v>37.136783913198684</c:v>
                </c:pt>
              </c:numCache>
            </c:numRef>
          </c:val>
          <c:extLst>
            <c:ext xmlns:c16="http://schemas.microsoft.com/office/drawing/2014/chart" uri="{C3380CC4-5D6E-409C-BE32-E72D297353CC}">
              <c16:uniqueId val="{0000000A-1F42-45FF-8BD1-B99F9B9B1A55}"/>
            </c:ext>
          </c:extLst>
        </c:ser>
        <c:dLbls>
          <c:showLegendKey val="0"/>
          <c:showVal val="0"/>
          <c:showCatName val="0"/>
          <c:showSerName val="0"/>
          <c:showPercent val="0"/>
          <c:showBubbleSize val="0"/>
          <c:showLeaderLines val="1"/>
        </c:dLbls>
      </c:pie3DChart>
    </c:plotArea>
    <c:legend>
      <c:legendPos val="r"/>
      <c:layout>
        <c:manualLayout>
          <c:xMode val="edge"/>
          <c:yMode val="edge"/>
          <c:x val="0.54734801007016975"/>
          <c:y val="0.12235558393038708"/>
          <c:w val="0.3915407895441641"/>
          <c:h val="0.73814712350145417"/>
        </c:manualLayout>
      </c:layout>
      <c:overlay val="0"/>
    </c:legend>
    <c:plotVisOnly val="1"/>
    <c:dispBlanksAs val="gap"/>
    <c:showDLblsOverMax val="0"/>
  </c:chart>
  <c:txPr>
    <a:bodyPr/>
    <a:lstStyle/>
    <a:p>
      <a:pPr>
        <a:defRPr>
          <a:solidFill>
            <a:sysClr val="windowText" lastClr="000000"/>
          </a:solidFill>
        </a:defRPr>
      </a:pPr>
      <a:endParaRPr lang="ru-UA"/>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view3D>
    <c:floor>
      <c:thickness val="0"/>
    </c:floor>
    <c:sideWall>
      <c:thickness val="0"/>
    </c:sideWall>
    <c:backWall>
      <c:thickness val="0"/>
    </c:backWall>
    <c:plotArea>
      <c:layout>
        <c:manualLayout>
          <c:layoutTarget val="inner"/>
          <c:xMode val="edge"/>
          <c:yMode val="edge"/>
          <c:x val="3.3716475095785438E-2"/>
          <c:y val="5.9379217273954114E-2"/>
          <c:w val="0.51419248852886201"/>
          <c:h val="0.72224290145549985"/>
        </c:manualLayout>
      </c:layout>
      <c:pie3DChart>
        <c:varyColors val="1"/>
        <c:ser>
          <c:idx val="0"/>
          <c:order val="0"/>
          <c:cat>
            <c:strRef>
              <c:f>'Costs breakdown (2)'!$P$6:$P$17</c:f>
              <c:strCache>
                <c:ptCount val="4"/>
                <c:pt idx="0">
                  <c:v>Direct material expenses:</c:v>
                </c:pt>
                <c:pt idx="1">
                  <c:v>Direct labour costs</c:v>
                </c:pt>
                <c:pt idx="2">
                  <c:v>Other direct costs, incl.:</c:v>
                </c:pt>
                <c:pt idx="3">
                  <c:v>Production expenditures</c:v>
                </c:pt>
              </c:strCache>
            </c:strRef>
          </c:cat>
          <c:val>
            <c:numRef>
              <c:f>'Costs breakdown (2)'!$Q$6:$Q$17</c:f>
            </c:numRef>
          </c:val>
          <c:extLst>
            <c:ext xmlns:c16="http://schemas.microsoft.com/office/drawing/2014/chart" uri="{C3380CC4-5D6E-409C-BE32-E72D297353CC}">
              <c16:uniqueId val="{00000000-2749-4336-8D24-DBA7E80B58FA}"/>
            </c:ext>
          </c:extLst>
        </c:ser>
        <c:ser>
          <c:idx val="1"/>
          <c:order val="1"/>
          <c:cat>
            <c:strRef>
              <c:f>'Costs breakdown (2)'!$P$6:$P$17</c:f>
              <c:strCache>
                <c:ptCount val="4"/>
                <c:pt idx="0">
                  <c:v>Direct material expenses:</c:v>
                </c:pt>
                <c:pt idx="1">
                  <c:v>Direct labour costs</c:v>
                </c:pt>
                <c:pt idx="2">
                  <c:v>Other direct costs, incl.:</c:v>
                </c:pt>
                <c:pt idx="3">
                  <c:v>Production expenditures</c:v>
                </c:pt>
              </c:strCache>
            </c:strRef>
          </c:cat>
          <c:val>
            <c:numRef>
              <c:f>'Costs breakdown (2)'!$R$6:$R$17</c:f>
            </c:numRef>
          </c:val>
          <c:extLst>
            <c:ext xmlns:c16="http://schemas.microsoft.com/office/drawing/2014/chart" uri="{C3380CC4-5D6E-409C-BE32-E72D297353CC}">
              <c16:uniqueId val="{00000001-2749-4336-8D24-DBA7E80B58FA}"/>
            </c:ext>
          </c:extLst>
        </c:ser>
        <c:ser>
          <c:idx val="2"/>
          <c:order val="2"/>
          <c:cat>
            <c:strRef>
              <c:f>'Costs breakdown (2)'!$P$6:$P$17</c:f>
              <c:strCache>
                <c:ptCount val="4"/>
                <c:pt idx="0">
                  <c:v>Direct material expenses:</c:v>
                </c:pt>
                <c:pt idx="1">
                  <c:v>Direct labour costs</c:v>
                </c:pt>
                <c:pt idx="2">
                  <c:v>Other direct costs, incl.:</c:v>
                </c:pt>
                <c:pt idx="3">
                  <c:v>Production expenditures</c:v>
                </c:pt>
              </c:strCache>
            </c:strRef>
          </c:cat>
          <c:val>
            <c:numRef>
              <c:f>'Costs breakdown (2)'!$S$6:$S$17</c:f>
            </c:numRef>
          </c:val>
          <c:extLst>
            <c:ext xmlns:c16="http://schemas.microsoft.com/office/drawing/2014/chart" uri="{C3380CC4-5D6E-409C-BE32-E72D297353CC}">
              <c16:uniqueId val="{00000002-2749-4336-8D24-DBA7E80B58FA}"/>
            </c:ext>
          </c:extLst>
        </c:ser>
        <c:ser>
          <c:idx val="3"/>
          <c:order val="3"/>
          <c:cat>
            <c:strRef>
              <c:f>'Costs breakdown (2)'!$P$6:$P$17</c:f>
              <c:strCache>
                <c:ptCount val="4"/>
                <c:pt idx="0">
                  <c:v>Direct material expenses:</c:v>
                </c:pt>
                <c:pt idx="1">
                  <c:v>Direct labour costs</c:v>
                </c:pt>
                <c:pt idx="2">
                  <c:v>Other direct costs, incl.:</c:v>
                </c:pt>
                <c:pt idx="3">
                  <c:v>Production expenditures</c:v>
                </c:pt>
              </c:strCache>
            </c:strRef>
          </c:cat>
          <c:val>
            <c:numRef>
              <c:f>'Costs breakdown (2)'!$T$6:$T$17</c:f>
            </c:numRef>
          </c:val>
          <c:extLst>
            <c:ext xmlns:c16="http://schemas.microsoft.com/office/drawing/2014/chart" uri="{C3380CC4-5D6E-409C-BE32-E72D297353CC}">
              <c16:uniqueId val="{00000003-2749-4336-8D24-DBA7E80B58FA}"/>
            </c:ext>
          </c:extLst>
        </c:ser>
        <c:ser>
          <c:idx val="4"/>
          <c:order val="4"/>
          <c:cat>
            <c:strRef>
              <c:f>'Costs breakdown (2)'!$P$6:$P$17</c:f>
              <c:strCache>
                <c:ptCount val="4"/>
                <c:pt idx="0">
                  <c:v>Direct material expenses:</c:v>
                </c:pt>
                <c:pt idx="1">
                  <c:v>Direct labour costs</c:v>
                </c:pt>
                <c:pt idx="2">
                  <c:v>Other direct costs, incl.:</c:v>
                </c:pt>
                <c:pt idx="3">
                  <c:v>Production expenditures</c:v>
                </c:pt>
              </c:strCache>
            </c:strRef>
          </c:cat>
          <c:val>
            <c:numRef>
              <c:f>'Costs breakdown (2)'!$U$6:$U$17</c:f>
            </c:numRef>
          </c:val>
          <c:extLst>
            <c:ext xmlns:c16="http://schemas.microsoft.com/office/drawing/2014/chart" uri="{C3380CC4-5D6E-409C-BE32-E72D297353CC}">
              <c16:uniqueId val="{00000004-2749-4336-8D24-DBA7E80B58FA}"/>
            </c:ext>
          </c:extLst>
        </c:ser>
        <c:ser>
          <c:idx val="5"/>
          <c:order val="5"/>
          <c:cat>
            <c:strRef>
              <c:f>'Costs breakdown (2)'!$P$6:$P$17</c:f>
              <c:strCache>
                <c:ptCount val="4"/>
                <c:pt idx="0">
                  <c:v>Direct material expenses:</c:v>
                </c:pt>
                <c:pt idx="1">
                  <c:v>Direct labour costs</c:v>
                </c:pt>
                <c:pt idx="2">
                  <c:v>Other direct costs, incl.:</c:v>
                </c:pt>
                <c:pt idx="3">
                  <c:v>Production expenditures</c:v>
                </c:pt>
              </c:strCache>
            </c:strRef>
          </c:cat>
          <c:val>
            <c:numRef>
              <c:f>'Costs breakdown (2)'!$V$6:$V$17</c:f>
            </c:numRef>
          </c:val>
          <c:extLst>
            <c:ext xmlns:c16="http://schemas.microsoft.com/office/drawing/2014/chart" uri="{C3380CC4-5D6E-409C-BE32-E72D297353CC}">
              <c16:uniqueId val="{00000005-2749-4336-8D24-DBA7E80B58FA}"/>
            </c:ext>
          </c:extLst>
        </c:ser>
        <c:ser>
          <c:idx val="6"/>
          <c:order val="6"/>
          <c:cat>
            <c:strRef>
              <c:f>'Costs breakdown (2)'!$P$6:$P$17</c:f>
              <c:strCache>
                <c:ptCount val="4"/>
                <c:pt idx="0">
                  <c:v>Direct material expenses:</c:v>
                </c:pt>
                <c:pt idx="1">
                  <c:v>Direct labour costs</c:v>
                </c:pt>
                <c:pt idx="2">
                  <c:v>Other direct costs, incl.:</c:v>
                </c:pt>
                <c:pt idx="3">
                  <c:v>Production expenditures</c:v>
                </c:pt>
              </c:strCache>
            </c:strRef>
          </c:cat>
          <c:val>
            <c:numRef>
              <c:f>'Costs breakdown (2)'!$W$6:$W$17</c:f>
            </c:numRef>
          </c:val>
          <c:extLst>
            <c:ext xmlns:c16="http://schemas.microsoft.com/office/drawing/2014/chart" uri="{C3380CC4-5D6E-409C-BE32-E72D297353CC}">
              <c16:uniqueId val="{00000006-2749-4336-8D24-DBA7E80B58FA}"/>
            </c:ext>
          </c:extLst>
        </c:ser>
        <c:ser>
          <c:idx val="7"/>
          <c:order val="7"/>
          <c:dPt>
            <c:idx val="2"/>
            <c:bubble3D val="0"/>
            <c:spPr>
              <a:solidFill>
                <a:srgbClr val="FFC000"/>
              </a:solidFill>
            </c:spPr>
            <c:extLst>
              <c:ext xmlns:c16="http://schemas.microsoft.com/office/drawing/2014/chart" uri="{C3380CC4-5D6E-409C-BE32-E72D297353CC}">
                <c16:uniqueId val="{00000008-2749-4336-8D24-DBA7E80B58FA}"/>
              </c:ext>
            </c:extLst>
          </c:dPt>
          <c:cat>
            <c:strRef>
              <c:f>'Costs breakdown (2)'!$P$6:$P$17</c:f>
              <c:strCache>
                <c:ptCount val="4"/>
                <c:pt idx="0">
                  <c:v>Direct material expenses:</c:v>
                </c:pt>
                <c:pt idx="1">
                  <c:v>Direct labour costs</c:v>
                </c:pt>
                <c:pt idx="2">
                  <c:v>Other direct costs, incl.:</c:v>
                </c:pt>
                <c:pt idx="3">
                  <c:v>Production expenditures</c:v>
                </c:pt>
              </c:strCache>
            </c:strRef>
          </c:cat>
          <c:val>
            <c:numRef>
              <c:f>'Costs breakdown (2)'!$X$6:$X$17</c:f>
              <c:numCache>
                <c:formatCode>0.0000</c:formatCode>
                <c:ptCount val="4"/>
                <c:pt idx="0">
                  <c:v>32.918431091622338</c:v>
                </c:pt>
                <c:pt idx="1">
                  <c:v>21.576009763783471</c:v>
                </c:pt>
                <c:pt idx="2">
                  <c:v>11.845995915803897</c:v>
                </c:pt>
                <c:pt idx="3">
                  <c:v>33.659561845583028</c:v>
                </c:pt>
              </c:numCache>
            </c:numRef>
          </c:val>
          <c:extLst>
            <c:ext xmlns:c16="http://schemas.microsoft.com/office/drawing/2014/chart" uri="{C3380CC4-5D6E-409C-BE32-E72D297353CC}">
              <c16:uniqueId val="{00000009-2749-4336-8D24-DBA7E80B58FA}"/>
            </c:ext>
          </c:extLst>
        </c:ser>
        <c:dLbls>
          <c:showLegendKey val="0"/>
          <c:showVal val="0"/>
          <c:showCatName val="0"/>
          <c:showSerName val="0"/>
          <c:showPercent val="0"/>
          <c:showBubbleSize val="0"/>
          <c:showLeaderLines val="1"/>
        </c:dLbls>
      </c:pie3DChart>
    </c:plotArea>
    <c:legend>
      <c:legendPos val="r"/>
      <c:layout>
        <c:manualLayout>
          <c:xMode val="edge"/>
          <c:yMode val="edge"/>
          <c:x val="0.63283053809255274"/>
          <c:y val="0.10690731074346044"/>
          <c:w val="0.29973669736906228"/>
          <c:h val="0.85347960718393345"/>
        </c:manualLayout>
      </c:layout>
      <c:overlay val="0"/>
    </c:legend>
    <c:plotVisOnly val="1"/>
    <c:dispBlanksAs val="gap"/>
    <c:showDLblsOverMax val="0"/>
  </c:chart>
  <c:txPr>
    <a:bodyPr/>
    <a:lstStyle/>
    <a:p>
      <a:pPr>
        <a:defRPr>
          <a:solidFill>
            <a:sysClr val="windowText" lastClr="000000"/>
          </a:solidFill>
        </a:defRPr>
      </a:pPr>
      <a:endParaRPr lang="ru-UA"/>
    </a:p>
  </c:txPr>
  <c:externalData r:id="rId1">
    <c:autoUpdate val="0"/>
  </c:externalData>
</c:chartSpace>
</file>

<file path=word/theme/theme1.xml><?xml version="1.0" encoding="utf-8"?>
<a:theme xmlns:a="http://schemas.openxmlformats.org/drawingml/2006/main" name="Safege">
  <a:themeElements>
    <a:clrScheme name="SUEZ Consulting Bleu">
      <a:dk1>
        <a:srgbClr val="AADC14"/>
      </a:dk1>
      <a:lt1>
        <a:sysClr val="window" lastClr="FFFFFF"/>
      </a:lt1>
      <a:dk2>
        <a:srgbClr val="030F40"/>
      </a:dk2>
      <a:lt2>
        <a:srgbClr val="D5D6DE"/>
      </a:lt2>
      <a:accent1>
        <a:srgbClr val="030F40"/>
      </a:accent1>
      <a:accent2>
        <a:srgbClr val="AADC14"/>
      </a:accent2>
      <a:accent3>
        <a:srgbClr val="3D466C"/>
      </a:accent3>
      <a:accent4>
        <a:srgbClr val="E0E7C7"/>
      </a:accent4>
      <a:accent5>
        <a:srgbClr val="E3E4EA"/>
      </a:accent5>
      <a:accent6>
        <a:srgbClr val="FFFFFF"/>
      </a:accent6>
      <a:hlink>
        <a:srgbClr val="030F40"/>
      </a:hlink>
      <a:folHlink>
        <a:srgbClr val="030F40"/>
      </a:folHlink>
    </a:clrScheme>
    <a:fontScheme name="SUEZ">
      <a:majorFont>
        <a:latin typeface="Arial Narrow"/>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VCLS" id="{3B6BED25-812A-43AC-9574-C799A0DDFEF2}" vid="{3F2B7734-7BBD-4934-9BD2-75428683F0A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2020-06-23T00:00:00</PublishDate>
  <Abstract/>
  <CompanyAddress/>
  <CompanyPhone/>
  <CompanyFax/>
  <CompanyEmail/>
</CoverPageProperties>
</file>

<file path=customXml/item2.xml><?xml version="1.0" encoding="utf-8"?>
<adress xmlns="adress">
  <ReferenceNr fieldName="Reference no">&lt;&lt; Reference no &gt;&gt;</ReferenceNr>
  <ClientAdress fieldName="Client adress">&lt;&lt; Client address &gt;&gt;</ClientAdress>
  <Associate1 fieldName="Associate 1">&lt;&lt;SETEC</Associate1>
  <Associate2 fieldName="Associate 2">&lt;&lt; Associate 2 &gt;&gt;</Associate2>
  <Associate3 fieldName="Associate 3">&lt;&lt; Associate 3 &gt;&gt;</Associate3>
  <FundingOrigin fieldName="Origin of Funding">Європейський Інвестиційний Банк - Програма розвитку міської інфраструктури в Україні,, Технічне сприяння групі управління та підтримки програми (ГУПП), фінансування Європейським Інвестиційним Банком</FundingOrigin>
</adress>
</file>

<file path=customXml/item3.xml><?xml version="1.0" encoding="utf-8"?>
<ct:contentTypeSchema xmlns:ct="http://schemas.microsoft.com/office/2006/metadata/contentType" xmlns:ma="http://schemas.microsoft.com/office/2006/metadata/properties/metaAttributes" ct:_="" ma:_="" ma:contentTypeName="Dokument" ma:contentTypeID="0x010100D441FC0AC638E94181FB243F04311F18" ma:contentTypeVersion="10" ma:contentTypeDescription="Ein neues Dokument erstellen." ma:contentTypeScope="" ma:versionID="df37ba3fc3f16c986e1fe8164b3633f5">
  <xsd:schema xmlns:xsd="http://www.w3.org/2001/XMLSchema" xmlns:xs="http://www.w3.org/2001/XMLSchema" xmlns:p="http://schemas.microsoft.com/office/2006/metadata/properties" xmlns:ns2="acbd050a-4a6b-47b8-a049-2b6c102a919b" xmlns:ns3="fdfa6f28-a2f1-4013-a4ac-b732a1b1ce93" targetNamespace="http://schemas.microsoft.com/office/2006/metadata/properties" ma:root="true" ma:fieldsID="c9d3e5abdb340f297ef0a67b5aaf9f86" ns2:_="" ns3:_="">
    <xsd:import namespace="acbd050a-4a6b-47b8-a049-2b6c102a919b"/>
    <xsd:import namespace="fdfa6f28-a2f1-4013-a4ac-b732a1b1ce9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bd050a-4a6b-47b8-a049-2b6c102a919b"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6f28-a2f1-4013-a4ac-b732a1b1ce9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b:Sources xmlns:b="http://schemas.openxmlformats.org/officeDocument/2006/bibliography" xmlns="http://schemas.openxmlformats.org/officeDocument/2006/bibliography" SelectedStyle="\APA.XSL" StyleName="APA">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58DEF6A-1680-4E62-82C4-B5AA1C7CF330}">
  <ds:schemaRefs>
    <ds:schemaRef ds:uri="adress"/>
  </ds:schemaRefs>
</ds:datastoreItem>
</file>

<file path=customXml/itemProps3.xml><?xml version="1.0" encoding="utf-8"?>
<ds:datastoreItem xmlns:ds="http://schemas.openxmlformats.org/officeDocument/2006/customXml" ds:itemID="{A9CC943D-6985-4A63-AA92-7F8E59E3C4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bd050a-4a6b-47b8-a049-2b6c102a919b"/>
    <ds:schemaRef ds:uri="fdfa6f28-a2f1-4013-a4ac-b732a1b1ce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4D4CE0-3D9B-45A6-9E25-0EE68CEA3DD3}">
  <ds:schemaRefs>
    <ds:schemaRef ds:uri="http://schemas.microsoft.com/sharepoint/v3/contenttype/forms"/>
  </ds:schemaRefs>
</ds:datastoreItem>
</file>

<file path=customXml/itemProps5.xml><?xml version="1.0" encoding="utf-8"?>
<ds:datastoreItem xmlns:ds="http://schemas.openxmlformats.org/officeDocument/2006/customXml" ds:itemID="{C7F786A0-F95D-498F-BF43-90C8AB1DB817}">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B22696A3-5B4B-4C4C-8906-FDD9F5677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14015</Words>
  <Characters>79888</Characters>
  <Application>Microsoft Office Word</Application>
  <DocSecurity>0</DocSecurity>
  <Lines>665</Lines>
  <Paragraphs>187</Paragraphs>
  <ScaleCrop>false</ScaleCrop>
  <HeadingPairs>
    <vt:vector size="10" baseType="variant">
      <vt:variant>
        <vt:lpstr>Название</vt:lpstr>
      </vt:variant>
      <vt:variant>
        <vt:i4>1</vt:i4>
      </vt:variant>
      <vt:variant>
        <vt:lpstr>Titre</vt:lpstr>
      </vt:variant>
      <vt:variant>
        <vt:i4>1</vt:i4>
      </vt:variant>
      <vt:variant>
        <vt:lpstr>Title</vt:lpstr>
      </vt:variant>
      <vt:variant>
        <vt:i4>1</vt:i4>
      </vt:variant>
      <vt:variant>
        <vt:lpstr>Pealkiri</vt:lpstr>
      </vt:variant>
      <vt:variant>
        <vt:i4>1</vt:i4>
      </vt:variant>
      <vt:variant>
        <vt:lpstr>Titel</vt:lpstr>
      </vt:variant>
      <vt:variant>
        <vt:i4>1</vt:i4>
      </vt:variant>
    </vt:vector>
  </HeadingPairs>
  <TitlesOfParts>
    <vt:vector size="5" baseType="lpstr">
      <vt:lpstr>Фінансово-економічний звіт 
КП Луцькводоканал</vt:lpstr>
      <vt:lpstr>Financial and Economic Report Lutskvodokanal</vt:lpstr>
      <vt:lpstr>Financial and Economic Report Lutskvodokanal</vt:lpstr>
      <vt:lpstr>Technical Report Rivnevodokanal</vt:lpstr>
      <vt:lpstr>Technical Report Lutskvodokanal</vt:lpstr>
    </vt:vector>
  </TitlesOfParts>
  <Company>КП Луцькводоканал</Company>
  <LinksUpToDate>false</LinksUpToDate>
  <CharactersWithSpaces>93716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Фінансово-економічний звіт 
КП Луцькводоканал</dc:title>
  <dc:subject>Технічна підтримка підготовки проектів з водопідготовки в місті Луцьк та Рівне, Україна - 
TA 2018219 UA NIF – 2_Vol_052 - м. Луцьк</dc:subject>
  <dc:creator>ВПІ, АФІ, MMA</dc:creator>
  <cp:lastModifiedBy>Anna</cp:lastModifiedBy>
  <cp:revision>2</cp:revision>
  <cp:lastPrinted>2020-06-23T15:43:00Z</cp:lastPrinted>
  <dcterms:created xsi:type="dcterms:W3CDTF">2021-10-18T10:43:00Z</dcterms:created>
  <dcterms:modified xsi:type="dcterms:W3CDTF">2021-10-18T10:43:00Z</dcterms:modified>
  <cp:category>dd</cp:category>
  <cp:contentStatus>04</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0x010100D441FC0AC638E94181FB243F04311F18</vt:lpwstr>
  </property>
</Properties>
</file>