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3895949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д</w:t>
      </w:r>
      <w:r>
        <w:rPr>
          <w:szCs w:val="28"/>
        </w:rPr>
        <w:t xml:space="preserve">орученням постійної комісії міської ради з питань земельних відносин та земельного кадастру (протокол від </w:t>
      </w:r>
      <w:r>
        <w:rPr>
          <w:rFonts w:eastAsia="Times New Roman" w:cs="Times New Roman"/>
          <w:szCs w:val="28"/>
        </w:rPr>
        <w:t>21.07.2021</w:t>
      </w:r>
      <w:r>
        <w:rPr>
          <w:szCs w:val="28"/>
        </w:rPr>
        <w:t xml:space="preserve"> № </w:t>
      </w:r>
      <w:r>
        <w:rPr>
          <w:rFonts w:eastAsia="Times New Roman" w:cs="Times New Roman"/>
          <w:szCs w:val="28"/>
        </w:rPr>
        <w:t>14</w:t>
      </w:r>
      <w:r>
        <w:rPr>
          <w:szCs w:val="28"/>
        </w:rPr>
        <w:t xml:space="preserve">) щодо підготовки та подання проєктів рішень міської ради </w:t>
      </w:r>
      <w:r>
        <w:rPr>
          <w:rFonts w:eastAsia="Times New Roman" w:cs="Times New Roman"/>
          <w:szCs w:val="28"/>
        </w:rPr>
        <w:t>департаментом містобудування, земельних ресурсів та реклами</w:t>
      </w:r>
      <w:r>
        <w:rPr>
          <w:szCs w:val="28"/>
        </w:rPr>
        <w:t xml:space="preserve"> проєктів, які ініційовані постійною комісією</w:t>
      </w:r>
      <w:r>
        <w:rPr>
          <w:sz w:val="28"/>
          <w:szCs w:val="28"/>
          <w:u w:val="none"/>
        </w:rPr>
        <w:t>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Application>LibreOffice/7.1.3.2$Windows_X86_64 LibreOffice_project/47f78053abe362b9384784d31a6e56f8511eb1c1</Application>
  <AppVersion>15.0000</AppVersion>
  <Pages>2</Pages>
  <Words>435</Words>
  <Characters>2999</Characters>
  <CharactersWithSpaces>3651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2021-10-20T12:35:35Z</dcterms:modified>
  <cp:revision>225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