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>
          <w:szCs w:val="28"/>
        </w:rPr>
      </w:pPr>
      <w:r>
        <w:rPr/>
        <w:object w:dxaOrig="2070" w:dyaOrig="2200">
          <v:shapetype id="shapetype_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shapetype_ole_rId2" style="width:58.2pt;height:59.2pt;mso-wrap-distance-right:0pt" filled="f" o:ole="">
            <v:imagedata r:id="rId3" o:title=""/>
          </v:shape>
          <o:OLEObject Type="Embed" ProgID="" ShapeID="ole_rId2" DrawAspect="Content" ObjectID="_829274061" r:id="rId2"/>
        </w:object>
      </w:r>
    </w:p>
    <w:p>
      <w:pPr>
        <w:pStyle w:val="1"/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rPr>
          <w:sz w:val="12"/>
          <w:szCs w:val="12"/>
        </w:rPr>
      </w:pPr>
      <w:r>
        <w:rPr>
          <w:sz w:val="12"/>
          <w:szCs w:val="12"/>
        </w:rPr>
      </w:r>
    </w:p>
    <w:p>
      <w:pPr>
        <w:pStyle w:val="2"/>
        <w:tabs>
          <w:tab w:val="clear" w:pos="708"/>
          <w:tab w:val="left" w:pos="4218" w:leader="none"/>
          <w:tab w:val="left" w:pos="4674" w:leader="none"/>
        </w:tabs>
        <w:spacing w:before="0" w:after="0"/>
        <w:jc w:val="center"/>
        <w:rPr>
          <w:rFonts w:ascii="Times New Roman" w:hAnsi="Times New Roman" w:cs="Times New Roman"/>
          <w:i w:val="false"/>
          <w:i w:val="false"/>
          <w:sz w:val="32"/>
          <w:szCs w:val="32"/>
        </w:rPr>
      </w:pP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jc w:val="center"/>
        <w:rPr>
          <w:b/>
          <w:b/>
          <w:bCs w:val="false"/>
          <w:sz w:val="12"/>
          <w:szCs w:val="12"/>
        </w:rPr>
      </w:pPr>
      <w:r>
        <w:rPr>
          <w:b/>
          <w:bCs w:val="false"/>
          <w:sz w:val="12"/>
          <w:szCs w:val="12"/>
        </w:rPr>
      </w:r>
    </w:p>
    <w:p>
      <w:pPr>
        <w:pStyle w:val="Normal"/>
        <w:tabs>
          <w:tab w:val="clear" w:pos="708"/>
          <w:tab w:val="left" w:pos="4687" w:leader="none"/>
        </w:tabs>
        <w:jc w:val="both"/>
        <w:rPr>
          <w:sz w:val="24"/>
        </w:rPr>
      </w:pPr>
      <w:r>
        <w:rPr>
          <w:sz w:val="24"/>
        </w:rPr>
        <w:t>________________                                        Луцьк                                         №______________</w:t>
      </w:r>
    </w:p>
    <w:p>
      <w:pPr>
        <w:pStyle w:val="Normal"/>
        <w:tabs>
          <w:tab w:val="clear" w:pos="708"/>
          <w:tab w:val="left" w:pos="4687" w:leader="none"/>
        </w:tabs>
        <w:jc w:val="both"/>
        <w:rPr>
          <w:sz w:val="16"/>
          <w:szCs w:val="16"/>
        </w:rPr>
      </w:pPr>
      <w:r>
        <w:rPr>
          <w:sz w:val="16"/>
          <w:szCs w:val="16"/>
        </w:rPr>
        <w:t xml:space="preserve">                     </w:t>
      </w:r>
    </w:p>
    <w:p>
      <w:pPr>
        <w:pStyle w:val="Normal"/>
        <w:tabs>
          <w:tab w:val="clear" w:pos="708"/>
          <w:tab w:val="left" w:pos="5500" w:leader="none"/>
        </w:tabs>
        <w:jc w:val="both"/>
        <w:rPr>
          <w:szCs w:val="28"/>
        </w:rPr>
      </w:pPr>
      <w:r>
        <w:rPr>
          <w:szCs w:val="28"/>
        </w:rPr>
        <w:t>Про</w:t>
      </w:r>
      <w:r>
        <w:rPr>
          <w:sz w:val="20"/>
          <w:szCs w:val="20"/>
        </w:rPr>
        <w:t xml:space="preserve">  </w:t>
      </w:r>
      <w:r>
        <w:rPr>
          <w:szCs w:val="28"/>
        </w:rPr>
        <w:t>надання</w:t>
      </w:r>
      <w:r>
        <w:rPr>
          <w:sz w:val="28"/>
          <w:szCs w:val="28"/>
        </w:rPr>
        <w:t xml:space="preserve">  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>Державному архіву</w:t>
      </w:r>
      <w:r>
        <w:rPr>
          <w:rFonts w:eastAsia="Times New Roman" w:cs="Times New Roman"/>
          <w:bCs/>
          <w:color w:val="auto"/>
          <w:kern w:val="0"/>
          <w:sz w:val="36"/>
          <w:szCs w:val="36"/>
          <w:lang w:val="uk-UA" w:eastAsia="zh-CN" w:bidi="ar-SA"/>
        </w:rPr>
        <w:t xml:space="preserve"> 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>Волинської</w:t>
      </w:r>
    </w:p>
    <w:p>
      <w:pPr>
        <w:pStyle w:val="Normal"/>
        <w:tabs>
          <w:tab w:val="clear" w:pos="708"/>
          <w:tab w:val="left" w:pos="5500" w:leader="none"/>
        </w:tabs>
        <w:jc w:val="both"/>
        <w:rPr>
          <w:szCs w:val="28"/>
        </w:rPr>
      </w:pP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 xml:space="preserve">області </w:t>
      </w:r>
      <w:r>
        <w:rPr>
          <w:rFonts w:eastAsia="Times New Roman" w:cs="Times New Roman"/>
          <w:bCs/>
          <w:color w:val="auto"/>
          <w:kern w:val="0"/>
          <w:sz w:val="36"/>
          <w:szCs w:val="36"/>
          <w:lang w:val="uk-UA" w:eastAsia="zh-CN" w:bidi="ar-SA"/>
        </w:rPr>
        <w:t xml:space="preserve"> </w:t>
      </w:r>
      <w:r>
        <w:rPr>
          <w:sz w:val="28"/>
          <w:szCs w:val="28"/>
        </w:rPr>
        <w:t xml:space="preserve"> </w:t>
      </w:r>
      <w:r>
        <w:rPr>
          <w:szCs w:val="28"/>
        </w:rPr>
        <w:t xml:space="preserve">дозволу </w:t>
      </w:r>
      <w:r>
        <w:rPr>
          <w:sz w:val="36"/>
          <w:szCs w:val="36"/>
        </w:rPr>
        <w:t xml:space="preserve"> </w:t>
      </w:r>
      <w:r>
        <w:rPr>
          <w:sz w:val="20"/>
          <w:szCs w:val="20"/>
        </w:rPr>
        <w:t xml:space="preserve"> </w:t>
      </w:r>
      <w:r>
        <w:rPr>
          <w:szCs w:val="28"/>
        </w:rPr>
        <w:t xml:space="preserve">на  </w:t>
      </w:r>
      <w:r>
        <w:rPr>
          <w:sz w:val="36"/>
          <w:szCs w:val="36"/>
        </w:rPr>
        <w:t xml:space="preserve"> </w:t>
      </w:r>
      <w:r>
        <w:rPr>
          <w:szCs w:val="28"/>
        </w:rPr>
        <w:t xml:space="preserve">розроблення </w:t>
      </w:r>
      <w:r>
        <w:rPr>
          <w:sz w:val="36"/>
          <w:szCs w:val="36"/>
        </w:rPr>
        <w:t xml:space="preserve"> </w:t>
      </w:r>
      <w:r>
        <w:rPr>
          <w:sz w:val="20"/>
          <w:szCs w:val="20"/>
        </w:rPr>
        <w:t xml:space="preserve"> </w:t>
      </w:r>
      <w:r>
        <w:rPr>
          <w:szCs w:val="28"/>
        </w:rPr>
        <w:t xml:space="preserve"> проекту</w:t>
      </w:r>
      <w:r>
        <w:rPr>
          <w:sz w:val="28"/>
          <w:szCs w:val="28"/>
        </w:rPr>
        <w:t xml:space="preserve"> </w:t>
      </w:r>
    </w:p>
    <w:p>
      <w:pPr>
        <w:pStyle w:val="Normal"/>
        <w:jc w:val="both"/>
        <w:rPr>
          <w:szCs w:val="28"/>
        </w:rPr>
      </w:pPr>
      <w:r>
        <w:rPr>
          <w:szCs w:val="28"/>
        </w:rPr>
        <w:t xml:space="preserve">землеустрою </w:t>
      </w:r>
      <w:r>
        <w:rPr>
          <w:sz w:val="32"/>
          <w:szCs w:val="32"/>
        </w:rPr>
        <w:t xml:space="preserve"> </w:t>
      </w:r>
      <w:r>
        <w:rPr>
          <w:szCs w:val="28"/>
        </w:rPr>
        <w:t xml:space="preserve">щодо </w:t>
      </w:r>
      <w:r>
        <w:rPr>
          <w:sz w:val="32"/>
          <w:szCs w:val="32"/>
        </w:rPr>
        <w:t xml:space="preserve"> </w:t>
      </w:r>
      <w:r>
        <w:rPr>
          <w:szCs w:val="28"/>
        </w:rPr>
        <w:t>відведення</w:t>
      </w:r>
      <w:r>
        <w:rPr>
          <w:sz w:val="48"/>
          <w:szCs w:val="48"/>
        </w:rPr>
        <w:t xml:space="preserve"> </w:t>
      </w:r>
      <w:r>
        <w:rPr>
          <w:szCs w:val="28"/>
        </w:rPr>
        <w:t>земельної</w:t>
      </w:r>
      <w:r>
        <w:rPr>
          <w:sz w:val="40"/>
          <w:szCs w:val="40"/>
        </w:rPr>
        <w:t xml:space="preserve"> </w:t>
      </w:r>
      <w:r>
        <w:rPr>
          <w:szCs w:val="28"/>
        </w:rPr>
        <w:t>ді-</w:t>
      </w:r>
    </w:p>
    <w:p>
      <w:pPr>
        <w:pStyle w:val="Normal"/>
        <w:jc w:val="both"/>
        <w:rPr>
          <w:szCs w:val="28"/>
        </w:rPr>
      </w:pPr>
      <w:r>
        <w:rPr>
          <w:sz w:val="28"/>
          <w:szCs w:val="28"/>
        </w:rPr>
        <w:t xml:space="preserve">лянки </w:t>
      </w:r>
      <w:r>
        <w:rPr>
          <w:sz w:val="32"/>
          <w:szCs w:val="32"/>
        </w:rPr>
        <w:t xml:space="preserve"> </w:t>
      </w:r>
      <w:r>
        <w:rPr>
          <w:sz w:val="28"/>
          <w:szCs w:val="28"/>
        </w:rPr>
        <w:t xml:space="preserve"> для   будівництва   та  обслуговування </w:t>
      </w:r>
    </w:p>
    <w:p>
      <w:pPr>
        <w:pStyle w:val="Normal"/>
        <w:tabs>
          <w:tab w:val="clear" w:pos="708"/>
          <w:tab w:val="left" w:pos="5330" w:leader="none"/>
        </w:tabs>
        <w:jc w:val="both"/>
        <w:rPr>
          <w:szCs w:val="28"/>
        </w:rPr>
      </w:pP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>будівлі</w:t>
      </w:r>
      <w:r>
        <w:rPr>
          <w:rFonts w:eastAsia="Times New Roman" w:cs="Times New Roman"/>
          <w:bCs/>
          <w:color w:val="auto"/>
          <w:kern w:val="0"/>
          <w:sz w:val="20"/>
          <w:szCs w:val="20"/>
          <w:lang w:val="uk-UA" w:eastAsia="zh-CN" w:bidi="ar-SA"/>
        </w:rPr>
        <w:t xml:space="preserve"> 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>архіву</w:t>
      </w:r>
      <w:r>
        <w:rPr>
          <w:rFonts w:eastAsia="Times New Roman" w:cs="Times New Roman"/>
          <w:bCs/>
          <w:color w:val="auto"/>
          <w:kern w:val="0"/>
          <w:sz w:val="20"/>
          <w:szCs w:val="20"/>
          <w:lang w:val="uk-UA" w:eastAsia="zh-CN" w:bidi="ar-SA"/>
        </w:rPr>
        <w:t xml:space="preserve"> </w:t>
      </w:r>
      <w:r>
        <w:rPr>
          <w:szCs w:val="28"/>
        </w:rPr>
        <w:t>на</w:t>
      </w:r>
      <w:r>
        <w:rPr>
          <w:sz w:val="20"/>
          <w:szCs w:val="20"/>
        </w:rPr>
        <w:t xml:space="preserve"> </w:t>
      </w:r>
      <w:r>
        <w:rPr>
          <w:szCs w:val="28"/>
        </w:rPr>
        <w:t>вул.</w:t>
      </w:r>
      <w:r>
        <w:rPr>
          <w:sz w:val="16"/>
          <w:szCs w:val="16"/>
        </w:rPr>
        <w:t xml:space="preserve"> 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>Ветеранів,</w:t>
      </w:r>
      <w:r>
        <w:rPr>
          <w:rFonts w:eastAsia="Times New Roman" w:cs="Times New Roman"/>
          <w:bCs/>
          <w:color w:val="auto"/>
          <w:kern w:val="0"/>
          <w:sz w:val="16"/>
          <w:szCs w:val="16"/>
          <w:lang w:val="uk-UA" w:eastAsia="zh-CN" w:bidi="ar-SA"/>
        </w:rPr>
        <w:t xml:space="preserve"> 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>21</w:t>
      </w:r>
      <w:r>
        <w:rPr>
          <w:szCs w:val="28"/>
        </w:rPr>
        <w:t>у</w:t>
      </w:r>
      <w:r>
        <w:rPr>
          <w:sz w:val="20"/>
          <w:szCs w:val="20"/>
        </w:rPr>
        <w:t xml:space="preserve"> </w:t>
      </w:r>
      <w:r>
        <w:rPr>
          <w:szCs w:val="28"/>
        </w:rPr>
        <w:t>м.</w:t>
      </w:r>
      <w:r>
        <w:rPr>
          <w:sz w:val="20"/>
          <w:szCs w:val="20"/>
        </w:rPr>
        <w:t xml:space="preserve"> </w:t>
      </w:r>
      <w:r>
        <w:rPr>
          <w:szCs w:val="28"/>
        </w:rPr>
        <w:t>Луцьку</w:t>
      </w:r>
    </w:p>
    <w:p>
      <w:pPr>
        <w:pStyle w:val="Normal"/>
        <w:rPr>
          <w:szCs w:val="28"/>
        </w:rPr>
      </w:pPr>
      <w:r>
        <w:rPr>
          <w:szCs w:val="28"/>
        </w:rPr>
      </w:r>
    </w:p>
    <w:p>
      <w:pPr>
        <w:pStyle w:val="Normal"/>
        <w:tabs>
          <w:tab w:val="clear" w:pos="708"/>
          <w:tab w:val="left" w:pos="709" w:leader="none"/>
          <w:tab w:val="left" w:pos="4880" w:leader="none"/>
        </w:tabs>
        <w:ind w:firstLine="735"/>
        <w:jc w:val="both"/>
        <w:rPr/>
      </w:pPr>
      <w:r>
        <w:rPr>
          <w:sz w:val="28"/>
          <w:szCs w:val="28"/>
        </w:rPr>
        <w:t xml:space="preserve">Розглянувши заяву 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>Державного архіву Волинської області</w:t>
      </w:r>
      <w:r>
        <w:rPr>
          <w:sz w:val="28"/>
          <w:szCs w:val="28"/>
        </w:rPr>
        <w:t xml:space="preserve"> про надання дозволу на розроблення проекту землеустрою щодо відведення земельної ділянки, орієнтовною площею 0,43 га для </w:t>
      </w:r>
      <w:r>
        <w:rPr>
          <w:rFonts w:eastAsia="Times New Roman" w:cs="Times New Roman"/>
          <w:bCs/>
          <w:color w:val="auto"/>
          <w:sz w:val="28"/>
          <w:szCs w:val="28"/>
          <w:lang w:val="uk-UA" w:eastAsia="zh-CN" w:bidi="ar-SA"/>
        </w:rPr>
        <w:t>будівництва та обслуговування</w:t>
      </w:r>
      <w:r>
        <w:rPr>
          <w:sz w:val="28"/>
          <w:szCs w:val="28"/>
        </w:rPr>
        <w:t xml:space="preserve"> 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 xml:space="preserve">будівлі архіву </w:t>
      </w:r>
      <w:r>
        <w:rPr>
          <w:rFonts w:eastAsia="Times New Roman" w:cs="Times New Roman"/>
          <w:bCs/>
          <w:color w:val="auto"/>
          <w:sz w:val="28"/>
          <w:szCs w:val="28"/>
          <w:lang w:val="uk-UA" w:eastAsia="zh-CN" w:bidi="ar-SA"/>
        </w:rPr>
        <w:t xml:space="preserve">на вул. 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>Ветеранів, 21</w:t>
      </w:r>
      <w:r>
        <w:rPr>
          <w:sz w:val="28"/>
          <w:szCs w:val="28"/>
        </w:rPr>
        <w:t xml:space="preserve"> у м. Луцьку, відомості з Єдиного державного реєстру підприємств та організацій України (ЄДРПОУ), положення про 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 xml:space="preserve">Державний архів Волинської області, свідоцтво про право власності, витяг з Державного реєстру речових прав на нерухоме майно, технічний паспорт на об’єкт нерухомого майна, </w:t>
      </w:r>
      <w:r>
        <w:rPr>
          <w:sz w:val="28"/>
          <w:szCs w:val="28"/>
        </w:rPr>
        <w:t xml:space="preserve">генплан земельної ділянки, </w:t>
      </w:r>
      <w:r>
        <w:rPr>
          <w:rFonts w:eastAsia="Times New Roman" w:cs="Times New Roman"/>
          <w:bCs/>
          <w:color w:val="auto"/>
          <w:sz w:val="28"/>
          <w:szCs w:val="28"/>
          <w:lang w:val="uk-UA" w:eastAsia="zh-CN" w:bidi="ar-SA"/>
        </w:rPr>
        <w:t>інформацію про наявні в межах об’єкта землеустрою обмеження у використанні земель</w:t>
      </w:r>
      <w:r>
        <w:rPr>
          <w:szCs w:val="28"/>
        </w:rPr>
        <w:t xml:space="preserve">, </w:t>
      </w:r>
      <w:r>
        <w:rPr>
          <w:rFonts w:eastAsia="Times New Roman" w:cs="Times New Roman"/>
          <w:bCs/>
          <w:color w:val="auto"/>
          <w:sz w:val="28"/>
          <w:szCs w:val="28"/>
          <w:lang w:val="uk-UA" w:eastAsia="zh-CN" w:bidi="ar-SA"/>
        </w:rPr>
        <w:t>рішення виконавчого комітету Луцької міської ради народних депутатів «Про виділення земельних ділянок та дозвіл на добудову», акт про винесення в натуру меж земельної ділянки для будівництва державних і кооперативних будівель</w:t>
      </w:r>
      <w:r>
        <w:rPr>
          <w:bCs w:val="false"/>
          <w:color w:val="000000"/>
          <w:spacing w:val="-2"/>
          <w:szCs w:val="28"/>
        </w:rPr>
        <w:t>,</w:t>
      </w:r>
      <w:r>
        <w:rPr>
          <w:szCs w:val="28"/>
        </w:rPr>
        <w:t xml:space="preserve"> керуючись статтями 12, 92, 120, 122, 123 Земельного кодексу України, п. 6 Прикінцевих та перехідних положень Закону України «Про внесення змін до деяких законодавчих актів України щодо розмежування земель державної та комунальної власності», ст. 26 Закону України «Про місцеве самоврядування в Україні», Генеральним планом міста Луцька, затвердженим рішенням міської ради від 24.06.2009 №</w:t>
      </w:r>
      <w:r>
        <w:rPr>
          <w:sz w:val="12"/>
          <w:szCs w:val="12"/>
        </w:rPr>
        <w:t>  </w:t>
      </w:r>
      <w:r>
        <w:rPr>
          <w:szCs w:val="28"/>
        </w:rPr>
        <w:t>42/1 «Про затвердження Генерального плану міста» та планом зонування території міста Луцька, затвердженим рішенням міської ради від 25.02.2015 №</w:t>
      </w:r>
      <w:r>
        <w:rPr>
          <w:sz w:val="12"/>
          <w:szCs w:val="12"/>
        </w:rPr>
        <w:t xml:space="preserve"> </w:t>
      </w:r>
      <w:r>
        <w:rPr>
          <w:szCs w:val="28"/>
        </w:rPr>
        <w:t>71/13 «Про затвердження плану зонування території міста Луцька», міська рада</w:t>
      </w:r>
    </w:p>
    <w:p>
      <w:pPr>
        <w:pStyle w:val="Normal"/>
        <w:ind w:right="-185" w:hanging="0"/>
        <w:jc w:val="center"/>
        <w:rPr>
          <w:szCs w:val="28"/>
        </w:rPr>
      </w:pPr>
      <w:r>
        <w:rPr>
          <w:szCs w:val="28"/>
        </w:rPr>
      </w:r>
    </w:p>
    <w:p>
      <w:pPr>
        <w:pStyle w:val="Normal"/>
        <w:ind w:right="-185" w:hanging="0"/>
        <w:rPr>
          <w:szCs w:val="28"/>
        </w:rPr>
      </w:pPr>
      <w:r>
        <w:rPr>
          <w:szCs w:val="28"/>
        </w:rPr>
        <w:t>ВИРІШИЛА:</w:t>
      </w:r>
    </w:p>
    <w:p>
      <w:pPr>
        <w:pStyle w:val="Normal"/>
        <w:ind w:right="-185" w:hanging="0"/>
        <w:jc w:val="center"/>
        <w:rPr>
          <w:szCs w:val="28"/>
        </w:rPr>
      </w:pPr>
      <w:r>
        <w:rPr>
          <w:szCs w:val="28"/>
        </w:rPr>
      </w:r>
    </w:p>
    <w:p>
      <w:pPr>
        <w:pStyle w:val="Normal"/>
        <w:ind w:firstLine="720"/>
        <w:jc w:val="both"/>
        <w:rPr/>
      </w:pPr>
      <w:r>
        <w:rPr>
          <w:szCs w:val="28"/>
        </w:rPr>
        <w:t>1.</w:t>
      </w:r>
      <w:r>
        <w:rPr>
          <w:sz w:val="20"/>
          <w:szCs w:val="20"/>
        </w:rPr>
        <w:t> </w:t>
      </w:r>
      <w:r>
        <w:rPr>
          <w:sz w:val="28"/>
          <w:szCs w:val="28"/>
        </w:rPr>
        <w:t>Надати</w:t>
      </w:r>
      <w:r>
        <w:rPr>
          <w:sz w:val="12"/>
          <w:szCs w:val="12"/>
        </w:rPr>
        <w:t xml:space="preserve"> 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>Державному</w:t>
      </w:r>
      <w:r>
        <w:rPr>
          <w:rFonts w:eastAsia="Times New Roman" w:cs="Times New Roman"/>
          <w:bCs/>
          <w:color w:val="auto"/>
          <w:kern w:val="0"/>
          <w:sz w:val="12"/>
          <w:szCs w:val="12"/>
          <w:lang w:val="uk-UA" w:eastAsia="zh-CN" w:bidi="ar-SA"/>
        </w:rPr>
        <w:t xml:space="preserve"> 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>архіву</w:t>
      </w:r>
      <w:r>
        <w:rPr>
          <w:rFonts w:eastAsia="Times New Roman" w:cs="Times New Roman"/>
          <w:bCs/>
          <w:color w:val="auto"/>
          <w:kern w:val="0"/>
          <w:sz w:val="12"/>
          <w:szCs w:val="12"/>
          <w:lang w:val="uk-UA" w:eastAsia="zh-CN" w:bidi="ar-SA"/>
        </w:rPr>
        <w:t xml:space="preserve"> 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>Волинської</w:t>
      </w:r>
      <w:r>
        <w:rPr>
          <w:rFonts w:eastAsia="Times New Roman" w:cs="Times New Roman"/>
          <w:bCs/>
          <w:color w:val="auto"/>
          <w:kern w:val="0"/>
          <w:sz w:val="12"/>
          <w:szCs w:val="12"/>
          <w:lang w:val="uk-UA" w:eastAsia="zh-CN" w:bidi="ar-SA"/>
        </w:rPr>
        <w:t xml:space="preserve"> 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>області</w:t>
      </w:r>
      <w:r>
        <w:rPr>
          <w:rFonts w:eastAsia="Times New Roman" w:cs="Times New Roman"/>
          <w:bCs/>
          <w:color w:val="auto"/>
          <w:kern w:val="0"/>
          <w:sz w:val="12"/>
          <w:szCs w:val="12"/>
          <w:lang w:val="uk-UA" w:eastAsia="zh-CN" w:bidi="ar-SA"/>
        </w:rPr>
        <w:t xml:space="preserve"> </w:t>
      </w:r>
      <w:r>
        <w:rPr>
          <w:szCs w:val="28"/>
        </w:rPr>
        <w:t>дозвіл</w:t>
      </w:r>
      <w:r>
        <w:rPr>
          <w:sz w:val="12"/>
          <w:szCs w:val="12"/>
        </w:rPr>
        <w:t xml:space="preserve"> </w:t>
      </w:r>
      <w:r>
        <w:rPr>
          <w:szCs w:val="28"/>
        </w:rPr>
        <w:t>на</w:t>
      </w:r>
      <w:r>
        <w:rPr>
          <w:sz w:val="20"/>
          <w:szCs w:val="20"/>
        </w:rPr>
        <w:t xml:space="preserve">                                              </w:t>
      </w:r>
      <w:r>
        <w:rPr>
          <w:szCs w:val="28"/>
        </w:rPr>
        <w:t>розроблення проекту</w:t>
      </w:r>
      <w:r>
        <w:rPr>
          <w:sz w:val="16"/>
          <w:szCs w:val="16"/>
        </w:rPr>
        <w:t xml:space="preserve"> </w:t>
      </w:r>
      <w:r>
        <w:rPr>
          <w:szCs w:val="28"/>
        </w:rPr>
        <w:t>землеустрою</w:t>
      </w:r>
      <w:r>
        <w:rPr>
          <w:sz w:val="16"/>
          <w:szCs w:val="16"/>
        </w:rPr>
        <w:t xml:space="preserve"> </w:t>
      </w:r>
      <w:r>
        <w:rPr>
          <w:szCs w:val="28"/>
        </w:rPr>
        <w:t>щодо</w:t>
      </w:r>
      <w:r>
        <w:rPr>
          <w:sz w:val="16"/>
          <w:szCs w:val="16"/>
        </w:rPr>
        <w:t xml:space="preserve"> </w:t>
      </w:r>
      <w:r>
        <w:rPr>
          <w:szCs w:val="28"/>
        </w:rPr>
        <w:t>відведення</w:t>
      </w:r>
      <w:r>
        <w:rPr>
          <w:sz w:val="16"/>
          <w:szCs w:val="16"/>
        </w:rPr>
        <w:t xml:space="preserve"> </w:t>
      </w:r>
      <w:r>
        <w:rPr>
          <w:szCs w:val="28"/>
        </w:rPr>
        <w:t>земельної</w:t>
      </w:r>
      <w:r>
        <w:rPr>
          <w:sz w:val="16"/>
          <w:szCs w:val="16"/>
        </w:rPr>
        <w:t xml:space="preserve"> </w:t>
      </w:r>
      <w:r>
        <w:rPr>
          <w:szCs w:val="28"/>
        </w:rPr>
        <w:t>ділянки</w:t>
      </w:r>
      <w:r>
        <w:rPr>
          <w:sz w:val="16"/>
          <w:szCs w:val="16"/>
        </w:rPr>
        <w:t xml:space="preserve"> </w:t>
      </w:r>
      <w:r>
        <w:rPr>
          <w:szCs w:val="28"/>
        </w:rPr>
        <w:t xml:space="preserve">на                   </w:t>
      </w:r>
      <w:r>
        <w:rPr>
          <w:sz w:val="20"/>
          <w:szCs w:val="20"/>
        </w:rPr>
        <w:t xml:space="preserve">                                                                          </w:t>
      </w:r>
      <w:r>
        <w:rPr>
          <w:szCs w:val="28"/>
        </w:rPr>
        <w:t xml:space="preserve">вул. 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>Ветеранів,</w:t>
      </w:r>
      <w:r>
        <w:rPr>
          <w:rFonts w:eastAsia="Times New Roman" w:cs="Times New Roman"/>
          <w:bCs/>
          <w:color w:val="auto"/>
          <w:kern w:val="0"/>
          <w:sz w:val="16"/>
          <w:szCs w:val="16"/>
          <w:lang w:val="uk-UA" w:eastAsia="zh-CN" w:bidi="ar-SA"/>
        </w:rPr>
        <w:t xml:space="preserve"> 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>21</w:t>
      </w:r>
      <w:r>
        <w:rPr>
          <w:szCs w:val="28"/>
        </w:rPr>
        <w:t xml:space="preserve"> у м. Луцьку,</w:t>
      </w:r>
      <w:r>
        <w:rPr/>
        <w:t xml:space="preserve"> </w:t>
      </w:r>
      <w:r>
        <w:rPr>
          <w:szCs w:val="28"/>
        </w:rPr>
        <w:t xml:space="preserve">орієнтовною площею 0,43 га для </w:t>
      </w:r>
      <w:r>
        <w:rPr>
          <w:rFonts w:eastAsia="Times New Roman" w:cs="Times New Roman"/>
          <w:bCs/>
          <w:color w:val="auto"/>
          <w:sz w:val="28"/>
          <w:szCs w:val="28"/>
          <w:lang w:val="uk-UA" w:eastAsia="zh-CN" w:bidi="ar-SA"/>
        </w:rPr>
        <w:t xml:space="preserve">будівництва та обслуговування 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>будівлі архіву</w:t>
      </w:r>
      <w:r>
        <w:rPr>
          <w:szCs w:val="28"/>
        </w:rPr>
        <w:t>, згідно з додатком.</w:t>
      </w:r>
    </w:p>
    <w:p>
      <w:pPr>
        <w:pStyle w:val="Normal"/>
        <w:tabs>
          <w:tab w:val="clear" w:pos="708"/>
          <w:tab w:val="left" w:pos="709" w:leader="none"/>
        </w:tabs>
        <w:ind w:right="5" w:firstLine="720"/>
        <w:jc w:val="both"/>
        <w:rPr/>
      </w:pPr>
      <w:r>
        <w:rPr>
          <w:szCs w:val="28"/>
        </w:rPr>
        <w:t>2. 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>Державному</w:t>
      </w:r>
      <w:r>
        <w:rPr>
          <w:rFonts w:eastAsia="Times New Roman" w:cs="Times New Roman"/>
          <w:bCs/>
          <w:color w:val="auto"/>
          <w:kern w:val="0"/>
          <w:sz w:val="12"/>
          <w:szCs w:val="12"/>
          <w:lang w:val="uk-UA" w:eastAsia="zh-CN" w:bidi="ar-SA"/>
        </w:rPr>
        <w:t xml:space="preserve"> 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>архіву</w:t>
      </w:r>
      <w:r>
        <w:rPr>
          <w:rFonts w:eastAsia="Times New Roman" w:cs="Times New Roman"/>
          <w:bCs/>
          <w:color w:val="auto"/>
          <w:kern w:val="0"/>
          <w:sz w:val="12"/>
          <w:szCs w:val="12"/>
          <w:lang w:val="uk-UA" w:eastAsia="zh-CN" w:bidi="ar-SA"/>
        </w:rPr>
        <w:t xml:space="preserve"> 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>Волинської</w:t>
      </w:r>
      <w:r>
        <w:rPr>
          <w:rFonts w:eastAsia="Times New Roman" w:cs="Times New Roman"/>
          <w:bCs/>
          <w:color w:val="auto"/>
          <w:kern w:val="0"/>
          <w:sz w:val="12"/>
          <w:szCs w:val="12"/>
          <w:lang w:val="uk-UA" w:eastAsia="zh-CN" w:bidi="ar-SA"/>
        </w:rPr>
        <w:t xml:space="preserve"> 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>області</w:t>
      </w:r>
      <w:r>
        <w:rPr>
          <w:szCs w:val="28"/>
        </w:rPr>
        <w:t xml:space="preserve"> подати на затвердження                                    розроблений проект землеустрою щодо відведення земельної ділянки на                  вул. 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>Ветеранів,</w:t>
      </w:r>
      <w:r>
        <w:rPr>
          <w:rFonts w:eastAsia="Times New Roman" w:cs="Times New Roman"/>
          <w:bCs/>
          <w:color w:val="auto"/>
          <w:kern w:val="0"/>
          <w:sz w:val="16"/>
          <w:szCs w:val="16"/>
          <w:lang w:val="uk-UA" w:eastAsia="zh-CN" w:bidi="ar-SA"/>
        </w:rPr>
        <w:t xml:space="preserve"> 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>21</w:t>
      </w:r>
      <w:r>
        <w:rPr>
          <w:szCs w:val="28"/>
        </w:rPr>
        <w:t xml:space="preserve"> у м. Луцьку, орієнтовною площею 0,43 га </w:t>
      </w:r>
      <w:r>
        <w:rPr>
          <w:rFonts w:eastAsia="Times New Roman" w:cs="Times New Roman"/>
          <w:bCs/>
          <w:color w:val="auto"/>
          <w:sz w:val="28"/>
          <w:szCs w:val="28"/>
          <w:lang w:val="uk-UA" w:eastAsia="zh-CN" w:bidi="ar-SA"/>
        </w:rPr>
        <w:t xml:space="preserve">для будівництва та обслуговування 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>будівлі архіву</w:t>
      </w:r>
      <w:r>
        <w:rPr>
          <w:szCs w:val="28"/>
        </w:rPr>
        <w:t>, в порядку, визначеному чинним законодавством України.</w:t>
      </w:r>
    </w:p>
    <w:p>
      <w:pPr>
        <w:pStyle w:val="Normal"/>
        <w:ind w:right="5" w:firstLine="720"/>
        <w:jc w:val="both"/>
        <w:rPr/>
      </w:pPr>
      <w:r>
        <w:rPr>
          <w:szCs w:val="28"/>
        </w:rPr>
        <w:t>3. Контроль за виконанням рішення покласти на постійну комісію міської ради з питань земельних відносин та земельного кадастру                                      (Козлюк О.Є.).</w:t>
      </w:r>
    </w:p>
    <w:p>
      <w:pPr>
        <w:pStyle w:val="Normal"/>
        <w:ind w:firstLine="720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ind w:firstLine="720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tabs>
          <w:tab w:val="clear" w:pos="708"/>
          <w:tab w:val="left" w:pos="3220" w:leader="none"/>
        </w:tabs>
        <w:jc w:val="both"/>
        <w:rPr>
          <w:szCs w:val="28"/>
        </w:rPr>
      </w:pPr>
      <w:r>
        <w:rPr>
          <w:szCs w:val="28"/>
        </w:rPr>
        <w:t>Міський голова                                                                               Ігор ПОЛІЩУК</w:t>
      </w:r>
    </w:p>
    <w:p>
      <w:pPr>
        <w:pStyle w:val="Normal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jc w:val="both"/>
        <w:rPr>
          <w:sz w:val="24"/>
        </w:rPr>
      </w:pPr>
      <w:r>
        <w:rPr>
          <w:sz w:val="24"/>
        </w:rPr>
        <w:t>Туз 777 863</w:t>
      </w:r>
    </w:p>
    <w:p>
      <w:pPr>
        <w:pStyle w:val="Normal"/>
        <w:jc w:val="both"/>
        <w:rPr>
          <w:sz w:val="24"/>
        </w:rPr>
      </w:pPr>
      <w:r>
        <w:rPr/>
      </w:r>
    </w:p>
    <w:sectPr>
      <w:type w:val="nextPage"/>
      <w:pgSz w:w="11906" w:h="16838"/>
      <w:pgMar w:left="1985" w:right="567" w:header="0" w:top="567" w:footer="0" w:bottom="1701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01"/>
    <w:family w:val="roman"/>
    <w:pitch w:val="default"/>
  </w:font>
  <w:font w:name="Arial">
    <w:charset w:val="01"/>
    <w:family w:val="roman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pStyle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pStyle w:val="2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N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sz w:val="32"/>
    </w:rPr>
  </w:style>
  <w:style w:type="paragraph" w:styleId="2">
    <w:name w:val="Heading 2"/>
    <w:basedOn w:val="Normal"/>
    <w:next w:val="Normal"/>
    <w:qFormat/>
    <w:pPr>
      <w:keepNext w:val="true"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i/>
      <w:iCs/>
      <w:szCs w:val="28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12">
    <w:name w:val="Основной шрифт абзаца"/>
    <w:qFormat/>
    <w:rPr/>
  </w:style>
  <w:style w:type="character" w:styleId="21">
    <w:name w:val="Основной шрифт абзаца2"/>
    <w:qFormat/>
    <w:rPr/>
  </w:style>
  <w:style w:type="character" w:styleId="WW8Num1zfalse">
    <w:name w:val="WW8Num1zfalse"/>
    <w:qFormat/>
    <w:rPr/>
  </w:style>
  <w:style w:type="character" w:styleId="WW8Num1ztrue">
    <w:name w:val="WW8Num1ztrue"/>
    <w:qFormat/>
    <w:rPr/>
  </w:style>
  <w:style w:type="character" w:styleId="WWWW8Num1ztrue">
    <w:name w:val="WW-WW8Num1ztrue"/>
    <w:qFormat/>
    <w:rPr/>
  </w:style>
  <w:style w:type="character" w:styleId="WWWW8Num1ztrue1">
    <w:name w:val="WW-WW8Num1ztrue1"/>
    <w:qFormat/>
    <w:rPr/>
  </w:style>
  <w:style w:type="character" w:styleId="WWWW8Num1ztrue2">
    <w:name w:val="WW-WW8Num1ztrue2"/>
    <w:qFormat/>
    <w:rPr/>
  </w:style>
  <w:style w:type="character" w:styleId="WWWW8Num1ztrue3">
    <w:name w:val="WW-WW8Num1ztrue3"/>
    <w:qFormat/>
    <w:rPr/>
  </w:style>
  <w:style w:type="character" w:styleId="WWWW8Num1ztrue4">
    <w:name w:val="WW-WW8Num1ztrue4"/>
    <w:qFormat/>
    <w:rPr/>
  </w:style>
  <w:style w:type="character" w:styleId="WWWW8Num1ztrue5">
    <w:name w:val="WW-WW8Num1ztrue5"/>
    <w:qFormat/>
    <w:rPr/>
  </w:style>
  <w:style w:type="character" w:styleId="WWWW8Num1ztrue6">
    <w:name w:val="WW-WW8Num1ztrue6"/>
    <w:qFormat/>
    <w:rPr/>
  </w:style>
  <w:style w:type="character" w:styleId="WWWW8Num1ztrue7">
    <w:name w:val="WW-WW8Num1ztrue7"/>
    <w:qFormat/>
    <w:rPr/>
  </w:style>
  <w:style w:type="character" w:styleId="WWWW8Num1ztrue11">
    <w:name w:val="WW-WW8Num1ztrue11"/>
    <w:qFormat/>
    <w:rPr/>
  </w:style>
  <w:style w:type="character" w:styleId="WWWW8Num1ztrue21">
    <w:name w:val="WW-WW8Num1ztrue21"/>
    <w:qFormat/>
    <w:rPr/>
  </w:style>
  <w:style w:type="character" w:styleId="WWWW8Num1ztrue31">
    <w:name w:val="WW-WW8Num1ztrue31"/>
    <w:qFormat/>
    <w:rPr/>
  </w:style>
  <w:style w:type="character" w:styleId="WWWW8Num1ztrue41">
    <w:name w:val="WW-WW8Num1ztrue41"/>
    <w:qFormat/>
    <w:rPr/>
  </w:style>
  <w:style w:type="character" w:styleId="WWWW8Num1ztrue51">
    <w:name w:val="WW-WW8Num1ztrue51"/>
    <w:qFormat/>
    <w:rPr/>
  </w:style>
  <w:style w:type="character" w:styleId="WWWW8Num1ztrue61">
    <w:name w:val="WW-WW8Num1ztrue61"/>
    <w:qFormat/>
    <w:rPr/>
  </w:style>
  <w:style w:type="character" w:styleId="WWWW8Num1ztrue71">
    <w:name w:val="WW-WW8Num1ztrue71"/>
    <w:qFormat/>
    <w:rPr/>
  </w:style>
  <w:style w:type="character" w:styleId="WWWW8Num1ztrue111">
    <w:name w:val="WW-WW8Num1ztrue111"/>
    <w:qFormat/>
    <w:rPr/>
  </w:style>
  <w:style w:type="character" w:styleId="WWWW8Num1ztrue211">
    <w:name w:val="WW-WW8Num1ztrue211"/>
    <w:qFormat/>
    <w:rPr/>
  </w:style>
  <w:style w:type="character" w:styleId="WWWW8Num1ztrue311">
    <w:name w:val="WW-WW8Num1ztrue311"/>
    <w:qFormat/>
    <w:rPr/>
  </w:style>
  <w:style w:type="character" w:styleId="WWWW8Num1ztrue411">
    <w:name w:val="WW-WW8Num1ztrue411"/>
    <w:qFormat/>
    <w:rPr/>
  </w:style>
  <w:style w:type="character" w:styleId="WWWW8Num1ztrue511">
    <w:name w:val="WW-WW8Num1ztrue511"/>
    <w:qFormat/>
    <w:rPr/>
  </w:style>
  <w:style w:type="character" w:styleId="WWWW8Num1ztrue611">
    <w:name w:val="WW-WW8Num1ztrue611"/>
    <w:qFormat/>
    <w:rPr/>
  </w:style>
  <w:style w:type="character" w:styleId="WWWW8Num1ztrue711">
    <w:name w:val="WW-WW8Num1ztrue711"/>
    <w:qFormat/>
    <w:rPr/>
  </w:style>
  <w:style w:type="character" w:styleId="WWWW8Num1ztrue1111">
    <w:name w:val="WW-WW8Num1ztrue1111"/>
    <w:qFormat/>
    <w:rPr/>
  </w:style>
  <w:style w:type="character" w:styleId="WWWW8Num1ztrue2111">
    <w:name w:val="WW-WW8Num1ztrue2111"/>
    <w:qFormat/>
    <w:rPr/>
  </w:style>
  <w:style w:type="character" w:styleId="WWWW8Num1ztrue3111">
    <w:name w:val="WW-WW8Num1ztrue3111"/>
    <w:qFormat/>
    <w:rPr/>
  </w:style>
  <w:style w:type="character" w:styleId="WWWW8Num1ztrue4111">
    <w:name w:val="WW-WW8Num1ztrue4111"/>
    <w:qFormat/>
    <w:rPr/>
  </w:style>
  <w:style w:type="character" w:styleId="WWWW8Num1ztrue5111">
    <w:name w:val="WW-WW8Num1ztrue5111"/>
    <w:qFormat/>
    <w:rPr/>
  </w:style>
  <w:style w:type="character" w:styleId="WWWW8Num1ztrue6111">
    <w:name w:val="WW-WW8Num1ztrue6111"/>
    <w:qFormat/>
    <w:rPr/>
  </w:style>
  <w:style w:type="character" w:styleId="WWWW8Num1ztrue7111">
    <w:name w:val="WW-WW8Num1ztrue7111"/>
    <w:qFormat/>
    <w:rPr/>
  </w:style>
  <w:style w:type="character" w:styleId="WWWW8Num1ztrue11111">
    <w:name w:val="WW-WW8Num1ztrue11111"/>
    <w:qFormat/>
    <w:rPr/>
  </w:style>
  <w:style w:type="character" w:styleId="WWWW8Num1ztrue21111">
    <w:name w:val="WW-WW8Num1ztrue21111"/>
    <w:qFormat/>
    <w:rPr/>
  </w:style>
  <w:style w:type="character" w:styleId="WWWW8Num1ztrue31111">
    <w:name w:val="WW-WW8Num1ztrue31111"/>
    <w:qFormat/>
    <w:rPr/>
  </w:style>
  <w:style w:type="character" w:styleId="WWWW8Num1ztrue41111">
    <w:name w:val="WW-WW8Num1ztrue41111"/>
    <w:qFormat/>
    <w:rPr/>
  </w:style>
  <w:style w:type="character" w:styleId="WWWW8Num1ztrue51111">
    <w:name w:val="WW-WW8Num1ztrue51111"/>
    <w:qFormat/>
    <w:rPr/>
  </w:style>
  <w:style w:type="character" w:styleId="WWWW8Num1ztrue61111">
    <w:name w:val="WW-WW8Num1ztrue61111"/>
    <w:qFormat/>
    <w:rPr/>
  </w:style>
  <w:style w:type="character" w:styleId="WWWW8Num1ztrue71111">
    <w:name w:val="WW-WW8Num1ztrue71111"/>
    <w:qFormat/>
    <w:rPr/>
  </w:style>
  <w:style w:type="character" w:styleId="WWWW8Num1ztrue111111">
    <w:name w:val="WW-WW8Num1ztrue111111"/>
    <w:qFormat/>
    <w:rPr/>
  </w:style>
  <w:style w:type="character" w:styleId="WWWW8Num1ztrue211111">
    <w:name w:val="WW-WW8Num1ztrue211111"/>
    <w:qFormat/>
    <w:rPr/>
  </w:style>
  <w:style w:type="character" w:styleId="WWWW8Num1ztrue311111">
    <w:name w:val="WW-WW8Num1ztrue311111"/>
    <w:qFormat/>
    <w:rPr/>
  </w:style>
  <w:style w:type="character" w:styleId="WWWW8Num1ztrue411111">
    <w:name w:val="WW-WW8Num1ztrue411111"/>
    <w:qFormat/>
    <w:rPr/>
  </w:style>
  <w:style w:type="character" w:styleId="WWWW8Num1ztrue511111">
    <w:name w:val="WW-WW8Num1ztrue511111"/>
    <w:qFormat/>
    <w:rPr/>
  </w:style>
  <w:style w:type="character" w:styleId="WWWW8Num1ztrue611111">
    <w:name w:val="WW-WW8Num1ztrue611111"/>
    <w:qFormat/>
    <w:rPr/>
  </w:style>
  <w:style w:type="character" w:styleId="WWWW8Num1ztrue711111">
    <w:name w:val="WW-WW8Num1ztrue711111"/>
    <w:qFormat/>
    <w:rPr/>
  </w:style>
  <w:style w:type="character" w:styleId="WWWW8Num1ztrue1111111">
    <w:name w:val="WW-WW8Num1ztrue1111111"/>
    <w:qFormat/>
    <w:rPr/>
  </w:style>
  <w:style w:type="character" w:styleId="WWWW8Num1ztrue2111111">
    <w:name w:val="WW-WW8Num1ztrue2111111"/>
    <w:qFormat/>
    <w:rPr/>
  </w:style>
  <w:style w:type="character" w:styleId="WWWW8Num1ztrue3111111">
    <w:name w:val="WW-WW8Num1ztrue3111111"/>
    <w:qFormat/>
    <w:rPr/>
  </w:style>
  <w:style w:type="character" w:styleId="WWWW8Num1ztrue4111111">
    <w:name w:val="WW-WW8Num1ztrue4111111"/>
    <w:qFormat/>
    <w:rPr/>
  </w:style>
  <w:style w:type="character" w:styleId="WWWW8Num1ztrue5111111">
    <w:name w:val="WW-WW8Num1ztrue5111111"/>
    <w:qFormat/>
    <w:rPr/>
  </w:style>
  <w:style w:type="character" w:styleId="WWWW8Num1ztrue6111111">
    <w:name w:val="WW-WW8Num1ztrue6111111"/>
    <w:qFormat/>
    <w:rPr/>
  </w:style>
  <w:style w:type="character" w:styleId="WWWW8Num1ztrue7111111">
    <w:name w:val="WW-WW8Num1ztrue7111111"/>
    <w:qFormat/>
    <w:rPr/>
  </w:style>
  <w:style w:type="character" w:styleId="WWWW8Num1ztrue11111111">
    <w:name w:val="WW-WW8Num1ztrue11111111"/>
    <w:qFormat/>
    <w:rPr/>
  </w:style>
  <w:style w:type="character" w:styleId="WWWW8Num1ztrue21111111">
    <w:name w:val="WW-WW8Num1ztrue21111111"/>
    <w:qFormat/>
    <w:rPr/>
  </w:style>
  <w:style w:type="character" w:styleId="WWWW8Num1ztrue31111111">
    <w:name w:val="WW-WW8Num1ztrue31111111"/>
    <w:qFormat/>
    <w:rPr/>
  </w:style>
  <w:style w:type="character" w:styleId="WWWW8Num1ztrue41111111">
    <w:name w:val="WW-WW8Num1ztrue41111111"/>
    <w:qFormat/>
    <w:rPr/>
  </w:style>
  <w:style w:type="character" w:styleId="WWWW8Num1ztrue51111111">
    <w:name w:val="WW-WW8Num1ztrue51111111"/>
    <w:qFormat/>
    <w:rPr/>
  </w:style>
  <w:style w:type="character" w:styleId="WWWW8Num1ztrue61111111">
    <w:name w:val="WW-WW8Num1ztrue61111111"/>
    <w:qFormat/>
    <w:rPr/>
  </w:style>
  <w:style w:type="character" w:styleId="WWWW8Num1ztrue71111111">
    <w:name w:val="WW-WW8Num1ztrue71111111"/>
    <w:qFormat/>
    <w:rPr/>
  </w:style>
  <w:style w:type="character" w:styleId="WWWW8Num1ztrue111111111">
    <w:name w:val="WW-WW8Num1ztrue111111111"/>
    <w:qFormat/>
    <w:rPr/>
  </w:style>
  <w:style w:type="character" w:styleId="WWWW8Num1ztrue211111111">
    <w:name w:val="WW-WW8Num1ztrue211111111"/>
    <w:qFormat/>
    <w:rPr/>
  </w:style>
  <w:style w:type="character" w:styleId="WWWW8Num1ztrue311111111">
    <w:name w:val="WW-WW8Num1ztrue311111111"/>
    <w:qFormat/>
    <w:rPr/>
  </w:style>
  <w:style w:type="character" w:styleId="WWWW8Num1ztrue411111111">
    <w:name w:val="WW-WW8Num1ztrue411111111"/>
    <w:qFormat/>
    <w:rPr/>
  </w:style>
  <w:style w:type="character" w:styleId="WWWW8Num1ztrue511111111">
    <w:name w:val="WW-WW8Num1ztrue511111111"/>
    <w:qFormat/>
    <w:rPr/>
  </w:style>
  <w:style w:type="character" w:styleId="WWWW8Num1ztrue611111111">
    <w:name w:val="WW-WW8Num1ztrue611111111"/>
    <w:qFormat/>
    <w:rPr/>
  </w:style>
  <w:style w:type="character" w:styleId="WWWW8Num1ztrue711111111">
    <w:name w:val="WW-WW8Num1ztrue711111111"/>
    <w:qFormat/>
    <w:rPr/>
  </w:style>
  <w:style w:type="character" w:styleId="WWWW8Num1ztrue1111111111">
    <w:name w:val="WW-WW8Num1ztrue1111111111"/>
    <w:qFormat/>
    <w:rPr/>
  </w:style>
  <w:style w:type="character" w:styleId="WWWW8Num1ztrue2111111111">
    <w:name w:val="WW-WW8Num1ztrue2111111111"/>
    <w:qFormat/>
    <w:rPr/>
  </w:style>
  <w:style w:type="character" w:styleId="WWWW8Num1ztrue3111111111">
    <w:name w:val="WW-WW8Num1ztrue3111111111"/>
    <w:qFormat/>
    <w:rPr/>
  </w:style>
  <w:style w:type="character" w:styleId="WWWW8Num1ztrue4111111111">
    <w:name w:val="WW-WW8Num1ztrue4111111111"/>
    <w:qFormat/>
    <w:rPr/>
  </w:style>
  <w:style w:type="character" w:styleId="WWWW8Num1ztrue5111111111">
    <w:name w:val="WW-WW8Num1ztrue5111111111"/>
    <w:qFormat/>
    <w:rPr/>
  </w:style>
  <w:style w:type="character" w:styleId="WWWW8Num1ztrue6111111111">
    <w:name w:val="WW-WW8Num1ztrue6111111111"/>
    <w:qFormat/>
    <w:rPr/>
  </w:style>
  <w:style w:type="character" w:styleId="WWWW8Num1ztrue7111111111">
    <w:name w:val="WW-WW8Num1ztrue7111111111"/>
    <w:qFormat/>
    <w:rPr/>
  </w:style>
  <w:style w:type="character" w:styleId="WWWW8Num1ztrue11111111111">
    <w:name w:val="WW-WW8Num1ztrue11111111111"/>
    <w:qFormat/>
    <w:rPr/>
  </w:style>
  <w:style w:type="character" w:styleId="WWWW8Num1ztrue21111111111">
    <w:name w:val="WW-WW8Num1ztrue21111111111"/>
    <w:qFormat/>
    <w:rPr/>
  </w:style>
  <w:style w:type="character" w:styleId="WWWW8Num1ztrue31111111111">
    <w:name w:val="WW-WW8Num1ztrue31111111111"/>
    <w:qFormat/>
    <w:rPr/>
  </w:style>
  <w:style w:type="character" w:styleId="WWWW8Num1ztrue41111111111">
    <w:name w:val="WW-WW8Num1ztrue41111111111"/>
    <w:qFormat/>
    <w:rPr/>
  </w:style>
  <w:style w:type="character" w:styleId="WWWW8Num1ztrue51111111111">
    <w:name w:val="WW-WW8Num1ztrue51111111111"/>
    <w:qFormat/>
    <w:rPr/>
  </w:style>
  <w:style w:type="character" w:styleId="WWWW8Num1ztrue61111111111">
    <w:name w:val="WW-WW8Num1ztrue61111111111"/>
    <w:qFormat/>
    <w:rPr/>
  </w:style>
  <w:style w:type="character" w:styleId="WWWW8Num1ztrue71111111111">
    <w:name w:val="WW-WW8Num1ztrue71111111111"/>
    <w:qFormat/>
    <w:rPr/>
  </w:style>
  <w:style w:type="character" w:styleId="WWWW8Num1ztrue111111111111">
    <w:name w:val="WW-WW8Num1ztrue111111111111"/>
    <w:qFormat/>
    <w:rPr/>
  </w:style>
  <w:style w:type="character" w:styleId="WWWW8Num1ztrue211111111111">
    <w:name w:val="WW-WW8Num1ztrue211111111111"/>
    <w:qFormat/>
    <w:rPr/>
  </w:style>
  <w:style w:type="character" w:styleId="WWWW8Num1ztrue311111111111">
    <w:name w:val="WW-WW8Num1ztrue311111111111"/>
    <w:qFormat/>
    <w:rPr/>
  </w:style>
  <w:style w:type="character" w:styleId="WWWW8Num1ztrue411111111111">
    <w:name w:val="WW-WW8Num1ztrue411111111111"/>
    <w:qFormat/>
    <w:rPr/>
  </w:style>
  <w:style w:type="character" w:styleId="WWWW8Num1ztrue511111111111">
    <w:name w:val="WW-WW8Num1ztrue511111111111"/>
    <w:qFormat/>
    <w:rPr/>
  </w:style>
  <w:style w:type="character" w:styleId="WWWW8Num1ztrue611111111111">
    <w:name w:val="WW-WW8Num1ztrue611111111111"/>
    <w:qFormat/>
    <w:rPr/>
  </w:style>
  <w:style w:type="character" w:styleId="WWWW8Num1ztrue711111111111">
    <w:name w:val="WW-WW8Num1ztrue711111111111"/>
    <w:qFormat/>
    <w:rPr/>
  </w:style>
  <w:style w:type="character" w:styleId="WWWW8Num1ztrue1111111111111">
    <w:name w:val="WW-WW8Num1ztrue1111111111111"/>
    <w:qFormat/>
    <w:rPr/>
  </w:style>
  <w:style w:type="character" w:styleId="WWWW8Num1ztrue2111111111111">
    <w:name w:val="WW-WW8Num1ztrue2111111111111"/>
    <w:qFormat/>
    <w:rPr/>
  </w:style>
  <w:style w:type="character" w:styleId="WWWW8Num1ztrue3111111111111">
    <w:name w:val="WW-WW8Num1ztrue3111111111111"/>
    <w:qFormat/>
    <w:rPr/>
  </w:style>
  <w:style w:type="character" w:styleId="WWWW8Num1ztrue4111111111111">
    <w:name w:val="WW-WW8Num1ztrue4111111111111"/>
    <w:qFormat/>
    <w:rPr/>
  </w:style>
  <w:style w:type="character" w:styleId="WWWW8Num1ztrue5111111111111">
    <w:name w:val="WW-WW8Num1ztrue5111111111111"/>
    <w:qFormat/>
    <w:rPr/>
  </w:style>
  <w:style w:type="character" w:styleId="WWWW8Num1ztrue6111111111111">
    <w:name w:val="WW-WW8Num1ztrue6111111111111"/>
    <w:qFormat/>
    <w:rPr/>
  </w:style>
  <w:style w:type="character" w:styleId="11">
    <w:name w:val="Основной шрифт абзаца1"/>
    <w:qFormat/>
    <w:rPr/>
  </w:style>
  <w:style w:type="paragraph" w:styleId="Style13">
    <w:name w:val="Заголовок"/>
    <w:basedOn w:val="Normal"/>
    <w:next w:val="Style14"/>
    <w:qFormat/>
    <w:pPr>
      <w:keepNext w:val="true"/>
      <w:spacing w:before="240" w:after="120"/>
    </w:pPr>
    <w:rPr>
      <w:rFonts w:ascii="Arial" w:hAnsi="Arial" w:eastAsia="Arial Unicode MS" w:cs="Mangal"/>
      <w:sz w:val="28"/>
      <w:szCs w:val="28"/>
    </w:rPr>
  </w:style>
  <w:style w:type="paragraph" w:styleId="Style14">
    <w:name w:val="Body Text"/>
    <w:basedOn w:val="Normal"/>
    <w:pPr>
      <w:spacing w:before="0" w:after="120"/>
    </w:pPr>
    <w:rPr/>
  </w:style>
  <w:style w:type="paragraph" w:styleId="Style15">
    <w:name w:val="List"/>
    <w:basedOn w:val="Style14"/>
    <w:pPr/>
    <w:rPr>
      <w:rFonts w:cs="Mang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4"/>
      <w:szCs w:val="24"/>
    </w:rPr>
  </w:style>
  <w:style w:type="paragraph" w:styleId="Style17">
    <w:name w:val="Покажчик"/>
    <w:basedOn w:val="Normal"/>
    <w:qFormat/>
    <w:pPr>
      <w:suppressLineNumbers/>
    </w:pPr>
    <w:rPr>
      <w:rFonts w:cs="Arial"/>
    </w:rPr>
  </w:style>
  <w:style w:type="paragraph" w:styleId="Style18">
    <w:name w:val="Название объекта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22">
    <w:name w:val="Указатель2"/>
    <w:basedOn w:val="Normal"/>
    <w:qFormat/>
    <w:pPr>
      <w:suppressLineNumbers/>
    </w:pPr>
    <w:rPr>
      <w:rFonts w:cs="Mangal"/>
    </w:rPr>
  </w:style>
  <w:style w:type="paragraph" w:styleId="12">
    <w:name w:val="Название объекта1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13">
    <w:name w:val="Название1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14">
    <w:name w:val="Указатель1"/>
    <w:basedOn w:val="Normal"/>
    <w:qFormat/>
    <w:pPr>
      <w:suppressLineNumbers/>
    </w:pPr>
    <w:rPr>
      <w:rFonts w:cs="Mangal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Normal_x005F_x0000_</Template>
  <TotalTime>71</TotalTime>
  <Application>LibreOffice/7.1.5.2$Windows_X86_64 LibreOffice_project/85f04e9f809797b8199d13c421bd8a2b025d52b5</Application>
  <AppVersion>15.0000</AppVersion>
  <Pages>2</Pages>
  <Words>337</Words>
  <Characters>2159</Characters>
  <CharactersWithSpaces>2912</CharactersWithSpaces>
  <Paragraphs>17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2021-05-21T17:54:00Z</dcterms:created>
  <dc:creator>natasha_18</dc:creator>
  <dc:description/>
  <cp:keywords>  </cp:keywords>
  <dc:language>uk-UA</dc:language>
  <cp:lastModifiedBy/>
  <cp:lastPrinted>2021-11-19T11:08:06Z</cp:lastPrinted>
  <dcterms:modified xsi:type="dcterms:W3CDTF">2021-11-19T11:10:01Z</dcterms:modified>
  <cp:revision>19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