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4820" w:right="0" w:hanging="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Додаток </w:t>
      </w:r>
    </w:p>
    <w:p>
      <w:pPr>
        <w:pStyle w:val="Normal"/>
        <w:ind w:left="4820" w:right="0" w:hanging="0"/>
        <w:rPr/>
      </w:pPr>
      <w:r>
        <w:rPr>
          <w:rFonts w:eastAsia="Times New Roman" w:cs="Times New Roman" w:ascii="Times New Roman" w:hAnsi="Times New Roman"/>
          <w:color w:val="000000"/>
          <w:sz w:val="28"/>
          <w:szCs w:val="28"/>
        </w:rPr>
        <w:t>до рішення міської ради</w:t>
      </w:r>
    </w:p>
    <w:p>
      <w:pPr>
        <w:pStyle w:val="Normal"/>
        <w:ind w:left="4820" w:right="0" w:hanging="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______________№____________</w:t>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ind w:left="0" w:right="0" w:firstLine="680"/>
        <w:jc w:val="center"/>
        <w:rPr/>
      </w:pPr>
      <w:r>
        <w:rPr>
          <w:rFonts w:eastAsia="Times New Roman" w:cs="Times New Roman" w:ascii="Times New Roman" w:hAnsi="Times New Roman"/>
          <w:b/>
          <w:color w:val="000000"/>
          <w:sz w:val="28"/>
          <w:szCs w:val="28"/>
        </w:rPr>
        <w:t xml:space="preserve">Комплексна програма охорони довкілля </w:t>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Луцької міської територіальної</w:t>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громади на 2022-2025 роки</w:t>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Паспорт Програми</w:t>
      </w:r>
    </w:p>
    <w:p>
      <w:pPr>
        <w:pStyle w:val="Normal"/>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tbl>
      <w:tblPr>
        <w:tblW w:w="9488" w:type="dxa"/>
        <w:jc w:val="left"/>
        <w:tblInd w:w="-130" w:type="dxa"/>
        <w:tblCellMar>
          <w:top w:w="0" w:type="dxa"/>
          <w:left w:w="108" w:type="dxa"/>
          <w:bottom w:w="0" w:type="dxa"/>
          <w:right w:w="108" w:type="dxa"/>
        </w:tblCellMar>
      </w:tblPr>
      <w:tblGrid>
        <w:gridCol w:w="719"/>
        <w:gridCol w:w="3815"/>
        <w:gridCol w:w="4954"/>
      </w:tblGrid>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1.</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Ініціатор розроблення програми</w:t>
            </w:r>
          </w:p>
          <w:p>
            <w:pPr>
              <w:pStyle w:val="Normal"/>
              <w:widowControl w:val="false"/>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Луцька міська рада</w:t>
            </w:r>
          </w:p>
        </w:tc>
      </w:tr>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3.</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Розробник програми</w:t>
            </w:r>
          </w:p>
          <w:p>
            <w:pPr>
              <w:pStyle w:val="Normal"/>
              <w:widowControl w:val="false"/>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Відділ екології Луцької міської ради</w:t>
            </w:r>
          </w:p>
        </w:tc>
      </w:tr>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4.</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Співрозробники програми</w:t>
            </w:r>
          </w:p>
          <w:p>
            <w:pPr>
              <w:pStyle w:val="Normal"/>
              <w:widowControl w:val="false"/>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Style30"/>
              <w:widowControl w:val="false"/>
              <w:snapToGrid w:val="false"/>
              <w:rPr>
                <w:rFonts w:ascii="Times New Roman" w:hAnsi="Times New Roman"/>
                <w:color w:val="000000"/>
                <w:sz w:val="28"/>
                <w:szCs w:val="28"/>
              </w:rPr>
            </w:pPr>
            <w:r>
              <w:rPr>
                <w:rFonts w:ascii="Times New Roman" w:hAnsi="Times New Roman"/>
                <w:color w:val="000000"/>
                <w:sz w:val="28"/>
                <w:szCs w:val="28"/>
              </w:rPr>
              <w:t>Виконавчі органи міської ради, підприємства, установи, організації</w:t>
            </w:r>
          </w:p>
        </w:tc>
      </w:tr>
      <w:tr>
        <w:trPr>
          <w:trHeight w:val="716"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5.</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Відповідальний виконавець програми</w:t>
            </w:r>
          </w:p>
          <w:p>
            <w:pPr>
              <w:pStyle w:val="Normal"/>
              <w:widowControl w:val="false"/>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snapToGrid w:val="false"/>
              <w:jc w:val="both"/>
              <w:rPr/>
            </w:pPr>
            <w:r>
              <w:rPr>
                <w:rFonts w:eastAsia="Times New Roman" w:cs="Times New Roman" w:ascii="Times New Roman" w:hAnsi="Times New Roman"/>
                <w:color w:val="000000"/>
                <w:sz w:val="28"/>
                <w:szCs w:val="28"/>
              </w:rPr>
              <w:t>Відділ екології Луцької міської ради, департамент житлово-комунального господарства, підприємства, установи, організації</w:t>
            </w:r>
          </w:p>
        </w:tc>
      </w:tr>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6.</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Учасники програми</w:t>
            </w:r>
          </w:p>
          <w:p>
            <w:pPr>
              <w:pStyle w:val="Normal"/>
              <w:widowControl w:val="false"/>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Style30"/>
              <w:widowControl w:val="false"/>
              <w:snapToGrid w:val="false"/>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Виконавчі органи міської ради, підприємства, установи, організації</w:t>
            </w:r>
          </w:p>
        </w:tc>
      </w:tr>
      <w:tr>
        <w:trPr>
          <w:trHeight w:val="327"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7.</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Термін реалізації програми</w:t>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2022–2025 роки</w:t>
            </w:r>
          </w:p>
        </w:tc>
      </w:tr>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8.</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Загальний обсяг фінансових ресурсів, необхідних для реалізації програми,</w:t>
            </w:r>
          </w:p>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всього, у тому числі:</w:t>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snapToGrid w:val="false"/>
              <w:ind w:left="-83" w:right="0" w:hanging="0"/>
              <w:jc w:val="center"/>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lang w:val="uk-UA"/>
              </w:rPr>
              <w:t>89 974,0</w:t>
            </w:r>
          </w:p>
        </w:tc>
      </w:tr>
      <w:tr>
        <w:trPr>
          <w:trHeight w:val="23"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8.1.</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коштів бюджету Луцької міської територіальної громади</w:t>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snapToGrid w:val="false"/>
              <w:ind w:left="-83" w:right="0" w:hanging="0"/>
              <w:jc w:val="center"/>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25 950,0</w:t>
            </w:r>
          </w:p>
        </w:tc>
      </w:tr>
      <w:tr>
        <w:trPr>
          <w:trHeight w:val="481" w:hRule="atLeast"/>
        </w:trPr>
        <w:tc>
          <w:tcPr>
            <w:tcW w:w="71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9.2.</w:t>
            </w:r>
          </w:p>
        </w:tc>
        <w:tc>
          <w:tcPr>
            <w:tcW w:w="3815" w:type="dxa"/>
            <w:tcBorders>
              <w:top w:val="single" w:sz="4" w:space="0" w:color="000000"/>
              <w:left w:val="single" w:sz="6" w:space="0" w:color="000000"/>
              <w:bottom w:val="single" w:sz="4" w:space="0" w:color="000000"/>
            </w:tcBorders>
            <w:shd w:fill="auto" w:val="clear"/>
          </w:tcPr>
          <w:p>
            <w:pPr>
              <w:pStyle w:val="Normal"/>
              <w:widowControl w:val="fals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коштів інших джерел</w:t>
            </w:r>
          </w:p>
        </w:tc>
        <w:tc>
          <w:tcPr>
            <w:tcW w:w="4954" w:type="dxa"/>
            <w:tcBorders>
              <w:top w:val="single" w:sz="4" w:space="0" w:color="000000"/>
              <w:left w:val="single" w:sz="6" w:space="0" w:color="000000"/>
              <w:bottom w:val="single" w:sz="4" w:space="0" w:color="000000"/>
              <w:right w:val="single" w:sz="4" w:space="0" w:color="000000"/>
            </w:tcBorders>
            <w:shd w:fill="auto" w:val="clear"/>
          </w:tcPr>
          <w:p>
            <w:pPr>
              <w:pStyle w:val="Normal"/>
              <w:widowControl w:val="false"/>
              <w:snapToGrid w:val="false"/>
              <w:jc w:val="center"/>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64 024,0</w:t>
            </w:r>
          </w:p>
        </w:tc>
      </w:tr>
    </w:tbl>
    <w:p>
      <w:pPr>
        <w:pStyle w:val="Normal"/>
        <w:spacing w:before="0" w:after="200"/>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r>
        <w:br w:type="page"/>
      </w:r>
    </w:p>
    <w:p>
      <w:pPr>
        <w:pStyle w:val="Normal"/>
        <w:ind w:left="0" w:right="0" w:firstLine="709"/>
        <w:jc w:val="both"/>
        <w:rPr/>
      </w:pPr>
      <w:r>
        <w:rPr>
          <w:rFonts w:eastAsia="Times New Roman" w:cs="Times New Roman" w:ascii="Times New Roman" w:hAnsi="Times New Roman"/>
          <w:b/>
          <w:color w:val="000000"/>
          <w:sz w:val="28"/>
          <w:szCs w:val="28"/>
        </w:rPr>
        <w:t>1. Аналіз динаміки змін та поточної ситуації</w:t>
      </w:r>
    </w:p>
    <w:p>
      <w:pPr>
        <w:pStyle w:val="Normal"/>
        <w:ind w:left="0" w:right="0" w:firstLine="709"/>
        <w:jc w:val="both"/>
        <w:rPr/>
      </w:pPr>
      <w:r>
        <w:rPr>
          <w:rFonts w:eastAsia="Times New Roman" w:cs="Times New Roman" w:ascii="Times New Roman" w:hAnsi="Times New Roman"/>
          <w:b/>
          <w:color w:val="000000"/>
          <w:sz w:val="28"/>
          <w:szCs w:val="28"/>
        </w:rPr>
        <w:t xml:space="preserve"> </w:t>
      </w:r>
    </w:p>
    <w:p>
      <w:pPr>
        <w:pStyle w:val="Style18"/>
        <w:spacing w:lineRule="auto" w:line="240" w:before="0" w:after="0"/>
        <w:ind w:left="0" w:right="0" w:firstLine="709"/>
        <w:jc w:val="both"/>
        <w:rPr>
          <w:lang w:val="uk-UA" w:eastAsia="zh-CN" w:bidi="hi-IN"/>
        </w:rPr>
      </w:pPr>
      <w:r>
        <w:rPr>
          <w:rFonts w:eastAsia="Times New Roman" w:cs="Times New Roman" w:ascii="Times New Roman" w:hAnsi="Times New Roman"/>
          <w:b w:val="false"/>
          <w:i w:val="false"/>
          <w:caps w:val="false"/>
          <w:smallCaps w:val="false"/>
          <w:color w:val="000000"/>
          <w:spacing w:val="0"/>
          <w:sz w:val="28"/>
          <w:szCs w:val="28"/>
          <w:highlight w:val="white"/>
          <w:lang w:val="uk-UA" w:eastAsia="zh-CN" w:bidi="hi-IN"/>
        </w:rPr>
        <w:t xml:space="preserve">  </w:t>
      </w:r>
      <w:r>
        <w:rPr>
          <w:rFonts w:eastAsia="Times New Roman" w:cs="Times New Roman" w:ascii="Times New Roman" w:hAnsi="Times New Roman"/>
          <w:b w:val="false"/>
          <w:i w:val="false"/>
          <w:caps w:val="false"/>
          <w:smallCaps w:val="false"/>
          <w:color w:val="000000"/>
          <w:spacing w:val="0"/>
          <w:sz w:val="28"/>
          <w:szCs w:val="28"/>
          <w:highlight w:val="white"/>
          <w:lang w:val="uk-UA" w:eastAsia="zh-CN" w:bidi="hi-IN"/>
        </w:rPr>
        <w:t>Аналіз динаміки змін та поточної ситуації в галузі охорони довкілля здійснено</w:t>
      </w: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zh-CN" w:bidi="hi-IN"/>
        </w:rPr>
        <w:t xml:space="preserve"> на основі даних Головного управління статистики у Волинській області, Волинського обласного центру з гідрометеорології,</w:t>
      </w:r>
      <w:r>
        <w:rPr>
          <w:rFonts w:eastAsia="Times New Roman" w:cs="Times New Roman CYR" w:ascii="Times New Roman CYR" w:hAnsi="Times New Roman CYR"/>
          <w:b w:val="false"/>
          <w:i w:val="false"/>
          <w:caps w:val="false"/>
          <w:smallCaps w:val="false"/>
          <w:color w:val="000000"/>
          <w:spacing w:val="0"/>
          <w:sz w:val="28"/>
          <w:szCs w:val="28"/>
          <w:highlight w:val="white"/>
          <w:lang w:val="uk-UA" w:eastAsia="zh-CN" w:bidi="hi-IN"/>
        </w:rPr>
        <w:t xml:space="preserve"> звіту про комплексний екологічний аудит м. Луцька, виконаний у 2020 році ТзОВ “Науковий парк державної екологічної академії післядипломної освіти та управління “Чорнобиль” (м. Київ).</w:t>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rPr>
        <w:t xml:space="preserve"> </w:t>
      </w:r>
      <w:r>
        <w:rPr>
          <w:rFonts w:eastAsia="Times New Roman" w:cs="Times New Roman" w:ascii="Times New Roman" w:hAnsi="Times New Roman"/>
          <w:b w:val="false"/>
          <w:i w:val="false"/>
          <w:caps w:val="false"/>
          <w:smallCaps w:val="false"/>
          <w:color w:val="000000"/>
          <w:spacing w:val="0"/>
          <w:sz w:val="28"/>
          <w:szCs w:val="28"/>
          <w:highlight w:val="white"/>
        </w:rPr>
        <w:t>Протягом останніх 4-5 років екологічна ситуація на території Луцької міської територіальної громади, характеризується відносною стабільністю показників в межах гранично-допустимих концентрацій викидів, скидів, нормативних об’ємів накопичення відходів. П</w:t>
      </w:r>
      <w:r>
        <w:rPr>
          <w:rFonts w:eastAsia="Times New Roman" w:cs="Times New Roman" w:ascii="Times New Roman" w:hAnsi="Times New Roman"/>
          <w:b w:val="false"/>
          <w:i w:val="false"/>
          <w:caps w:val="false"/>
          <w:smallCaps w:val="false"/>
          <w:color w:val="000000"/>
          <w:spacing w:val="0"/>
          <w:sz w:val="28"/>
          <w:szCs w:val="28"/>
          <w:highlight w:val="white"/>
          <w:lang w:val="uk-UA"/>
        </w:rPr>
        <w:t xml:space="preserve">о окремих показниках  ступінь забруднення середовища перебуває  в градаціях, що є на межі підвищеного рівня. </w:t>
      </w:r>
    </w:p>
    <w:p>
      <w:pPr>
        <w:pStyle w:val="Normal"/>
        <w:keepNext w:val="true"/>
        <w:keepLines/>
        <w:widowControl w:val="false"/>
        <w:spacing w:lineRule="auto" w:line="240" w:before="0" w:after="0"/>
        <w:ind w:left="567" w:right="0" w:hanging="0"/>
        <w:jc w:val="both"/>
        <w:rPr/>
      </w:pPr>
      <w:r>
        <w:rPr>
          <w:rFonts w:eastAsia="Times New Roman" w:cs="Times New Roman" w:ascii="Times New Roman" w:hAnsi="Times New Roman"/>
          <w:b/>
          <w:i w:val="false"/>
          <w:caps w:val="false"/>
          <w:smallCaps w:val="false"/>
          <w:color w:val="000000"/>
          <w:spacing w:val="0"/>
          <w:sz w:val="28"/>
          <w:szCs w:val="28"/>
          <w:highlight w:val="white"/>
          <w:lang w:val="uk-UA"/>
        </w:rPr>
        <w:t>Стан атмосферного повітря</w:t>
      </w:r>
    </w:p>
    <w:p>
      <w:pPr>
        <w:pStyle w:val="Normal"/>
        <w:widowControl w:val="false"/>
        <w:spacing w:lineRule="auto" w:line="240" w:before="0" w:after="0"/>
        <w:ind w:left="0" w:right="0" w:firstLine="567"/>
        <w:jc w:val="both"/>
        <w:rPr/>
      </w:pPr>
      <w:r>
        <w:rPr>
          <w:rFonts w:cs="Times New Roman CYR" w:ascii="Times New Roman CYR" w:hAnsi="Times New Roman CYR"/>
          <w:color w:val="000000"/>
          <w:sz w:val="28"/>
          <w:lang w:val="uk-UA"/>
        </w:rPr>
        <w:t>У м. Луцьку спостереження за рівнем забрудненням атмосферного повітря здійснює Волинський обласний центр з гідрометеорології  на трьох стаціонарних постах, що розташовані на вулицях: Шопена, Рівненській та Конякіна. Стан повітря д</w:t>
      </w:r>
      <w:r>
        <w:rPr>
          <w:rFonts w:cs="Times New Roman CYR" w:ascii="Times New Roman CYR" w:hAnsi="Times New Roman CYR"/>
          <w:color w:val="000000"/>
          <w:sz w:val="28"/>
          <w:szCs w:val="28"/>
          <w:lang w:val="uk-UA"/>
        </w:rPr>
        <w:t xml:space="preserve">осліджується за сімома основними домішками. Критичними по місту є такі домішки як пил, діоксид азоту, оксид вуглецю, фенол та формальдегід, за якими протягом останніх 5-ти років спостерігаємо збільшення концентрацій та окремі випадки  перевищення ГДК. </w:t>
      </w:r>
    </w:p>
    <w:p>
      <w:pPr>
        <w:pStyle w:val="Normal"/>
        <w:widowControl w:val="false"/>
        <w:spacing w:lineRule="auto" w:line="240" w:before="0" w:after="0"/>
        <w:ind w:left="0" w:right="0" w:firstLine="567"/>
        <w:jc w:val="both"/>
        <w:rPr/>
      </w:pPr>
      <w:r>
        <w:rPr>
          <w:rFonts w:cs="Times New Roman CYR" w:ascii="Times New Roman CYR" w:hAnsi="Times New Roman CYR"/>
          <w:color w:val="000000"/>
          <w:sz w:val="28"/>
          <w:lang w:val="uk-UA"/>
        </w:rPr>
        <w:t>Реагуючи на запит громадськості в умовах погіршення стану атмосферного повітря в період з 2016 по 2019 роки (сморід від полів фільтрації ПрАТ “Гнідавський цукровий завод” та мулових карт каналізаційно-очисних споруд в с. Липляни) крім офіційних спостережень  було організовано громадський моніторинг якості повітря на 7-ми моніторингових станція, які встановлені на вул. Рівненській,</w:t>
      </w:r>
      <w:r>
        <w:rPr>
          <w:rFonts w:cs="Times New Roman" w:ascii="Times New Roman" w:hAnsi="Times New Roman"/>
          <w:b w:val="false"/>
          <w:bCs w:val="false"/>
          <w:i w:val="false"/>
          <w:iCs w:val="false"/>
          <w:strike w:val="false"/>
          <w:dstrike w:val="false"/>
          <w:outline w:val="false"/>
          <w:shadow w:val="false"/>
          <w:color w:val="000000"/>
          <w:sz w:val="28"/>
          <w:szCs w:val="28"/>
          <w:u w:val="none"/>
          <w:lang w:val="uk-UA"/>
        </w:rPr>
        <w:t>119 КП “Парки та сквери”, вул. Конякіна, 5 коледж ЛНТУ, вул. Івана Кожедуба,1 ЗДО №18, вул. Грабовського,13А ЗДО №23, вул.</w:t>
      </w:r>
      <w:r>
        <w:rPr>
          <w:rFonts w:cs="Times New Roman" w:ascii="Times New Roman" w:hAnsi="Times New Roman"/>
          <w:b w:val="false"/>
          <w:bCs w:val="false"/>
          <w:i w:val="false"/>
          <w:iCs w:val="false"/>
          <w:strike w:val="false"/>
          <w:dstrike w:val="false"/>
          <w:outline w:val="false"/>
          <w:shadow w:val="false"/>
          <w:color w:val="000000"/>
          <w:sz w:val="28"/>
          <w:szCs w:val="28"/>
          <w:u w:val="none"/>
          <w:lang w:val="en-US"/>
        </w:rPr>
        <w:t xml:space="preserve"> Корольова</w:t>
      </w:r>
      <w:r>
        <w:rPr>
          <w:rFonts w:cs="Times New Roman" w:ascii="Times New Roman" w:hAnsi="Times New Roman"/>
          <w:b w:val="false"/>
          <w:bCs w:val="false"/>
          <w:i w:val="false"/>
          <w:iCs w:val="false"/>
          <w:strike w:val="false"/>
          <w:dstrike w:val="false"/>
          <w:outline w:val="false"/>
          <w:shadow w:val="false"/>
          <w:color w:val="000000"/>
          <w:sz w:val="28"/>
          <w:szCs w:val="28"/>
          <w:u w:val="none"/>
          <w:lang w:val="uk-UA"/>
        </w:rPr>
        <w:t>, 3 амбулаторія загальної практики-сімейної медицини, вул. Львівська, 28 ЗЗСО №2, вул. Богдана Хмельницького,19 приміщення міської ради. Моніторинг здійснюється за 7-ми інгредієнтами (пил, формальдегід, аміак, діоксид азоту, оксид вуглецю, сірководень) та оприлюднюється через систему “Чисте повітря Луцьк” на сайті міської ради.</w:t>
      </w:r>
      <w:r>
        <w:rPr>
          <w:rFonts w:cs="Times New Roman CYR" w:ascii="Times New Roman CYR" w:hAnsi="Times New Roman CYR"/>
          <w:b w:val="false"/>
          <w:bCs w:val="false"/>
          <w:i w:val="false"/>
          <w:iCs w:val="false"/>
          <w:strike w:val="false"/>
          <w:dstrike w:val="false"/>
          <w:outline w:val="false"/>
          <w:shadow w:val="false"/>
          <w:color w:val="C9211E"/>
          <w:sz w:val="28"/>
          <w:szCs w:val="28"/>
          <w:u w:val="none"/>
          <w:lang w:val="uk-UA"/>
        </w:rPr>
        <w:t xml:space="preserve"> </w:t>
      </w:r>
      <w:r>
        <w:rPr>
          <w:rFonts w:cs="Times New Roman CYR" w:ascii="Times New Roman CYR" w:hAnsi="Times New Roman CYR"/>
          <w:b w:val="false"/>
          <w:bCs w:val="false"/>
          <w:i w:val="false"/>
          <w:iCs w:val="false"/>
          <w:strike w:val="false"/>
          <w:dstrike w:val="false"/>
          <w:outline w:val="false"/>
          <w:shadow w:val="false"/>
          <w:color w:val="000000"/>
          <w:sz w:val="28"/>
          <w:szCs w:val="28"/>
          <w:u w:val="none"/>
          <w:lang w:val="uk-UA"/>
        </w:rPr>
        <w:t>У поточному році придбано ще 7 станцій, які будуть розміщені на комунальних об’єктах у громаді.</w:t>
      </w:r>
    </w:p>
    <w:p>
      <w:pPr>
        <w:pStyle w:val="Normal"/>
        <w:widowControl w:val="false"/>
        <w:spacing w:before="23" w:after="0"/>
        <w:ind w:left="0" w:right="0" w:firstLine="680"/>
        <w:jc w:val="both"/>
        <w:rPr/>
      </w:pPr>
      <w:r>
        <w:rPr>
          <w:rFonts w:cs="Times New Roman CYR" w:ascii="Times New Roman CYR" w:hAnsi="Times New Roman CYR"/>
          <w:color w:val="000000"/>
          <w:sz w:val="28"/>
          <w:szCs w:val="28"/>
          <w:lang w:val="uk-UA"/>
        </w:rPr>
        <w:t xml:space="preserve">Основним джерелом забруднення повітря у місті є автомобільний транспорт (пересувні джерела). З </w:t>
      </w:r>
      <w:r>
        <w:rPr>
          <w:rFonts w:eastAsia="Times New Roman CYR" w:cs="Times New Roman CYR" w:ascii="Times New Roman CYR" w:hAnsi="Times New Roman CYR"/>
          <w:color w:val="000000"/>
          <w:sz w:val="28"/>
          <w:szCs w:val="28"/>
          <w:lang w:val="uk-UA"/>
        </w:rPr>
        <w:t xml:space="preserve"> </w:t>
      </w:r>
      <w:r>
        <w:rPr>
          <w:rFonts w:cs="Times New Roman CYR" w:ascii="Times New Roman CYR" w:hAnsi="Times New Roman CYR"/>
          <w:color w:val="000000"/>
          <w:sz w:val="28"/>
          <w:szCs w:val="28"/>
          <w:lang w:val="uk-UA"/>
        </w:rPr>
        <w:t>2016 року органи статистики не розраховують викиди забруднювальних речовин та парникових газів у повітря від транспортних засобів, тому у таблицях дані про викиди від пересувних джерел забруднення відсутні. За даними 2015 року забруднення від автотранспорту складало 95% сумарного.</w:t>
      </w:r>
      <w:r>
        <w:rPr>
          <w:rFonts w:cs="Times New Roman CYR" w:ascii="Times New Roman CYR" w:hAnsi="Times New Roman CYR"/>
          <w:color w:val="000000"/>
          <w:szCs w:val="28"/>
          <w:lang w:val="uk-UA"/>
        </w:rPr>
        <w:t xml:space="preserve"> </w:t>
      </w:r>
      <w:r>
        <w:rPr>
          <w:rFonts w:cs="Times New Roman CYR" w:ascii="Times New Roman CYR" w:hAnsi="Times New Roman CYR"/>
          <w:color w:val="000000"/>
          <w:sz w:val="28"/>
          <w:szCs w:val="28"/>
          <w:lang w:val="uk-UA"/>
        </w:rPr>
        <w:t xml:space="preserve">Така </w:t>
      </w:r>
      <w:r>
        <w:rPr>
          <w:rFonts w:cs="Times New Roman CYR" w:ascii="Times New Roman" w:hAnsi="Times New Roman"/>
          <w:color w:val="000000"/>
          <w:sz w:val="28"/>
          <w:szCs w:val="28"/>
          <w:lang w:val="uk-UA"/>
        </w:rPr>
        <w:t>ситуація зумовлює підвищення рівня загазованості повітря у місті, особливо оксидом вуглецю. Про це свідчать дані аналізів на маршрутних постах – середньорічні концентрації його тут наближаються до рівня максимально-разової гранично-допустимої концентрації 5 мг/м</w:t>
      </w:r>
      <w:r>
        <w:rPr>
          <w:rFonts w:cs="Times New Roman CYR" w:ascii="Times New Roman" w:hAnsi="Times New Roman"/>
          <w:color w:val="000000"/>
          <w:sz w:val="28"/>
          <w:szCs w:val="28"/>
          <w:vertAlign w:val="superscript"/>
          <w:lang w:val="uk-UA"/>
        </w:rPr>
        <w:t>3</w:t>
      </w:r>
      <w:r>
        <w:rPr>
          <w:rFonts w:cs="Times New Roman CYR" w:ascii="Times New Roman" w:hAnsi="Times New Roman"/>
          <w:color w:val="000000"/>
          <w:sz w:val="28"/>
          <w:szCs w:val="28"/>
          <w:lang w:val="uk-UA"/>
        </w:rPr>
        <w:t xml:space="preserve">. Помітне зростання рівня загазованості відмічається в центрі міста – в  районі ЦУМу, Київського майдану, майдану біля ТРК “Промінь”, на проспекті Соборності, вул. Ковельській. </w:t>
      </w:r>
    </w:p>
    <w:p>
      <w:pPr>
        <w:pStyle w:val="Normal"/>
        <w:widowControl w:val="false"/>
        <w:spacing w:before="0" w:after="0"/>
        <w:ind w:left="0" w:right="0" w:firstLine="680"/>
        <w:jc w:val="both"/>
        <w:rPr/>
      </w:pPr>
      <w:r>
        <w:rPr>
          <w:rFonts w:cs="Times New Roman CYR" w:ascii="Times New Roman" w:hAnsi="Times New Roman"/>
          <w:color w:val="000000"/>
          <w:sz w:val="28"/>
          <w:szCs w:val="28"/>
          <w:lang w:val="uk-UA"/>
        </w:rPr>
        <w:t>Для оптимізації ситуації проводяться роботи з удосконалення пропускної здатності вулично-транспортної мережі з винесенням транзитних потоків за межі житлових зон і міста в цілому, заміна рухомого складу громадського автотранспорту на нові зразки з вищими екологічними стандартами (Євро-5), більшою пасажиромісткістю, оновлення парку електротранспорту.</w:t>
      </w:r>
    </w:p>
    <w:p>
      <w:pPr>
        <w:pStyle w:val="Normal"/>
        <w:widowControl w:val="false"/>
        <w:spacing w:before="0" w:after="0"/>
        <w:ind w:left="0" w:right="0" w:firstLine="680"/>
        <w:jc w:val="both"/>
        <w:rPr/>
      </w:pPr>
      <w:r>
        <w:rPr>
          <w:rFonts w:eastAsia="Times New Roman CYR" w:cs="Times New Roman CYR" w:ascii="Times New Roman" w:hAnsi="Times New Roman"/>
          <w:color w:val="000000"/>
          <w:sz w:val="28"/>
          <w:szCs w:val="28"/>
          <w:lang w:val="uk-UA"/>
        </w:rPr>
        <w:t xml:space="preserve"> </w:t>
      </w:r>
      <w:r>
        <w:rPr>
          <w:rFonts w:cs="Times New Roman CYR" w:ascii="Times New Roman" w:hAnsi="Times New Roman"/>
          <w:color w:val="000000"/>
          <w:sz w:val="28"/>
          <w:szCs w:val="28"/>
          <w:lang w:val="uk-UA"/>
        </w:rPr>
        <w:t xml:space="preserve"> </w:t>
      </w:r>
      <w:r>
        <w:rPr>
          <w:rFonts w:cs="Times New Roman CYR" w:ascii="Times New Roman" w:hAnsi="Times New Roman"/>
          <w:color w:val="000000"/>
          <w:sz w:val="28"/>
          <w:szCs w:val="28"/>
          <w:lang w:val="uk-UA"/>
        </w:rPr>
        <w:t>Суттєвий вплив на стан повітря в місті здійснює виробнича діяльність 44 підприємств та організацій міста, робота котельного обладнання, яке працює на органічному паливі. Щільність викидів на 1 км</w:t>
      </w:r>
      <w:r>
        <w:rPr>
          <w:rFonts w:cs="Times New Roman CYR" w:ascii="Times New Roman" w:hAnsi="Times New Roman"/>
          <w:color w:val="000000"/>
          <w:sz w:val="28"/>
          <w:szCs w:val="28"/>
          <w:vertAlign w:val="superscript"/>
          <w:lang w:val="uk-UA"/>
        </w:rPr>
        <w:t xml:space="preserve">2 </w:t>
      </w:r>
      <w:r>
        <w:rPr>
          <w:rFonts w:cs="Times New Roman CYR" w:ascii="Times New Roman" w:hAnsi="Times New Roman"/>
          <w:color w:val="000000"/>
          <w:position w:val="0"/>
          <w:sz w:val="28"/>
          <w:sz w:val="28"/>
          <w:szCs w:val="28"/>
          <w:vertAlign w:val="baseline"/>
          <w:lang w:val="uk-UA"/>
        </w:rPr>
        <w:t xml:space="preserve">території, станом на 2019 рік від стаціонарних джерел становила 13 тонн, у розрахунку на одного жителя 2,5 кг. </w:t>
      </w:r>
    </w:p>
    <w:p>
      <w:pPr>
        <w:pStyle w:val="Normal"/>
        <w:widowControl w:val="false"/>
        <w:spacing w:before="0" w:after="0"/>
        <w:ind w:left="0" w:right="0" w:firstLine="680"/>
        <w:jc w:val="both"/>
        <w:rPr/>
      </w:pPr>
      <w:r>
        <w:rPr>
          <w:rFonts w:cs="Times New Roman CYR" w:ascii="Times New Roman" w:hAnsi="Times New Roman"/>
          <w:color w:val="000000"/>
          <w:position w:val="0"/>
          <w:sz w:val="28"/>
          <w:sz w:val="28"/>
          <w:szCs w:val="28"/>
          <w:vertAlign w:val="baseline"/>
          <w:lang w:val="uk-UA"/>
        </w:rPr>
        <w:t xml:space="preserve">                                                                                                         </w:t>
      </w:r>
      <w:r>
        <w:rPr>
          <w:rFonts w:cs="Times New Roman CYR" w:ascii="Times New Roman" w:hAnsi="Times New Roman"/>
          <w:color w:val="000000"/>
          <w:position w:val="0"/>
          <w:sz w:val="28"/>
          <w:sz w:val="28"/>
          <w:szCs w:val="28"/>
          <w:vertAlign w:val="baseline"/>
          <w:lang w:val="uk-UA"/>
        </w:rPr>
        <w:t>Таблиця 1.</w:t>
      </w:r>
    </w:p>
    <w:p>
      <w:pPr>
        <w:pStyle w:val="Normal"/>
        <w:widowControl w:val="false"/>
        <w:spacing w:before="80" w:after="0"/>
        <w:ind w:left="0" w:right="0" w:firstLine="567"/>
        <w:jc w:val="center"/>
        <w:rPr/>
      </w:pPr>
      <w:r>
        <w:rPr>
          <w:rFonts w:cs="Times New Roman CYR" w:ascii="Times New Roman" w:hAnsi="Times New Roman"/>
          <w:color w:val="000000"/>
          <w:sz w:val="28"/>
          <w:lang w:val="uk-UA" w:eastAsia="zh-CN" w:bidi="hi-IN"/>
        </w:rPr>
        <w:t xml:space="preserve">Динаміка викидів в атмосферне повітря стаціонарними джерелами,  </w:t>
      </w:r>
      <w:r>
        <w:rPr>
          <w:rFonts w:cs="Calibri" w:ascii="Times New Roman" w:hAnsi="Times New Roman"/>
          <w:i/>
          <w:color w:val="000000"/>
          <w:sz w:val="28"/>
          <w:szCs w:val="28"/>
          <w:lang w:val="uk-UA" w:eastAsia="zh-CN" w:bidi="hi-IN"/>
        </w:rPr>
        <w:t>(т)</w:t>
      </w:r>
      <w:r>
        <w:rPr>
          <w:rFonts w:cs="Calibri" w:ascii="Times New Roman" w:hAnsi="Times New Roman"/>
          <w:i/>
          <w:color w:val="000000"/>
          <w:sz w:val="28"/>
          <w:szCs w:val="28"/>
          <w:lang w:val="ru-RU"/>
        </w:rPr>
        <w:t xml:space="preserve">                                                                                                           </w:t>
      </w:r>
    </w:p>
    <w:tbl>
      <w:tblPr>
        <w:tblW w:w="9451" w:type="dxa"/>
        <w:jc w:val="left"/>
        <w:tblInd w:w="-45" w:type="dxa"/>
        <w:tblCellMar>
          <w:top w:w="0" w:type="dxa"/>
          <w:left w:w="108" w:type="dxa"/>
          <w:bottom w:w="0" w:type="dxa"/>
          <w:right w:w="108" w:type="dxa"/>
        </w:tblCellMar>
      </w:tblPr>
      <w:tblGrid>
        <w:gridCol w:w="3276"/>
        <w:gridCol w:w="1434"/>
        <w:gridCol w:w="1349"/>
        <w:gridCol w:w="1140"/>
        <w:gridCol w:w="1185"/>
        <w:gridCol w:w="1066"/>
      </w:tblGrid>
      <w:tr>
        <w:trPr>
          <w:trHeight w:val="23" w:hRule="atLeast"/>
        </w:trPr>
        <w:tc>
          <w:tcPr>
            <w:tcW w:w="3276" w:type="dxa"/>
            <w:tcBorders>
              <w:top w:val="single" w:sz="2" w:space="0" w:color="000000"/>
              <w:left w:val="single" w:sz="2" w:space="0" w:color="000000"/>
              <w:bottom w:val="single" w:sz="2" w:space="0" w:color="000000"/>
            </w:tcBorders>
            <w:shd w:fill="auto" w:val="clear"/>
            <w:vAlign w:val="center"/>
          </w:tcPr>
          <w:p>
            <w:pPr>
              <w:pStyle w:val="Normal"/>
              <w:widowControl w:val="false"/>
              <w:snapToGrid w:val="false"/>
              <w:spacing w:before="80" w:after="80"/>
              <w:jc w:val="center"/>
              <w:rPr>
                <w:rFonts w:ascii="Times New Roman" w:hAnsi="Times New Roman" w:cs="Calibri"/>
                <w:b/>
                <w:b/>
                <w:bCs/>
                <w:color w:val="000000"/>
                <w:sz w:val="28"/>
                <w:szCs w:val="28"/>
                <w:lang w:val="uk-UA"/>
              </w:rPr>
            </w:pPr>
            <w:r>
              <w:rPr>
                <w:rFonts w:cs="Calibri" w:ascii="Times New Roman" w:hAnsi="Times New Roman"/>
                <w:b/>
                <w:bCs/>
                <w:color w:val="000000"/>
                <w:sz w:val="24"/>
                <w:szCs w:val="24"/>
                <w:lang w:val="uk-UA"/>
              </w:rPr>
              <w:t>Роки</w:t>
            </w:r>
          </w:p>
        </w:tc>
        <w:tc>
          <w:tcPr>
            <w:tcW w:w="1434" w:type="dxa"/>
            <w:tcBorders>
              <w:top w:val="single" w:sz="2" w:space="0" w:color="000000"/>
              <w:left w:val="single" w:sz="2" w:space="0" w:color="000000"/>
              <w:bottom w:val="single" w:sz="2" w:space="0" w:color="000000"/>
            </w:tcBorders>
            <w:shd w:fill="auto" w:val="clear"/>
            <w:vAlign w:val="center"/>
          </w:tcPr>
          <w:p>
            <w:pPr>
              <w:pStyle w:val="Normal"/>
              <w:widowControl w:val="false"/>
              <w:spacing w:before="80" w:after="80"/>
              <w:jc w:val="center"/>
              <w:rPr>
                <w:rFonts w:ascii="Times New Roman" w:hAnsi="Times New Roman" w:cs="Times New Roman"/>
                <w:b/>
                <w:b/>
                <w:bCs/>
                <w:color w:val="000000"/>
                <w:sz w:val="28"/>
                <w:lang w:val="en"/>
              </w:rPr>
            </w:pPr>
            <w:r>
              <w:rPr>
                <w:rFonts w:cs="Times New Roman" w:ascii="Times New Roman" w:hAnsi="Times New Roman"/>
                <w:b/>
                <w:bCs/>
                <w:color w:val="000000"/>
                <w:sz w:val="24"/>
                <w:szCs w:val="24"/>
                <w:lang w:val="en"/>
              </w:rPr>
              <w:t>2016</w:t>
            </w:r>
          </w:p>
        </w:tc>
        <w:tc>
          <w:tcPr>
            <w:tcW w:w="1349" w:type="dxa"/>
            <w:tcBorders>
              <w:top w:val="single" w:sz="2" w:space="0" w:color="000000"/>
              <w:left w:val="single" w:sz="2" w:space="0" w:color="000000"/>
              <w:bottom w:val="single" w:sz="2" w:space="0" w:color="000000"/>
            </w:tcBorders>
            <w:shd w:fill="auto" w:val="clear"/>
            <w:vAlign w:val="center"/>
          </w:tcPr>
          <w:p>
            <w:pPr>
              <w:pStyle w:val="Normal"/>
              <w:widowControl w:val="false"/>
              <w:spacing w:before="80" w:after="80"/>
              <w:jc w:val="center"/>
              <w:rPr>
                <w:rFonts w:ascii="Times New Roman" w:hAnsi="Times New Roman" w:cs="Times New Roman"/>
                <w:b/>
                <w:b/>
                <w:bCs/>
                <w:color w:val="000000"/>
                <w:sz w:val="28"/>
                <w:lang w:val="en"/>
              </w:rPr>
            </w:pPr>
            <w:r>
              <w:rPr>
                <w:rFonts w:cs="Times New Roman" w:ascii="Times New Roman" w:hAnsi="Times New Roman"/>
                <w:b/>
                <w:bCs/>
                <w:color w:val="000000"/>
                <w:sz w:val="24"/>
                <w:szCs w:val="24"/>
                <w:lang w:val="en"/>
              </w:rPr>
              <w:t>2017</w:t>
            </w:r>
          </w:p>
        </w:tc>
        <w:tc>
          <w:tcPr>
            <w:tcW w:w="1140" w:type="dxa"/>
            <w:tcBorders>
              <w:top w:val="single" w:sz="2" w:space="0" w:color="000000"/>
              <w:left w:val="single" w:sz="2" w:space="0" w:color="000000"/>
              <w:bottom w:val="single" w:sz="2" w:space="0" w:color="000000"/>
            </w:tcBorders>
            <w:shd w:fill="auto" w:val="clear"/>
            <w:vAlign w:val="center"/>
          </w:tcPr>
          <w:p>
            <w:pPr>
              <w:pStyle w:val="Normal"/>
              <w:widowControl w:val="false"/>
              <w:spacing w:before="80" w:after="80"/>
              <w:jc w:val="center"/>
              <w:rPr>
                <w:rFonts w:ascii="Times New Roman" w:hAnsi="Times New Roman" w:cs="Times New Roman"/>
                <w:b/>
                <w:b/>
                <w:bCs/>
                <w:color w:val="000000"/>
                <w:sz w:val="28"/>
                <w:lang w:val="en"/>
              </w:rPr>
            </w:pPr>
            <w:r>
              <w:rPr>
                <w:rFonts w:cs="Times New Roman" w:ascii="Times New Roman" w:hAnsi="Times New Roman"/>
                <w:b/>
                <w:bCs/>
                <w:color w:val="000000"/>
                <w:sz w:val="24"/>
                <w:szCs w:val="24"/>
                <w:lang w:val="en"/>
              </w:rPr>
              <w:t>2018</w:t>
            </w:r>
          </w:p>
        </w:tc>
        <w:tc>
          <w:tcPr>
            <w:tcW w:w="1185" w:type="dxa"/>
            <w:tcBorders>
              <w:top w:val="single" w:sz="2" w:space="0" w:color="000000"/>
              <w:left w:val="single" w:sz="2" w:space="0" w:color="000000"/>
              <w:bottom w:val="single" w:sz="2" w:space="0" w:color="000000"/>
            </w:tcBorders>
            <w:shd w:fill="auto" w:val="clear"/>
          </w:tcPr>
          <w:p>
            <w:pPr>
              <w:pStyle w:val="Normal"/>
              <w:widowControl w:val="false"/>
              <w:spacing w:before="80" w:after="80"/>
              <w:jc w:val="center"/>
              <w:rPr>
                <w:rFonts w:ascii="Times New Roman" w:hAnsi="Times New Roman" w:cs="Times New Roman"/>
                <w:b/>
                <w:b/>
                <w:bCs/>
                <w:color w:val="000000"/>
                <w:sz w:val="28"/>
                <w:lang w:val="en"/>
              </w:rPr>
            </w:pPr>
            <w:r>
              <w:rPr>
                <w:rFonts w:cs="Times New Roman" w:ascii="Times New Roman" w:hAnsi="Times New Roman"/>
                <w:b/>
                <w:bCs/>
                <w:color w:val="000000"/>
                <w:sz w:val="24"/>
                <w:szCs w:val="24"/>
                <w:lang w:val="en"/>
              </w:rPr>
              <w:t>2019</w:t>
            </w:r>
          </w:p>
        </w:tc>
        <w:tc>
          <w:tcPr>
            <w:tcW w:w="1066"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before="80" w:after="80"/>
              <w:jc w:val="center"/>
              <w:rPr>
                <w:rFonts w:ascii="Times New Roman" w:hAnsi="Times New Roman" w:cs="Times New Roman"/>
                <w:b/>
                <w:b/>
                <w:bCs/>
                <w:color w:val="000000"/>
                <w:sz w:val="28"/>
                <w:lang w:val="uk-UA"/>
              </w:rPr>
            </w:pPr>
            <w:r>
              <w:rPr>
                <w:rFonts w:cs="Times New Roman" w:ascii="Times New Roman" w:hAnsi="Times New Roman"/>
                <w:b/>
                <w:bCs/>
                <w:color w:val="000000"/>
                <w:sz w:val="24"/>
                <w:szCs w:val="24"/>
                <w:lang w:val="uk-UA"/>
              </w:rPr>
              <w:t>2020</w:t>
            </w:r>
          </w:p>
        </w:tc>
      </w:tr>
      <w:tr>
        <w:trPr>
          <w:trHeight w:val="23" w:hRule="atLeast"/>
        </w:trPr>
        <w:tc>
          <w:tcPr>
            <w:tcW w:w="3276"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Волинська область</w:t>
            </w:r>
          </w:p>
        </w:tc>
        <w:tc>
          <w:tcPr>
            <w:tcW w:w="1434"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4679,4</w:t>
            </w:r>
          </w:p>
        </w:tc>
        <w:tc>
          <w:tcPr>
            <w:tcW w:w="1349"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5144,0</w:t>
            </w:r>
          </w:p>
        </w:tc>
        <w:tc>
          <w:tcPr>
            <w:tcW w:w="1140"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5089,4</w:t>
            </w:r>
          </w:p>
        </w:tc>
        <w:tc>
          <w:tcPr>
            <w:tcW w:w="1185" w:type="dxa"/>
            <w:tcBorders>
              <w:top w:val="single" w:sz="2" w:space="0" w:color="000000"/>
              <w:left w:val="single" w:sz="2" w:space="0" w:color="000000"/>
              <w:bottom w:val="single" w:sz="2" w:space="0" w:color="000000"/>
            </w:tcBorders>
            <w:shd w:fill="auto" w:val="clear"/>
          </w:tcPr>
          <w:p>
            <w:pPr>
              <w:pStyle w:val="Normal"/>
              <w:widowControl w:val="false"/>
              <w:spacing w:before="60" w:after="120"/>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5301,4</w:t>
            </w:r>
          </w:p>
        </w:tc>
        <w:tc>
          <w:tcPr>
            <w:tcW w:w="1066"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before="60" w:after="120"/>
              <w:jc w:val="center"/>
              <w:rPr>
                <w:rFonts w:ascii="Times New Roman" w:hAnsi="Times New Roman" w:cs="Times New Roman"/>
                <w:color w:val="000000"/>
                <w:sz w:val="28"/>
                <w:lang w:val="uk-UA"/>
              </w:rPr>
            </w:pPr>
            <w:r>
              <w:rPr>
                <w:rFonts w:cs="Times New Roman" w:ascii="Times New Roman" w:hAnsi="Times New Roman"/>
                <w:color w:val="000000"/>
                <w:sz w:val="24"/>
                <w:szCs w:val="24"/>
                <w:lang w:val="uk-UA"/>
              </w:rPr>
              <w:t>5077,6</w:t>
            </w:r>
          </w:p>
        </w:tc>
      </w:tr>
      <w:tr>
        <w:trPr>
          <w:trHeight w:val="23" w:hRule="atLeast"/>
        </w:trPr>
        <w:tc>
          <w:tcPr>
            <w:tcW w:w="3276"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CYR" w:hAnsi="Times New Roman CYR" w:cs="Times New Roman CYR"/>
                <w:b w:val="false"/>
                <w:b w:val="false"/>
                <w:bCs w:val="false"/>
                <w:color w:val="000000"/>
                <w:sz w:val="28"/>
                <w:lang w:val="uk-UA"/>
              </w:rPr>
            </w:pPr>
            <w:r>
              <w:rPr>
                <w:rFonts w:cs="Times New Roman CYR" w:ascii="Times New Roman CYR" w:hAnsi="Times New Roman CYR"/>
                <w:b w:val="false"/>
                <w:bCs w:val="false"/>
                <w:color w:val="000000"/>
                <w:sz w:val="24"/>
                <w:szCs w:val="24"/>
                <w:lang w:val="uk-UA"/>
              </w:rPr>
              <w:t>м. Луцьк</w:t>
            </w:r>
          </w:p>
        </w:tc>
        <w:tc>
          <w:tcPr>
            <w:tcW w:w="1434"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b w:val="false"/>
                <w:b w:val="false"/>
                <w:bCs w:val="false"/>
                <w:color w:val="000000"/>
                <w:sz w:val="28"/>
                <w:lang w:val="en"/>
              </w:rPr>
            </w:pPr>
            <w:r>
              <w:rPr>
                <w:rFonts w:cs="Times New Roman" w:ascii="Times New Roman" w:hAnsi="Times New Roman"/>
                <w:b w:val="false"/>
                <w:bCs w:val="false"/>
                <w:color w:val="000000"/>
                <w:sz w:val="24"/>
                <w:szCs w:val="24"/>
                <w:lang w:val="en"/>
              </w:rPr>
              <w:t>803,1</w:t>
            </w:r>
          </w:p>
        </w:tc>
        <w:tc>
          <w:tcPr>
            <w:tcW w:w="1349"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b w:val="false"/>
                <w:b w:val="false"/>
                <w:bCs w:val="false"/>
                <w:color w:val="000000"/>
                <w:sz w:val="28"/>
                <w:lang w:val="en"/>
              </w:rPr>
            </w:pPr>
            <w:r>
              <w:rPr>
                <w:rFonts w:cs="Times New Roman" w:ascii="Times New Roman" w:hAnsi="Times New Roman"/>
                <w:b w:val="false"/>
                <w:bCs w:val="false"/>
                <w:color w:val="000000"/>
                <w:sz w:val="24"/>
                <w:szCs w:val="24"/>
                <w:lang w:val="en"/>
              </w:rPr>
              <w:t>792,4</w:t>
            </w:r>
          </w:p>
        </w:tc>
        <w:tc>
          <w:tcPr>
            <w:tcW w:w="1140" w:type="dxa"/>
            <w:tcBorders>
              <w:top w:val="single" w:sz="2" w:space="0" w:color="000000"/>
              <w:left w:val="single" w:sz="2" w:space="0" w:color="000000"/>
              <w:bottom w:val="single" w:sz="2" w:space="0" w:color="000000"/>
            </w:tcBorders>
            <w:shd w:fill="auto" w:val="clear"/>
            <w:vAlign w:val="bottom"/>
          </w:tcPr>
          <w:p>
            <w:pPr>
              <w:pStyle w:val="Normal"/>
              <w:widowControl w:val="false"/>
              <w:spacing w:before="60" w:after="120"/>
              <w:jc w:val="center"/>
              <w:rPr>
                <w:rFonts w:ascii="Times New Roman" w:hAnsi="Times New Roman" w:cs="Times New Roman"/>
                <w:b w:val="false"/>
                <w:b w:val="false"/>
                <w:bCs w:val="false"/>
                <w:color w:val="000000"/>
                <w:sz w:val="28"/>
                <w:lang w:val="en"/>
              </w:rPr>
            </w:pPr>
            <w:r>
              <w:rPr>
                <w:rFonts w:cs="Times New Roman" w:ascii="Times New Roman" w:hAnsi="Times New Roman"/>
                <w:b w:val="false"/>
                <w:bCs w:val="false"/>
                <w:color w:val="000000"/>
                <w:sz w:val="24"/>
                <w:szCs w:val="24"/>
                <w:lang w:val="en"/>
              </w:rPr>
              <w:t>401,2</w:t>
            </w:r>
            <w:r>
              <w:rPr>
                <w:rFonts w:cs="Times New Roman" w:ascii="Times New Roman" w:hAnsi="Times New Roman"/>
                <w:b w:val="false"/>
                <w:bCs w:val="false"/>
                <w:color w:val="000000"/>
                <w:sz w:val="24"/>
                <w:szCs w:val="24"/>
                <w:vertAlign w:val="superscript"/>
                <w:lang w:val="uk-UA"/>
              </w:rPr>
              <w:t>1</w:t>
            </w:r>
          </w:p>
        </w:tc>
        <w:tc>
          <w:tcPr>
            <w:tcW w:w="1185" w:type="dxa"/>
            <w:tcBorders>
              <w:top w:val="single" w:sz="2" w:space="0" w:color="000000"/>
              <w:left w:val="single" w:sz="2" w:space="0" w:color="000000"/>
              <w:bottom w:val="single" w:sz="2" w:space="0" w:color="000000"/>
            </w:tcBorders>
            <w:shd w:fill="auto" w:val="clear"/>
          </w:tcPr>
          <w:p>
            <w:pPr>
              <w:pStyle w:val="Normal"/>
              <w:widowControl w:val="false"/>
              <w:spacing w:before="60" w:after="120"/>
              <w:jc w:val="center"/>
              <w:rPr>
                <w:rFonts w:ascii="Times New Roman" w:hAnsi="Times New Roman" w:cs="Times New Roman"/>
                <w:b w:val="false"/>
                <w:b w:val="false"/>
                <w:bCs w:val="false"/>
                <w:color w:val="000000"/>
                <w:sz w:val="28"/>
                <w:lang w:val="en"/>
              </w:rPr>
            </w:pPr>
            <w:r>
              <w:rPr>
                <w:rFonts w:cs="Times New Roman" w:ascii="Times New Roman" w:hAnsi="Times New Roman"/>
                <w:b w:val="false"/>
                <w:bCs w:val="false"/>
                <w:color w:val="000000"/>
                <w:sz w:val="24"/>
                <w:szCs w:val="24"/>
                <w:lang w:val="en"/>
              </w:rPr>
              <w:t>544,7</w:t>
            </w:r>
          </w:p>
        </w:tc>
        <w:tc>
          <w:tcPr>
            <w:tcW w:w="1066"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before="60" w:after="120"/>
              <w:jc w:val="center"/>
              <w:rPr>
                <w:rFonts w:ascii="Times New Roman" w:hAnsi="Times New Roman" w:cs="Times New Roman"/>
                <w:b w:val="false"/>
                <w:b w:val="false"/>
                <w:bCs w:val="false"/>
                <w:color w:val="000000"/>
                <w:sz w:val="28"/>
                <w:lang w:val="uk-UA"/>
              </w:rPr>
            </w:pPr>
            <w:r>
              <w:rPr>
                <w:rFonts w:cs="Times New Roman" w:ascii="Times New Roman" w:hAnsi="Times New Roman"/>
                <w:b w:val="false"/>
                <w:bCs w:val="false"/>
                <w:color w:val="000000"/>
                <w:sz w:val="24"/>
                <w:szCs w:val="24"/>
                <w:lang w:val="uk-UA"/>
              </w:rPr>
              <w:t>706,2</w:t>
            </w:r>
          </w:p>
        </w:tc>
      </w:tr>
    </w:tbl>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vertAlign w:val="superscript"/>
          <w:lang w:val="uk-UA"/>
        </w:rPr>
        <w:t>1</w:t>
      </w:r>
      <w:r>
        <w:rPr>
          <w:rFonts w:eastAsia="Times New Roman" w:cs="Times New Roman" w:ascii="Times New Roman" w:hAnsi="Times New Roman"/>
          <w:b w:val="false"/>
          <w:i w:val="false"/>
          <w:caps w:val="false"/>
          <w:smallCaps w:val="false"/>
          <w:color w:val="000000"/>
          <w:spacing w:val="0"/>
          <w:position w:val="0"/>
          <w:sz w:val="28"/>
          <w:sz w:val="28"/>
          <w:szCs w:val="28"/>
          <w:highlight w:val="white"/>
          <w:vertAlign w:val="baseline"/>
          <w:lang w:val="uk-UA"/>
        </w:rPr>
        <w:t xml:space="preserve"> </w:t>
      </w:r>
      <w:r>
        <w:rPr>
          <w:rFonts w:eastAsia="Times New Roman" w:cs="Times New Roman" w:ascii="Times New Roman" w:hAnsi="Times New Roman"/>
          <w:b w:val="false"/>
          <w:i w:val="false"/>
          <w:caps w:val="false"/>
          <w:smallCaps w:val="false"/>
          <w:color w:val="000000"/>
          <w:spacing w:val="0"/>
          <w:position w:val="0"/>
          <w:sz w:val="24"/>
          <w:sz w:val="24"/>
          <w:szCs w:val="24"/>
          <w:highlight w:val="white"/>
          <w:vertAlign w:val="baseline"/>
          <w:lang w:val="uk-UA"/>
        </w:rPr>
        <w:t>Зменшення викидів відбулося за рахунок зміни кола обстежуваних підприємств та організацій</w:t>
      </w:r>
    </w:p>
    <w:p>
      <w:pPr>
        <w:pStyle w:val="Normal"/>
        <w:widowControl w:val="false"/>
        <w:spacing w:before="0" w:after="0"/>
        <w:ind w:left="0" w:right="0" w:firstLine="567"/>
        <w:jc w:val="both"/>
        <w:rPr/>
      </w:pPr>
      <w:r>
        <w:rPr>
          <w:rFonts w:cs="Times New Roman CYR" w:ascii="Times New Roman CYR" w:hAnsi="Times New Roman CYR"/>
          <w:color w:val="000000"/>
          <w:sz w:val="28"/>
          <w:lang w:val="uk-UA"/>
        </w:rPr>
        <w:t xml:space="preserve">В таблиці 2 наведені середньо-добові за рік і максимальні концентрації забруднюючих речовин за рік (в кратності ГДК) в атмосферному повітрі міста Луцька. Як видно за представленими даними, вони не перевищують нормативні. Виходячи з таблиці 2 рівень забруднення атмосферного повітря в місті Луцьку за окремими речовинами, які контролюються постами Волинського обласного центру з гідрометеорології визначається, як незначний.                                                                                                 </w:t>
      </w:r>
    </w:p>
    <w:p>
      <w:pPr>
        <w:pStyle w:val="Normal"/>
        <w:widowControl w:val="false"/>
        <w:spacing w:before="80" w:after="0"/>
        <w:ind w:left="0" w:right="0" w:firstLine="567"/>
        <w:jc w:val="right"/>
        <w:rPr/>
      </w:pPr>
      <w:r>
        <w:rPr>
          <w:rFonts w:cs="Times New Roman CYR" w:ascii="Times New Roman CYR" w:hAnsi="Times New Roman CYR"/>
          <w:color w:val="000000"/>
          <w:sz w:val="28"/>
          <w:lang w:val="uk-UA"/>
        </w:rPr>
        <w:t xml:space="preserve">  </w:t>
      </w:r>
      <w:r>
        <w:rPr>
          <w:rFonts w:cs="Times New Roman CYR" w:ascii="Times New Roman CYR" w:hAnsi="Times New Roman CYR"/>
          <w:color w:val="000000"/>
          <w:sz w:val="28"/>
          <w:lang w:val="uk-UA"/>
        </w:rPr>
        <w:t>Таблиця 2.</w:t>
      </w:r>
    </w:p>
    <w:p>
      <w:pPr>
        <w:pStyle w:val="Normal"/>
        <w:widowControl w:val="false"/>
        <w:ind w:left="567" w:right="0" w:hanging="0"/>
        <w:jc w:val="center"/>
        <w:rPr/>
      </w:pPr>
      <w:r>
        <w:rPr>
          <w:rFonts w:cs="Times New Roman CYR" w:ascii="Times New Roman CYR" w:hAnsi="Times New Roman CYR"/>
          <w:color w:val="000000"/>
          <w:sz w:val="28"/>
          <w:lang w:val="uk-UA"/>
        </w:rPr>
        <w:t xml:space="preserve">Середні добові за рік і максимальні концентрації забруднюючих речовин за рік (в кратності ГДК) в атмосферному повітрі         </w:t>
      </w:r>
    </w:p>
    <w:tbl>
      <w:tblPr>
        <w:tblW w:w="9308" w:type="dxa"/>
        <w:jc w:val="center"/>
        <w:tblInd w:w="0" w:type="dxa"/>
        <w:tblCellMar>
          <w:top w:w="0" w:type="dxa"/>
          <w:left w:w="4" w:type="dxa"/>
          <w:bottom w:w="0" w:type="dxa"/>
          <w:right w:w="4" w:type="dxa"/>
        </w:tblCellMar>
      </w:tblPr>
      <w:tblGrid>
        <w:gridCol w:w="3362"/>
        <w:gridCol w:w="1175"/>
        <w:gridCol w:w="1986"/>
        <w:gridCol w:w="2784"/>
      </w:tblGrid>
      <w:tr>
        <w:trPr>
          <w:trHeight w:val="505" w:hRule="atLeast"/>
        </w:trPr>
        <w:tc>
          <w:tcPr>
            <w:tcW w:w="3362" w:type="dxa"/>
            <w:tcBorders>
              <w:top w:val="single" w:sz="2" w:space="0" w:color="000000"/>
              <w:left w:val="single" w:sz="2" w:space="0" w:color="000000"/>
              <w:bottom w:val="single" w:sz="2" w:space="0" w:color="000000"/>
            </w:tcBorders>
            <w:shd w:fill="auto" w:val="clear"/>
            <w:vAlign w:val="center"/>
          </w:tcPr>
          <w:p>
            <w:pPr>
              <w:pStyle w:val="Normal"/>
              <w:widowControl w:val="false"/>
              <w:ind w:left="147" w:right="99" w:hanging="0"/>
              <w:jc w:val="center"/>
              <w:rPr>
                <w:sz w:val="24"/>
                <w:szCs w:val="24"/>
              </w:rPr>
            </w:pPr>
            <w:r>
              <w:rPr>
                <w:rFonts w:cs="Times New Roman CYR" w:ascii="Times New Roman CYR" w:hAnsi="Times New Roman CYR"/>
                <w:color w:val="000000"/>
                <w:sz w:val="24"/>
                <w:szCs w:val="24"/>
                <w:lang w:val="uk-UA"/>
              </w:rPr>
              <w:t xml:space="preserve">Забруднююча </w:t>
            </w:r>
            <w:r>
              <w:rPr>
                <w:rFonts w:cs="Times New Roman CYR" w:ascii="Times New Roman CYR" w:hAnsi="Times New Roman CYR"/>
                <w:color w:val="000000"/>
                <w:sz w:val="24"/>
                <w:szCs w:val="24"/>
              </w:rPr>
              <w:t>речовина</w:t>
            </w:r>
          </w:p>
        </w:tc>
        <w:tc>
          <w:tcPr>
            <w:tcW w:w="1175" w:type="dxa"/>
            <w:tcBorders>
              <w:top w:val="single" w:sz="2" w:space="0" w:color="000000"/>
              <w:left w:val="single" w:sz="2" w:space="0" w:color="000000"/>
              <w:bottom w:val="single" w:sz="2" w:space="0" w:color="000000"/>
            </w:tcBorders>
            <w:shd w:fill="auto" w:val="clear"/>
            <w:vAlign w:val="center"/>
          </w:tcPr>
          <w:p>
            <w:pPr>
              <w:pStyle w:val="Normal"/>
              <w:widowControl w:val="false"/>
              <w:ind w:left="42" w:right="141" w:hanging="0"/>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ГДК</w:t>
            </w:r>
          </w:p>
          <w:p>
            <w:pPr>
              <w:pStyle w:val="Normal"/>
              <w:widowControl w:val="false"/>
              <w:ind w:left="42" w:right="141" w:hanging="0"/>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м.р.</w:t>
            </w:r>
          </w:p>
          <w:p>
            <w:pPr>
              <w:pStyle w:val="Normal"/>
              <w:widowControl w:val="false"/>
              <w:ind w:left="42" w:right="141" w:hanging="0"/>
              <w:jc w:val="center"/>
              <w:rPr>
                <w:sz w:val="24"/>
                <w:szCs w:val="24"/>
              </w:rPr>
            </w:pPr>
            <w:r>
              <w:rPr>
                <w:rFonts w:cs="Times New Roman CYR" w:ascii="Times New Roman CYR" w:hAnsi="Times New Roman CYR"/>
                <w:color w:val="000000"/>
                <w:sz w:val="24"/>
                <w:szCs w:val="24"/>
                <w:lang w:val="uk-UA"/>
              </w:rPr>
              <w:t>мг/м</w:t>
            </w:r>
            <w:r>
              <w:rPr>
                <w:rFonts w:cs="Times New Roman CYR" w:ascii="Times New Roman CYR" w:hAnsi="Times New Roman CYR"/>
                <w:color w:val="000000"/>
                <w:sz w:val="24"/>
                <w:szCs w:val="24"/>
                <w:vertAlign w:val="superscript"/>
                <w:lang w:val="uk-UA"/>
              </w:rPr>
              <w:t>3</w:t>
            </w:r>
          </w:p>
        </w:tc>
        <w:tc>
          <w:tcPr>
            <w:tcW w:w="1986" w:type="dxa"/>
            <w:tcBorders>
              <w:top w:val="single" w:sz="2" w:space="0" w:color="000000"/>
              <w:left w:val="single" w:sz="2" w:space="0" w:color="000000"/>
              <w:bottom w:val="single" w:sz="2" w:space="0" w:color="000000"/>
            </w:tcBorders>
            <w:shd w:fill="auto" w:val="clear"/>
            <w:vAlign w:val="center"/>
          </w:tcPr>
          <w:p>
            <w:pPr>
              <w:pStyle w:val="Normal"/>
              <w:widowControl w:val="false"/>
              <w:ind w:left="42" w:right="141" w:hanging="0"/>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Середньо-річна концентрація</w:t>
            </w:r>
          </w:p>
          <w:p>
            <w:pPr>
              <w:pStyle w:val="Normal"/>
              <w:widowControl w:val="false"/>
              <w:ind w:left="42" w:right="141" w:hanging="0"/>
              <w:jc w:val="center"/>
              <w:rPr>
                <w:sz w:val="24"/>
                <w:szCs w:val="24"/>
              </w:rPr>
            </w:pPr>
            <w:r>
              <w:rPr>
                <w:rFonts w:cs="Times New Roman" w:ascii="Times New Roman" w:hAnsi="Times New Roman"/>
                <w:color w:val="000000"/>
                <w:sz w:val="24"/>
                <w:szCs w:val="24"/>
                <w:lang w:val="en"/>
              </w:rPr>
              <w:t>(</w:t>
            </w:r>
            <w:r>
              <w:rPr>
                <w:rFonts w:cs="Times New Roman CYR" w:ascii="Times New Roman CYR" w:hAnsi="Times New Roman CYR"/>
                <w:color w:val="000000"/>
                <w:sz w:val="24"/>
                <w:szCs w:val="24"/>
                <w:lang w:val="uk-UA"/>
              </w:rPr>
              <w:t>долі ГДК)</w:t>
            </w:r>
          </w:p>
        </w:tc>
        <w:tc>
          <w:tcPr>
            <w:tcW w:w="2784"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ind w:left="42" w:right="141" w:hanging="0"/>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Максимально разова середньо-річна концентрація</w:t>
            </w:r>
          </w:p>
          <w:p>
            <w:pPr>
              <w:pStyle w:val="Normal"/>
              <w:widowControl w:val="false"/>
              <w:ind w:left="42" w:right="141" w:hanging="0"/>
              <w:jc w:val="center"/>
              <w:rPr>
                <w:sz w:val="24"/>
                <w:szCs w:val="24"/>
              </w:rPr>
            </w:pPr>
            <w:r>
              <w:rPr>
                <w:rFonts w:cs="Times New Roman" w:ascii="Times New Roman" w:hAnsi="Times New Roman"/>
                <w:color w:val="000000"/>
                <w:sz w:val="24"/>
                <w:szCs w:val="24"/>
                <w:lang w:val="ru-RU"/>
              </w:rPr>
              <w:t>(</w:t>
            </w:r>
            <w:r>
              <w:rPr>
                <w:rFonts w:cs="Times New Roman CYR" w:ascii="Times New Roman CYR" w:hAnsi="Times New Roman CYR"/>
                <w:color w:val="000000"/>
                <w:sz w:val="24"/>
                <w:szCs w:val="24"/>
                <w:lang w:val="uk-UA"/>
              </w:rPr>
              <w:t>долі ГДК)</w:t>
            </w:r>
          </w:p>
        </w:tc>
      </w:tr>
      <w:tr>
        <w:trPr>
          <w:trHeight w:val="503"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hanging="0"/>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Речовини у вигляді суспен-дованих твердих частинок</w:t>
            </w:r>
          </w:p>
        </w:tc>
        <w:tc>
          <w:tcPr>
            <w:tcW w:w="1175" w:type="dxa"/>
            <w:tcBorders>
              <w:top w:val="single" w:sz="2" w:space="0" w:color="000000"/>
              <w:left w:val="single" w:sz="2" w:space="0" w:color="000000"/>
              <w:bottom w:val="single" w:sz="2" w:space="0" w:color="000000"/>
            </w:tcBorders>
            <w:shd w:fill="auto" w:val="clear"/>
          </w:tcPr>
          <w:p>
            <w:pPr>
              <w:pStyle w:val="Normal"/>
              <w:widowControl w:val="false"/>
              <w:snapToGrid w:val="false"/>
              <w:ind w:left="0" w:right="0" w:firstLine="567"/>
              <w:jc w:val="center"/>
              <w:rPr>
                <w:rFonts w:ascii="Times New Roman" w:hAnsi="Times New Roman" w:cs="Times New Roman"/>
                <w:color w:val="000000"/>
                <w:sz w:val="24"/>
                <w:szCs w:val="24"/>
                <w:lang w:val="ru-RU"/>
              </w:rPr>
            </w:pPr>
            <w:r>
              <w:rPr>
                <w:rFonts w:cs="Times New Roman" w:ascii="Times New Roman" w:hAnsi="Times New Roman"/>
                <w:color w:val="000000"/>
                <w:sz w:val="24"/>
                <w:szCs w:val="24"/>
                <w:lang w:val="ru-RU"/>
              </w:rPr>
            </w:r>
          </w:p>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0,15</w:t>
            </w:r>
          </w:p>
        </w:tc>
        <w:tc>
          <w:tcPr>
            <w:tcW w:w="1986" w:type="dxa"/>
            <w:tcBorders>
              <w:top w:val="single" w:sz="2" w:space="0" w:color="000000"/>
              <w:left w:val="single" w:sz="2" w:space="0" w:color="000000"/>
              <w:bottom w:val="single" w:sz="2" w:space="0" w:color="000000"/>
            </w:tcBorders>
            <w:shd w:fill="auto" w:val="clear"/>
          </w:tcPr>
          <w:p>
            <w:pPr>
              <w:pStyle w:val="Normal"/>
              <w:widowControl w:val="false"/>
              <w:snapToGrid w:val="false"/>
              <w:ind w:left="0" w:right="0" w:firstLine="567"/>
              <w:jc w:val="both"/>
              <w:rPr>
                <w:rFonts w:ascii="Times New Roman" w:hAnsi="Times New Roman" w:cs="Times New Roman"/>
                <w:color w:val="000000"/>
                <w:sz w:val="24"/>
                <w:szCs w:val="24"/>
                <w:lang w:val="en"/>
              </w:rPr>
            </w:pPr>
            <w:r>
              <w:rPr>
                <w:rFonts w:cs="Times New Roman" w:ascii="Times New Roman" w:hAnsi="Times New Roman"/>
                <w:color w:val="000000"/>
                <w:sz w:val="24"/>
                <w:szCs w:val="24"/>
                <w:lang w:val="en"/>
              </w:rPr>
            </w:r>
          </w:p>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0,56</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napToGrid w:val="false"/>
              <w:ind w:left="0" w:right="0" w:firstLine="567"/>
              <w:jc w:val="both"/>
              <w:rPr>
                <w:rFonts w:ascii="Times New Roman" w:hAnsi="Times New Roman" w:cs="Times New Roman"/>
                <w:color w:val="000000"/>
                <w:sz w:val="24"/>
                <w:szCs w:val="24"/>
                <w:lang w:val="en"/>
              </w:rPr>
            </w:pPr>
            <w:r>
              <w:rPr>
                <w:rFonts w:cs="Times New Roman" w:ascii="Times New Roman" w:hAnsi="Times New Roman"/>
                <w:color w:val="000000"/>
                <w:sz w:val="24"/>
                <w:szCs w:val="24"/>
                <w:lang w:val="en"/>
              </w:rPr>
            </w:r>
          </w:p>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0,6</w:t>
            </w:r>
          </w:p>
        </w:tc>
      </w:tr>
      <w:tr>
        <w:trPr>
          <w:trHeight w:val="252"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Діоксид сірки</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0,5</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0,04</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0,026</w:t>
            </w:r>
          </w:p>
        </w:tc>
      </w:tr>
      <w:tr>
        <w:trPr>
          <w:trHeight w:val="254"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Оксид вуглецю</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5,0</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0,12</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0,8</w:t>
            </w:r>
          </w:p>
        </w:tc>
      </w:tr>
      <w:tr>
        <w:trPr>
          <w:trHeight w:val="251"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Діоксид азоту</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0,2</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0,8</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1,0</w:t>
            </w:r>
          </w:p>
        </w:tc>
      </w:tr>
      <w:tr>
        <w:trPr>
          <w:trHeight w:val="253"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Оксид азоту</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0,4</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0,93</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0,15</w:t>
            </w:r>
          </w:p>
        </w:tc>
      </w:tr>
      <w:tr>
        <w:trPr>
          <w:trHeight w:val="251"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Фенол</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0,01</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0,58</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0,6</w:t>
            </w:r>
          </w:p>
        </w:tc>
      </w:tr>
      <w:tr>
        <w:trPr>
          <w:trHeight w:val="254" w:hRule="atLeast"/>
        </w:trPr>
        <w:tc>
          <w:tcPr>
            <w:tcW w:w="3362" w:type="dxa"/>
            <w:tcBorders>
              <w:top w:val="single" w:sz="2" w:space="0" w:color="000000"/>
              <w:left w:val="single" w:sz="2" w:space="0" w:color="000000"/>
              <w:bottom w:val="single" w:sz="2" w:space="0" w:color="000000"/>
            </w:tcBorders>
            <w:shd w:fill="auto" w:val="clear"/>
          </w:tcPr>
          <w:p>
            <w:pPr>
              <w:pStyle w:val="Normal"/>
              <w:widowControl w:val="false"/>
              <w:ind w:left="147" w:right="99"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Формальдегід</w:t>
            </w:r>
          </w:p>
        </w:tc>
        <w:tc>
          <w:tcPr>
            <w:tcW w:w="1175" w:type="dxa"/>
            <w:tcBorders>
              <w:top w:val="single" w:sz="2" w:space="0" w:color="000000"/>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0,035</w:t>
            </w:r>
          </w:p>
        </w:tc>
        <w:tc>
          <w:tcPr>
            <w:tcW w:w="1986" w:type="dxa"/>
            <w:tcBorders>
              <w:top w:val="single" w:sz="2" w:space="0" w:color="000000"/>
              <w:left w:val="single" w:sz="2" w:space="0" w:color="000000"/>
              <w:bottom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0,14</w:t>
            </w:r>
          </w:p>
        </w:tc>
        <w:tc>
          <w:tcPr>
            <w:tcW w:w="278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ind w:left="0" w:right="0" w:firstLine="567"/>
              <w:jc w:val="both"/>
              <w:rPr>
                <w:rFonts w:ascii="Times New Roman" w:hAnsi="Times New Roman" w:cs="Times New Roman"/>
                <w:color w:val="000000"/>
                <w:sz w:val="28"/>
                <w:lang w:val="en"/>
              </w:rPr>
            </w:pPr>
            <w:r>
              <w:rPr>
                <w:rFonts w:cs="Times New Roman" w:ascii="Times New Roman" w:hAnsi="Times New Roman"/>
                <w:color w:val="000000"/>
                <w:sz w:val="24"/>
                <w:szCs w:val="24"/>
                <w:lang w:val="en"/>
              </w:rPr>
              <w:t>0,13</w:t>
            </w:r>
          </w:p>
        </w:tc>
      </w:tr>
    </w:tbl>
    <w:p>
      <w:pPr>
        <w:pStyle w:val="Normal"/>
        <w:rPr>
          <w:rFonts w:ascii="Calibri" w:hAnsi="Calibri" w:cs="Calibri"/>
          <w:color w:val="000000"/>
          <w:sz w:val="22"/>
          <w:lang w:val="en"/>
        </w:rPr>
      </w:pPr>
      <w:r>
        <w:rPr>
          <w:rFonts w:cs="Calibri"/>
          <w:color w:val="000000"/>
          <w:sz w:val="22"/>
          <w:lang w:val="en"/>
        </w:rPr>
      </w:r>
    </w:p>
    <w:p>
      <w:pPr>
        <w:pStyle w:val="Normal"/>
        <w:widowControl w:val="false"/>
        <w:ind w:left="567" w:right="0" w:hanging="0"/>
        <w:jc w:val="center"/>
        <w:rPr/>
      </w:pPr>
      <w:r>
        <w:rPr>
          <w:rFonts w:cs="Times New Roman CYR" w:ascii="Times New Roman CYR" w:hAnsi="Times New Roman CYR"/>
          <w:color w:val="000000"/>
          <w:sz w:val="28"/>
          <w:lang w:val="ru-RU"/>
        </w:rPr>
        <w:t xml:space="preserve"> </w:t>
      </w:r>
    </w:p>
    <w:p>
      <w:pPr>
        <w:pStyle w:val="Normal"/>
        <w:widowControl w:val="false"/>
        <w:spacing w:before="80" w:after="0"/>
        <w:ind w:left="0" w:right="0" w:firstLine="567"/>
        <w:jc w:val="right"/>
        <w:rPr>
          <w:rFonts w:ascii="Times New Roman CYR" w:hAnsi="Times New Roman CYR" w:cs="Times New Roman CYR"/>
          <w:color w:val="000000"/>
          <w:sz w:val="28"/>
          <w:lang w:val="ru-RU"/>
        </w:rPr>
      </w:pPr>
      <w:r>
        <w:rPr>
          <w:rFonts w:cs="Times New Roman CYR" w:ascii="Times New Roman CYR" w:hAnsi="Times New Roman CYR"/>
          <w:color w:val="000000"/>
          <w:sz w:val="28"/>
          <w:lang w:val="uk-UA"/>
        </w:rPr>
        <w:t>Таблиця 3.</w:t>
      </w:r>
    </w:p>
    <w:p>
      <w:pPr>
        <w:pStyle w:val="Normal"/>
        <w:widowControl w:val="false"/>
        <w:ind w:left="567" w:right="0" w:hanging="0"/>
        <w:jc w:val="center"/>
        <w:rPr/>
      </w:pPr>
      <w:r>
        <w:rPr>
          <w:rFonts w:cs="Times New Roman CYR" w:ascii="Times New Roman CYR" w:hAnsi="Times New Roman CYR"/>
          <w:color w:val="000000"/>
          <w:sz w:val="28"/>
          <w:lang w:val="ru-RU"/>
        </w:rPr>
        <w:t xml:space="preserve">Коливання Індексу Забруднення Атмосфери </w:t>
      </w:r>
      <w:r>
        <w:rPr>
          <w:rFonts w:cs="Times New Roman CYR" w:ascii="Times New Roman CYR" w:hAnsi="Times New Roman CYR"/>
          <w:color w:val="000000"/>
          <w:sz w:val="28"/>
          <w:lang w:val="uk-UA"/>
        </w:rPr>
        <w:t xml:space="preserve">(ІЗА) </w:t>
      </w:r>
      <w:r>
        <w:rPr>
          <w:rFonts w:cs="Times New Roman CYR" w:ascii="Times New Roman CYR" w:hAnsi="Times New Roman CYR"/>
          <w:color w:val="000000"/>
          <w:sz w:val="28"/>
          <w:lang w:val="ru-RU"/>
        </w:rPr>
        <w:t xml:space="preserve">протягом </w:t>
      </w:r>
      <w:r>
        <w:rPr>
          <w:rFonts w:cs="Times New Roman CYR" w:ascii="Times New Roman CYR" w:hAnsi="Times New Roman CYR"/>
          <w:color w:val="000000"/>
          <w:sz w:val="28"/>
          <w:lang w:val="uk-UA"/>
        </w:rPr>
        <w:t xml:space="preserve">2019 </w:t>
      </w:r>
      <w:r>
        <w:rPr>
          <w:rFonts w:cs="Times New Roman CYR" w:ascii="Times New Roman CYR" w:hAnsi="Times New Roman CYR"/>
          <w:color w:val="000000"/>
          <w:sz w:val="28"/>
          <w:lang w:val="ru-RU"/>
        </w:rPr>
        <w:t>року</w:t>
      </w:r>
    </w:p>
    <w:p>
      <w:pPr>
        <w:pStyle w:val="Normal"/>
        <w:widowControl w:val="false"/>
        <w:ind w:left="567" w:right="0" w:hanging="0"/>
        <w:jc w:val="center"/>
        <w:rPr>
          <w:rFonts w:ascii="Times New Roman CYR" w:hAnsi="Times New Roman CYR" w:cs="Times New Roman CYR"/>
          <w:color w:val="000000"/>
          <w:sz w:val="28"/>
          <w:lang w:val="ru-RU"/>
        </w:rPr>
      </w:pPr>
      <w:r>
        <w:rPr>
          <w:rFonts w:cs="Times New Roman CYR" w:ascii="Times New Roman CYR" w:hAnsi="Times New Roman CYR"/>
          <w:color w:val="000000"/>
          <w:sz w:val="28"/>
          <w:lang w:val="ru-RU"/>
        </w:rPr>
      </w:r>
    </w:p>
    <w:tbl>
      <w:tblPr>
        <w:tblW w:w="9356" w:type="dxa"/>
        <w:jc w:val="left"/>
        <w:tblInd w:w="15" w:type="dxa"/>
        <w:tblCellMar>
          <w:top w:w="0" w:type="dxa"/>
          <w:left w:w="108" w:type="dxa"/>
          <w:bottom w:w="0" w:type="dxa"/>
          <w:right w:w="108" w:type="dxa"/>
        </w:tblCellMar>
      </w:tblPr>
      <w:tblGrid>
        <w:gridCol w:w="2295"/>
        <w:gridCol w:w="1725"/>
        <w:gridCol w:w="1935"/>
        <w:gridCol w:w="1933"/>
        <w:gridCol w:w="1468"/>
      </w:tblGrid>
      <w:tr>
        <w:trPr>
          <w:trHeight w:val="23" w:hRule="atLeast"/>
        </w:trPr>
        <w:tc>
          <w:tcPr>
            <w:tcW w:w="229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Пости контролю</w:t>
            </w:r>
          </w:p>
        </w:tc>
        <w:tc>
          <w:tcPr>
            <w:tcW w:w="172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sz w:val="24"/>
                <w:szCs w:val="24"/>
              </w:rPr>
            </w:pPr>
            <w:r>
              <w:rPr>
                <w:rFonts w:cs="Times New Roman CYR" w:ascii="Times New Roman CYR" w:hAnsi="Times New Roman CYR"/>
                <w:color w:val="000000"/>
                <w:sz w:val="24"/>
                <w:szCs w:val="24"/>
                <w:lang w:val="uk-UA"/>
              </w:rPr>
              <w:t>Пост № 4,</w:t>
            </w:r>
          </w:p>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 xml:space="preserve"> </w:t>
            </w:r>
            <w:r>
              <w:rPr>
                <w:rFonts w:cs="Times New Roman CYR" w:ascii="Times New Roman CYR" w:hAnsi="Times New Roman CYR"/>
                <w:color w:val="000000"/>
                <w:sz w:val="24"/>
                <w:szCs w:val="24"/>
                <w:lang w:val="uk-UA"/>
              </w:rPr>
              <w:t>вул. Шопена</w:t>
            </w:r>
          </w:p>
        </w:tc>
        <w:tc>
          <w:tcPr>
            <w:tcW w:w="193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sz w:val="24"/>
                <w:szCs w:val="24"/>
              </w:rPr>
            </w:pPr>
            <w:r>
              <w:rPr>
                <w:rFonts w:cs="Times New Roman CYR" w:ascii="Times New Roman CYR" w:hAnsi="Times New Roman CYR"/>
                <w:color w:val="000000"/>
                <w:sz w:val="24"/>
                <w:szCs w:val="24"/>
                <w:lang w:val="uk-UA"/>
              </w:rPr>
              <w:t xml:space="preserve">Пост № 5, </w:t>
            </w:r>
          </w:p>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вул. Рівненська</w:t>
            </w:r>
          </w:p>
        </w:tc>
        <w:tc>
          <w:tcPr>
            <w:tcW w:w="1933"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sz w:val="24"/>
                <w:szCs w:val="24"/>
              </w:rPr>
            </w:pPr>
            <w:r>
              <w:rPr>
                <w:rFonts w:cs="Times New Roman CYR" w:ascii="Times New Roman CYR" w:hAnsi="Times New Roman CYR"/>
                <w:color w:val="000000"/>
                <w:sz w:val="24"/>
                <w:szCs w:val="24"/>
                <w:lang w:val="uk-UA"/>
              </w:rPr>
              <w:t>Пост № 7,</w:t>
            </w:r>
          </w:p>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 xml:space="preserve"> </w:t>
            </w:r>
            <w:r>
              <w:rPr>
                <w:rFonts w:cs="Times New Roman CYR" w:ascii="Times New Roman CYR" w:hAnsi="Times New Roman CYR"/>
                <w:color w:val="000000"/>
                <w:sz w:val="24"/>
                <w:szCs w:val="24"/>
                <w:lang w:val="uk-UA"/>
              </w:rPr>
              <w:t>вул. Конякіна</w:t>
            </w:r>
          </w:p>
        </w:tc>
        <w:tc>
          <w:tcPr>
            <w:tcW w:w="1468"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Загалом по місту</w:t>
            </w:r>
          </w:p>
        </w:tc>
      </w:tr>
      <w:tr>
        <w:trPr>
          <w:trHeight w:val="23" w:hRule="atLeast"/>
        </w:trPr>
        <w:tc>
          <w:tcPr>
            <w:tcW w:w="229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Коливання Індексу Забруднення</w:t>
            </w:r>
          </w:p>
          <w:p>
            <w:pPr>
              <w:pStyle w:val="Normal"/>
              <w:widowControl w:val="false"/>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Атмосфери</w:t>
            </w:r>
          </w:p>
        </w:tc>
        <w:tc>
          <w:tcPr>
            <w:tcW w:w="172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4,94 – 6,12</w:t>
            </w:r>
          </w:p>
        </w:tc>
        <w:tc>
          <w:tcPr>
            <w:tcW w:w="1935"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7,46 – 10,63</w:t>
            </w:r>
          </w:p>
        </w:tc>
        <w:tc>
          <w:tcPr>
            <w:tcW w:w="1933"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6,65 – 10,4</w:t>
            </w:r>
          </w:p>
        </w:tc>
        <w:tc>
          <w:tcPr>
            <w:tcW w:w="1468"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Times New Roman" w:hAnsi="Times New Roman" w:cs="Times New Roman"/>
                <w:color w:val="000000"/>
                <w:sz w:val="28"/>
                <w:lang w:val="en"/>
              </w:rPr>
            </w:pPr>
            <w:r>
              <w:rPr>
                <w:rFonts w:cs="Times New Roman" w:ascii="Times New Roman" w:hAnsi="Times New Roman"/>
                <w:color w:val="000000"/>
                <w:sz w:val="24"/>
                <w:szCs w:val="24"/>
                <w:lang w:val="en"/>
              </w:rPr>
              <w:t>7,81 – 10,51</w:t>
            </w:r>
          </w:p>
        </w:tc>
      </w:tr>
    </w:tbl>
    <w:p>
      <w:pPr>
        <w:pStyle w:val="Normal"/>
        <w:spacing w:lineRule="auto" w:line="240"/>
        <w:ind w:left="0" w:right="0" w:firstLine="680"/>
        <w:jc w:val="both"/>
        <w:rPr>
          <w:rFonts w:ascii="Times New Roman CYR" w:hAnsi="Times New Roman CYR" w:cs="Times New Roman CYR"/>
          <w:color w:val="000000"/>
          <w:sz w:val="28"/>
          <w:szCs w:val="28"/>
          <w:lang w:val="uk-UA"/>
        </w:rPr>
      </w:pPr>
      <w:r>
        <w:rPr>
          <w:rFonts w:cs="Times New Roman CYR" w:ascii="Times New Roman CYR" w:hAnsi="Times New Roman CYR"/>
          <w:color w:val="000000"/>
          <w:sz w:val="28"/>
          <w:szCs w:val="28"/>
          <w:lang w:val="uk-UA"/>
        </w:rPr>
      </w:r>
    </w:p>
    <w:p>
      <w:pPr>
        <w:pStyle w:val="Normal"/>
        <w:spacing w:lineRule="auto" w:line="240"/>
        <w:ind w:left="0" w:right="0" w:firstLine="680"/>
        <w:jc w:val="both"/>
        <w:rPr/>
      </w:pPr>
      <w:r>
        <w:rPr>
          <w:rFonts w:cs="Times New Roman CYR" w:ascii="Times New Roman CYR" w:hAnsi="Times New Roman CYR"/>
          <w:color w:val="000000"/>
          <w:sz w:val="28"/>
          <w:szCs w:val="28"/>
          <w:lang w:val="uk-UA"/>
        </w:rPr>
        <w:t>Відповідно даних таблиці 3 ІЗА не є стабільним показником і коливається протягом року. У 2019р. найменший ІЗА зафіксований на вулиці Шопена (Пост №4) в середньому за рік 5,53, на вул. Конякіна 8,52 (Пост №7) і на вул. Рівненська – 9,04 (Пост №5). Значення індексу забруднення атмосферного повітря м.Луцька у 2020 році  – 6,8, що відповідає підвищеному рівню. Загальний ІЗА по Україні у 2020 році — 7,0 та оцінюється як високий.</w:t>
      </w:r>
    </w:p>
    <w:p>
      <w:pPr>
        <w:pStyle w:val="Normal"/>
        <w:widowControl w:val="false"/>
        <w:spacing w:lineRule="auto" w:line="240" w:before="0" w:after="0"/>
        <w:ind w:left="0" w:right="0" w:firstLine="567"/>
        <w:jc w:val="both"/>
        <w:rPr/>
      </w:pPr>
      <w:r>
        <w:rPr>
          <w:rFonts w:cs="Times New Roman CYR" w:ascii="Times New Roman CYR" w:hAnsi="Times New Roman CYR"/>
          <w:color w:val="000000"/>
          <w:sz w:val="28"/>
          <w:lang w:val="uk-UA"/>
        </w:rPr>
        <w:t>В таблиці 4 наведені дані ІЗА окремих речовин. Як бачимо з даної таблиці, найбільший внесок в ІЗА належить органічним речовинам – формальдегіду 4,43 і фенолу – 2,2, а також діоксиду азоту – 2,37.</w:t>
      </w:r>
    </w:p>
    <w:p>
      <w:pPr>
        <w:pStyle w:val="Normal"/>
        <w:widowControl w:val="false"/>
        <w:spacing w:lineRule="auto" w:line="240" w:before="0" w:after="0"/>
        <w:ind w:left="0" w:right="0" w:firstLine="567"/>
        <w:jc w:val="right"/>
        <w:rPr>
          <w:rFonts w:ascii="Times New Roman CYR" w:hAnsi="Times New Roman CYR" w:cs="Times New Roman CYR"/>
          <w:color w:val="000000"/>
          <w:sz w:val="28"/>
          <w:lang w:val="ru-RU"/>
        </w:rPr>
      </w:pPr>
      <w:r>
        <w:rPr>
          <w:rFonts w:cs="Times New Roman CYR" w:ascii="Times New Roman CYR" w:hAnsi="Times New Roman CYR"/>
          <w:color w:val="000000"/>
          <w:sz w:val="28"/>
          <w:lang w:val="uk-UA"/>
        </w:rPr>
        <w:t>Таблиця 4.</w:t>
      </w:r>
    </w:p>
    <w:p>
      <w:pPr>
        <w:pStyle w:val="Normal"/>
        <w:widowControl w:val="false"/>
        <w:spacing w:before="0" w:after="0"/>
        <w:ind w:left="567" w:right="0" w:hanging="0"/>
        <w:jc w:val="center"/>
        <w:rPr/>
      </w:pPr>
      <w:r>
        <w:rPr>
          <w:rFonts w:cs="Times New Roman CYR" w:ascii="Times New Roman CYR" w:hAnsi="Times New Roman CYR"/>
          <w:color w:val="000000"/>
          <w:sz w:val="28"/>
          <w:lang w:val="uk-UA" w:eastAsia="zh-CN" w:bidi="hi-IN"/>
        </w:rPr>
        <w:t xml:space="preserve">Рівень забруднення атмосферного повітря за значенням ІЗА міста Луцька </w:t>
      </w:r>
    </w:p>
    <w:p>
      <w:pPr>
        <w:pStyle w:val="Normal"/>
        <w:widowControl w:val="false"/>
        <w:spacing w:before="0" w:after="0"/>
        <w:ind w:left="567" w:right="0" w:hanging="0"/>
        <w:jc w:val="center"/>
        <w:rPr>
          <w:rFonts w:ascii="Times New Roman CYR" w:hAnsi="Times New Roman CYR" w:cs="Times New Roman CYR"/>
          <w:color w:val="000000"/>
          <w:sz w:val="28"/>
          <w:lang w:val="uk-UA" w:eastAsia="zh-CN" w:bidi="hi-IN"/>
        </w:rPr>
      </w:pPr>
      <w:r>
        <w:rPr>
          <w:rFonts w:cs="Times New Roman CYR" w:ascii="Times New Roman CYR" w:hAnsi="Times New Roman CYR"/>
          <w:color w:val="000000"/>
          <w:sz w:val="28"/>
          <w:lang w:val="uk-UA" w:eastAsia="zh-CN" w:bidi="hi-IN"/>
        </w:rPr>
      </w:r>
    </w:p>
    <w:tbl>
      <w:tblPr>
        <w:tblW w:w="9323" w:type="dxa"/>
        <w:jc w:val="left"/>
        <w:tblInd w:w="15" w:type="dxa"/>
        <w:tblCellMar>
          <w:top w:w="0" w:type="dxa"/>
          <w:left w:w="4" w:type="dxa"/>
          <w:bottom w:w="0" w:type="dxa"/>
          <w:right w:w="4" w:type="dxa"/>
        </w:tblCellMar>
      </w:tblPr>
      <w:tblGrid>
        <w:gridCol w:w="2775"/>
        <w:gridCol w:w="6547"/>
      </w:tblGrid>
      <w:tr>
        <w:trPr>
          <w:trHeight w:val="565" w:hRule="atLeast"/>
        </w:trPr>
        <w:tc>
          <w:tcPr>
            <w:tcW w:w="2775" w:type="dxa"/>
            <w:tcBorders>
              <w:top w:val="single" w:sz="2" w:space="0" w:color="000000"/>
              <w:left w:val="single" w:sz="2" w:space="0" w:color="000000"/>
              <w:bottom w:val="single" w:sz="2" w:space="0" w:color="000000"/>
            </w:tcBorders>
            <w:shd w:fill="auto" w:val="clear"/>
            <w:vAlign w:val="center"/>
          </w:tcPr>
          <w:p>
            <w:pPr>
              <w:pStyle w:val="Normal"/>
              <w:widowControl w:val="false"/>
              <w:spacing w:lineRule="auto" w:line="276"/>
              <w:ind w:left="0" w:right="0" w:firstLine="567"/>
              <w:jc w:val="both"/>
              <w:rPr/>
            </w:pPr>
            <w:r>
              <w:rPr>
                <w:rFonts w:cs="Times New Roman CYR" w:ascii="Times New Roman CYR" w:hAnsi="Times New Roman CYR"/>
                <w:color w:val="000000"/>
                <w:sz w:val="24"/>
                <w:szCs w:val="24"/>
                <w:lang w:val="uk-UA"/>
              </w:rPr>
              <w:t xml:space="preserve">Значення </w:t>
            </w:r>
            <w:r>
              <w:rPr>
                <w:rFonts w:cs="Times New Roman CYR" w:ascii="Times New Roman CYR" w:hAnsi="Times New Roman CYR"/>
                <w:color w:val="000000"/>
                <w:sz w:val="24"/>
                <w:szCs w:val="24"/>
              </w:rPr>
              <w:t>ІЗА</w:t>
            </w:r>
          </w:p>
        </w:tc>
        <w:tc>
          <w:tcPr>
            <w:tcW w:w="6547"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spacing w:lineRule="auto" w:line="276"/>
              <w:jc w:val="center"/>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Забруднюючі речовини, які визначають високий рівень забруднення атмосферного повітря</w:t>
            </w:r>
          </w:p>
        </w:tc>
      </w:tr>
      <w:tr>
        <w:trPr>
          <w:trHeight w:val="273" w:hRule="atLeast"/>
        </w:trPr>
        <w:tc>
          <w:tcPr>
            <w:tcW w:w="2775" w:type="dxa"/>
            <w:tcBorders>
              <w:top w:val="single" w:sz="2" w:space="0" w:color="000000"/>
              <w:left w:val="single" w:sz="2" w:space="0" w:color="000000"/>
              <w:bottom w:val="single" w:sz="2" w:space="0" w:color="000000"/>
            </w:tcBorders>
            <w:shd w:fill="auto" w:val="clear"/>
          </w:tcPr>
          <w:p>
            <w:pPr>
              <w:pStyle w:val="Normal"/>
              <w:spacing w:lineRule="auto" w:line="240" w:before="0" w:after="0"/>
              <w:jc w:val="center"/>
              <w:rPr/>
            </w:pPr>
            <w:r>
              <w:rPr>
                <w:rFonts w:cs="Times New Roman" w:ascii="Times New Roman" w:hAnsi="Times New Roman"/>
                <w:bCs/>
                <w:color w:val="000000"/>
              </w:rPr>
              <w:t>2,04</w:t>
            </w:r>
          </w:p>
        </w:tc>
        <w:tc>
          <w:tcPr>
            <w:tcW w:w="6547"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276"/>
              <w:ind w:left="0" w:right="0"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Формальдегід</w:t>
            </w:r>
          </w:p>
        </w:tc>
      </w:tr>
      <w:tr>
        <w:trPr>
          <w:trHeight w:val="275" w:hRule="atLeast"/>
        </w:trPr>
        <w:tc>
          <w:tcPr>
            <w:tcW w:w="2775" w:type="dxa"/>
            <w:tcBorders>
              <w:top w:val="single" w:sz="2" w:space="0" w:color="000000"/>
              <w:left w:val="single" w:sz="2" w:space="0" w:color="000000"/>
              <w:bottom w:val="single" w:sz="2" w:space="0" w:color="000000"/>
            </w:tcBorders>
            <w:shd w:fill="auto" w:val="clear"/>
          </w:tcPr>
          <w:p>
            <w:pPr>
              <w:pStyle w:val="Normal"/>
              <w:spacing w:lineRule="auto" w:line="240" w:before="0" w:after="0"/>
              <w:jc w:val="center"/>
              <w:rPr/>
            </w:pPr>
            <w:r>
              <w:rPr>
                <w:rFonts w:cs="Times New Roman" w:ascii="Times New Roman" w:hAnsi="Times New Roman"/>
                <w:bCs/>
                <w:color w:val="000000"/>
              </w:rPr>
              <w:t>1,72</w:t>
            </w:r>
          </w:p>
        </w:tc>
        <w:tc>
          <w:tcPr>
            <w:tcW w:w="6547"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276"/>
              <w:ind w:left="0" w:right="0"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Діоксид азоту</w:t>
            </w:r>
          </w:p>
        </w:tc>
      </w:tr>
      <w:tr>
        <w:trPr>
          <w:trHeight w:val="273" w:hRule="atLeast"/>
        </w:trPr>
        <w:tc>
          <w:tcPr>
            <w:tcW w:w="2775" w:type="dxa"/>
            <w:tcBorders>
              <w:top w:val="single" w:sz="2" w:space="0" w:color="000000"/>
              <w:left w:val="single" w:sz="2" w:space="0" w:color="000000"/>
              <w:bottom w:val="single" w:sz="2" w:space="0" w:color="000000"/>
            </w:tcBorders>
            <w:shd w:fill="auto" w:val="clear"/>
          </w:tcPr>
          <w:p>
            <w:pPr>
              <w:pStyle w:val="Normal"/>
              <w:spacing w:lineRule="auto" w:line="240" w:before="0" w:after="0"/>
              <w:jc w:val="center"/>
              <w:rPr/>
            </w:pPr>
            <w:r>
              <w:rPr>
                <w:rFonts w:cs="Times New Roman" w:ascii="Times New Roman" w:hAnsi="Times New Roman"/>
                <w:bCs/>
                <w:color w:val="000000"/>
              </w:rPr>
              <w:t>1,94</w:t>
            </w:r>
          </w:p>
        </w:tc>
        <w:tc>
          <w:tcPr>
            <w:tcW w:w="6547"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276"/>
              <w:ind w:left="0" w:right="0"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Фенол</w:t>
            </w:r>
          </w:p>
        </w:tc>
      </w:tr>
      <w:tr>
        <w:trPr>
          <w:trHeight w:val="273" w:hRule="atLeast"/>
        </w:trPr>
        <w:tc>
          <w:tcPr>
            <w:tcW w:w="2775" w:type="dxa"/>
            <w:tcBorders>
              <w:top w:val="single" w:sz="2" w:space="0" w:color="000000"/>
              <w:left w:val="single" w:sz="2" w:space="0" w:color="000000"/>
              <w:bottom w:val="single" w:sz="2" w:space="0" w:color="000000"/>
            </w:tcBorders>
            <w:shd w:fill="auto" w:val="clear"/>
          </w:tcPr>
          <w:p>
            <w:pPr>
              <w:pStyle w:val="Normal"/>
              <w:spacing w:lineRule="auto" w:line="240" w:before="0" w:after="0"/>
              <w:jc w:val="center"/>
              <w:rPr/>
            </w:pPr>
            <w:r>
              <w:rPr>
                <w:rFonts w:cs="Times New Roman" w:ascii="Times New Roman" w:hAnsi="Times New Roman"/>
                <w:bCs/>
                <w:color w:val="000000"/>
              </w:rPr>
              <w:t>0,53</w:t>
            </w:r>
          </w:p>
        </w:tc>
        <w:tc>
          <w:tcPr>
            <w:tcW w:w="6547"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276"/>
              <w:ind w:left="0" w:right="0"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Пил</w:t>
            </w:r>
          </w:p>
        </w:tc>
      </w:tr>
      <w:tr>
        <w:trPr>
          <w:trHeight w:val="266" w:hRule="atLeast"/>
        </w:trPr>
        <w:tc>
          <w:tcPr>
            <w:tcW w:w="2775" w:type="dxa"/>
            <w:tcBorders>
              <w:top w:val="single" w:sz="2" w:space="0" w:color="000000"/>
              <w:left w:val="single" w:sz="2" w:space="0" w:color="000000"/>
              <w:bottom w:val="single" w:sz="2" w:space="0" w:color="000000"/>
            </w:tcBorders>
            <w:shd w:fill="auto" w:val="clear"/>
          </w:tcPr>
          <w:p>
            <w:pPr>
              <w:pStyle w:val="Normal"/>
              <w:spacing w:lineRule="auto" w:line="240" w:before="0" w:after="0"/>
              <w:jc w:val="center"/>
              <w:rPr/>
            </w:pPr>
            <w:r>
              <w:rPr>
                <w:rFonts w:cs="Times New Roman" w:ascii="Times New Roman" w:hAnsi="Times New Roman"/>
                <w:bCs/>
                <w:color w:val="000000"/>
              </w:rPr>
              <w:t>0,46</w:t>
            </w:r>
          </w:p>
        </w:tc>
        <w:tc>
          <w:tcPr>
            <w:tcW w:w="6547"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276"/>
              <w:ind w:left="0" w:right="0" w:firstLine="567"/>
              <w:jc w:val="both"/>
              <w:rPr>
                <w:rFonts w:ascii="Times New Roman CYR" w:hAnsi="Times New Roman CYR" w:cs="Times New Roman CYR"/>
                <w:color w:val="000000"/>
                <w:sz w:val="28"/>
                <w:lang w:val="uk-UA"/>
              </w:rPr>
            </w:pPr>
            <w:r>
              <w:rPr>
                <w:rFonts w:cs="Times New Roman CYR" w:ascii="Times New Roman CYR" w:hAnsi="Times New Roman CYR"/>
                <w:color w:val="000000"/>
                <w:sz w:val="24"/>
                <w:szCs w:val="24"/>
                <w:lang w:val="uk-UA"/>
              </w:rPr>
              <w:t>Оксид азоту</w:t>
            </w:r>
          </w:p>
        </w:tc>
      </w:tr>
    </w:tbl>
    <w:p>
      <w:pPr>
        <w:pStyle w:val="Normal"/>
        <w:spacing w:lineRule="auto" w:line="240" w:before="0" w:after="0"/>
        <w:ind w:left="0" w:right="0" w:firstLine="680"/>
        <w:jc w:val="both"/>
        <w:rPr>
          <w:rFonts w:ascii="Times New Roman" w:hAnsi="Times New Roman" w:eastAsia="Times New Roman" w:cs="Times New Roman"/>
          <w:b w:val="false"/>
          <w:b w:val="false"/>
          <w:i w:val="false"/>
          <w:i w:val="false"/>
          <w:caps w:val="false"/>
          <w:smallCaps w:val="false"/>
          <w:color w:val="000000"/>
          <w:spacing w:val="0"/>
          <w:sz w:val="28"/>
          <w:szCs w:val="28"/>
          <w:highlight w:val="white"/>
          <w:lang w:val="uk-UA"/>
        </w:rPr>
      </w:pPr>
      <w:r>
        <w:rPr>
          <w:rFonts w:eastAsia="Times New Roman" w:cs="Times New Roman" w:ascii="Times New Roman" w:hAnsi="Times New Roman"/>
          <w:b w:val="false"/>
          <w:i w:val="false"/>
          <w:caps w:val="false"/>
          <w:smallCaps w:val="false"/>
          <w:color w:val="000000"/>
          <w:spacing w:val="0"/>
          <w:sz w:val="28"/>
          <w:szCs w:val="28"/>
          <w:highlight w:val="white"/>
          <w:lang w:val="uk-UA"/>
        </w:rPr>
      </w:r>
    </w:p>
    <w:p>
      <w:pPr>
        <w:pStyle w:val="Normal"/>
        <w:spacing w:lineRule="auto" w:line="240" w:before="0" w:after="0"/>
        <w:ind w:left="0" w:right="0" w:firstLine="680"/>
        <w:jc w:val="both"/>
        <w:rPr>
          <w:rFonts w:ascii="Times New Roman CYR" w:hAnsi="Times New Roman CYR" w:cs="Times New Roman CYR"/>
          <w:color w:val="000000"/>
          <w:sz w:val="28"/>
          <w:szCs w:val="28"/>
          <w:lang w:val="uk-UA"/>
        </w:rPr>
      </w:pPr>
      <w:r>
        <w:rPr>
          <w:rFonts w:eastAsia="Times New Roman" w:cs="Times New Roman" w:ascii="Times New Roman" w:hAnsi="Times New Roman"/>
          <w:b w:val="false"/>
          <w:i w:val="false"/>
          <w:caps w:val="false"/>
          <w:smallCaps w:val="false"/>
          <w:color w:val="000000"/>
          <w:spacing w:val="0"/>
          <w:sz w:val="28"/>
          <w:szCs w:val="28"/>
          <w:highlight w:val="white"/>
          <w:lang w:val="uk-UA"/>
        </w:rPr>
        <w:t>Головними причинами, які обумовлюють незадовільний стан атмосферного повітря в місті є недотримання підприємствами технологічного режиму експлуатації пило-газоочисного устаткування; низькі темпи впровадження сучасних технологій очищення викидів, зростання кількості автомобільного транспорту, які не забезпечені приладами для нейтралізації відпрацьованих газів, і як наслідок збільшується кількість викидів шкідливих речовин в атмосферне повітря.</w:t>
      </w:r>
    </w:p>
    <w:p>
      <w:pPr>
        <w:pStyle w:val="Normal"/>
        <w:widowControl w:val="false"/>
        <w:spacing w:lineRule="auto" w:line="240" w:before="80" w:after="0"/>
        <w:ind w:left="0" w:right="0" w:firstLine="567"/>
        <w:jc w:val="both"/>
        <w:rPr>
          <w:rFonts w:ascii="Times New Roman CYR" w:hAnsi="Times New Roman CYR" w:cs="Times New Roman CYR"/>
          <w:color w:val="000000"/>
          <w:sz w:val="28"/>
          <w:szCs w:val="28"/>
          <w:lang w:val="uk-UA"/>
        </w:rPr>
      </w:pPr>
      <w:r>
        <w:rPr>
          <w:rFonts w:eastAsia="Times New Roman" w:cs="Times New Roman" w:ascii="Times New Roman" w:hAnsi="Times New Roman"/>
          <w:b w:val="false"/>
          <w:i w:val="false"/>
          <w:caps w:val="false"/>
          <w:smallCaps w:val="false"/>
          <w:color w:val="000000"/>
          <w:spacing w:val="0"/>
          <w:sz w:val="28"/>
          <w:szCs w:val="28"/>
          <w:highlight w:val="white"/>
          <w:lang w:val="uk-UA"/>
        </w:rPr>
        <w:t xml:space="preserve">Для поліпшення екологічної ситуації в рамка Комплексної програми охорони навколишнього природного середовища Луцької міської територіальної громади на 2018-2021 роки </w:t>
      </w:r>
      <w:r>
        <w:rPr>
          <w:rFonts w:eastAsia="Times New Roman" w:cs="Times New Roman CYR" w:ascii="Times New Roman CYR" w:hAnsi="Times New Roman CYR"/>
          <w:b w:val="false"/>
          <w:i w:val="false"/>
          <w:caps w:val="false"/>
          <w:smallCaps w:val="false"/>
          <w:color w:val="000000"/>
          <w:spacing w:val="0"/>
          <w:sz w:val="28"/>
          <w:szCs w:val="28"/>
          <w:highlight w:val="white"/>
          <w:lang w:val="uk-UA"/>
        </w:rPr>
        <w:t xml:space="preserve"> підприємствами </w:t>
      </w:r>
      <w:r>
        <w:rPr>
          <w:rFonts w:eastAsia="Times New Roman" w:cs="Times New Roman" w:ascii="Times New Roman" w:hAnsi="Times New Roman"/>
          <w:b w:val="false"/>
          <w:i w:val="false"/>
          <w:caps w:val="false"/>
          <w:smallCaps w:val="false"/>
          <w:color w:val="000000"/>
          <w:spacing w:val="0"/>
          <w:sz w:val="28"/>
          <w:szCs w:val="28"/>
          <w:highlight w:val="white"/>
          <w:lang w:val="uk-UA"/>
        </w:rPr>
        <w:t xml:space="preserve">(АТ “АК “Богдан Моторс”, ДП ЛРЗ “Мотор”, ПАТ “СКФ Україна”, ПрАТ “Луцький пивзавод”) </w:t>
      </w:r>
      <w:r>
        <w:rPr>
          <w:rFonts w:eastAsia="Times New Roman" w:cs="Times New Roman CYR" w:ascii="Times New Roman CYR" w:hAnsi="Times New Roman CYR"/>
          <w:b w:val="false"/>
          <w:i w:val="false"/>
          <w:caps w:val="false"/>
          <w:smallCaps w:val="false"/>
          <w:color w:val="000000"/>
          <w:spacing w:val="0"/>
          <w:sz w:val="28"/>
          <w:szCs w:val="28"/>
          <w:highlight w:val="white"/>
          <w:lang w:val="uk-UA"/>
        </w:rPr>
        <w:t xml:space="preserve">за власні кошти </w:t>
      </w:r>
      <w:r>
        <w:rPr>
          <w:rFonts w:eastAsia="Times New Roman" w:cs="Times New Roman" w:ascii="Times New Roman" w:hAnsi="Times New Roman"/>
          <w:b w:val="false"/>
          <w:i w:val="false"/>
          <w:caps w:val="false"/>
          <w:smallCaps w:val="false"/>
          <w:color w:val="000000"/>
          <w:spacing w:val="0"/>
          <w:sz w:val="28"/>
          <w:szCs w:val="28"/>
          <w:highlight w:val="white"/>
          <w:lang w:val="uk-UA"/>
        </w:rPr>
        <w:t xml:space="preserve">виконувались заходи, спрямовані на зменшення викидів в атмосферу. В останні роки в місті працює інвестиційна програма щодо екологічного вдосконалення системи теплопостачання ДКП “Луцьктепло”. </w:t>
      </w:r>
    </w:p>
    <w:p>
      <w:pPr>
        <w:pStyle w:val="Normal"/>
        <w:widowControl w:val="false"/>
        <w:spacing w:lineRule="auto" w:line="276" w:before="80" w:after="0"/>
        <w:ind w:left="0" w:right="0" w:firstLine="567"/>
        <w:jc w:val="both"/>
        <w:rPr>
          <w:rFonts w:ascii="Times New Roman" w:hAnsi="Times New Roman" w:eastAsia="Times New Roman" w:cs="Times New Roman"/>
          <w:b/>
          <w:b/>
          <w:bCs/>
          <w:i w:val="false"/>
          <w:i w:val="false"/>
          <w:caps w:val="false"/>
          <w:smallCaps w:val="false"/>
          <w:color w:val="000000"/>
          <w:spacing w:val="0"/>
          <w:sz w:val="28"/>
          <w:szCs w:val="28"/>
          <w:highlight w:val="white"/>
          <w:lang w:val="uk-UA"/>
        </w:rPr>
      </w:pPr>
      <w:r>
        <w:rPr>
          <w:rFonts w:eastAsia="Times New Roman" w:cs="Times New Roman" w:ascii="Times New Roman" w:hAnsi="Times New Roman"/>
          <w:b/>
          <w:bCs/>
          <w:i w:val="false"/>
          <w:caps w:val="false"/>
          <w:smallCaps w:val="false"/>
          <w:color w:val="000000"/>
          <w:spacing w:val="0"/>
          <w:sz w:val="28"/>
          <w:szCs w:val="28"/>
          <w:highlight w:val="white"/>
          <w:lang w:val="uk-UA"/>
        </w:rPr>
      </w:r>
    </w:p>
    <w:p>
      <w:pPr>
        <w:pStyle w:val="Normal"/>
        <w:widowControl w:val="false"/>
        <w:spacing w:lineRule="auto" w:line="276" w:before="80" w:after="0"/>
        <w:ind w:left="0" w:right="0" w:firstLine="567"/>
        <w:jc w:val="both"/>
        <w:rPr>
          <w:rFonts w:ascii="Times New Roman" w:hAnsi="Times New Roman" w:eastAsia="Times New Roman" w:cs="Times New Roman"/>
          <w:b/>
          <w:b/>
          <w:bCs/>
          <w:i w:val="false"/>
          <w:i w:val="false"/>
          <w:caps w:val="false"/>
          <w:smallCaps w:val="false"/>
          <w:color w:val="000000"/>
          <w:spacing w:val="0"/>
          <w:sz w:val="28"/>
          <w:szCs w:val="28"/>
          <w:highlight w:val="white"/>
          <w:lang w:val="uk-UA"/>
        </w:rPr>
      </w:pPr>
      <w:r>
        <w:rPr>
          <w:rFonts w:eastAsia="Times New Roman" w:cs="Times New Roman" w:ascii="Times New Roman" w:hAnsi="Times New Roman"/>
          <w:b/>
          <w:bCs/>
          <w:i w:val="false"/>
          <w:caps w:val="false"/>
          <w:smallCaps w:val="false"/>
          <w:color w:val="000000"/>
          <w:spacing w:val="0"/>
          <w:sz w:val="28"/>
          <w:szCs w:val="28"/>
          <w:highlight w:val="white"/>
          <w:lang w:val="uk-UA"/>
        </w:rPr>
      </w:r>
    </w:p>
    <w:p>
      <w:pPr>
        <w:pStyle w:val="Normal"/>
        <w:widowControl w:val="false"/>
        <w:spacing w:lineRule="auto" w:line="276" w:before="80" w:after="0"/>
        <w:ind w:left="0" w:right="0" w:hanging="0"/>
        <w:jc w:val="both"/>
        <w:rPr/>
      </w:pPr>
      <w:r>
        <w:rPr>
          <w:rFonts w:eastAsia="Times New Roman" w:cs="Times New Roman" w:ascii="Times New Roman" w:hAnsi="Times New Roman"/>
          <w:b/>
          <w:bCs/>
          <w:i w:val="false"/>
          <w:caps w:val="false"/>
          <w:smallCaps w:val="false"/>
          <w:color w:val="000000"/>
          <w:spacing w:val="0"/>
          <w:sz w:val="28"/>
          <w:szCs w:val="28"/>
          <w:highlight w:val="white"/>
          <w:lang w:val="uk-UA"/>
        </w:rPr>
        <w:t>Екологія водокористування</w:t>
      </w:r>
    </w:p>
    <w:p>
      <w:pPr>
        <w:pStyle w:val="Normal"/>
        <w:widowControl w:val="false"/>
        <w:spacing w:before="80" w:after="0"/>
        <w:ind w:left="0" w:right="0" w:firstLine="567"/>
        <w:jc w:val="right"/>
        <w:rPr>
          <w:rFonts w:ascii="Times New Roman CYR" w:hAnsi="Times New Roman CYR" w:cs="Times New Roman CYR"/>
          <w:color w:val="000000"/>
          <w:sz w:val="28"/>
          <w:szCs w:val="28"/>
          <w:lang w:val="ru-RU"/>
        </w:rPr>
      </w:pPr>
      <w:r>
        <w:rPr>
          <w:rFonts w:cs="Times New Roman CYR" w:ascii="Times New Roman CYR" w:hAnsi="Times New Roman CYR"/>
          <w:color w:val="000000"/>
          <w:sz w:val="28"/>
          <w:szCs w:val="28"/>
          <w:lang w:val="uk-UA"/>
        </w:rPr>
        <w:t>Таблиця 5.</w:t>
      </w:r>
    </w:p>
    <w:p>
      <w:pPr>
        <w:pStyle w:val="Normal"/>
        <w:widowControl w:val="false"/>
        <w:spacing w:lineRule="atLeast" w:line="228"/>
        <w:ind w:left="0" w:right="175" w:hanging="0"/>
        <w:jc w:val="right"/>
        <w:rPr/>
      </w:pPr>
      <w:r>
        <w:rPr>
          <w:rFonts w:cs="Times New Roman CYR" w:ascii="Times New Roman CYR" w:hAnsi="Times New Roman CYR"/>
          <w:b/>
          <w:color w:val="000000"/>
          <w:sz w:val="28"/>
          <w:szCs w:val="28"/>
          <w:lang w:val="uk-UA"/>
        </w:rPr>
        <w:t>Основні показники використання і відведення води по м. Луцьку (млн.м</w:t>
      </w:r>
      <w:r>
        <w:rPr>
          <w:rFonts w:cs="Times New Roman CYR" w:ascii="Times New Roman CYR" w:hAnsi="Times New Roman CYR"/>
          <w:b/>
          <w:color w:val="000000"/>
          <w:sz w:val="28"/>
          <w:szCs w:val="28"/>
          <w:vertAlign w:val="superscript"/>
          <w:lang w:val="uk-UA"/>
        </w:rPr>
        <w:t>3</w:t>
      </w:r>
      <w:r>
        <w:rPr>
          <w:rFonts w:cs="Times New Roman CYR" w:ascii="Times New Roman CYR" w:hAnsi="Times New Roman CYR"/>
          <w:b/>
          <w:color w:val="000000"/>
          <w:sz w:val="28"/>
          <w:szCs w:val="28"/>
          <w:lang w:val="uk-UA"/>
        </w:rPr>
        <w:t>)</w:t>
      </w:r>
      <w:r>
        <w:rPr>
          <w:rFonts w:eastAsia="Times New Roman" w:cs="Times New Roman" w:ascii="Times New Roman" w:hAnsi="Times New Roman"/>
          <w:color w:val="000000"/>
          <w:lang w:val="ru-RU"/>
        </w:rPr>
        <w:t xml:space="preserve">                                                                                                                </w:t>
      </w:r>
    </w:p>
    <w:tbl>
      <w:tblPr>
        <w:tblW w:w="9692" w:type="dxa"/>
        <w:jc w:val="center"/>
        <w:tblInd w:w="0" w:type="dxa"/>
        <w:tblCellMar>
          <w:top w:w="0" w:type="dxa"/>
          <w:left w:w="108" w:type="dxa"/>
          <w:bottom w:w="0" w:type="dxa"/>
          <w:right w:w="108" w:type="dxa"/>
        </w:tblCellMar>
      </w:tblPr>
      <w:tblGrid>
        <w:gridCol w:w="4113"/>
        <w:gridCol w:w="1370"/>
        <w:gridCol w:w="1376"/>
        <w:gridCol w:w="913"/>
        <w:gridCol w:w="957"/>
        <w:gridCol w:w="962"/>
      </w:tblGrid>
      <w:tr>
        <w:trPr>
          <w:trHeight w:val="285" w:hRule="atLeast"/>
        </w:trPr>
        <w:tc>
          <w:tcPr>
            <w:tcW w:w="4113" w:type="dxa"/>
            <w:tcBorders>
              <w:top w:val="single" w:sz="2" w:space="0" w:color="000000"/>
              <w:left w:val="single" w:sz="2" w:space="0" w:color="000000"/>
              <w:bottom w:val="single" w:sz="2" w:space="0" w:color="000000"/>
            </w:tcBorders>
            <w:shd w:fill="auto" w:val="clear"/>
            <w:vAlign w:val="center"/>
          </w:tcPr>
          <w:p>
            <w:pPr>
              <w:pStyle w:val="Normal"/>
              <w:widowControl w:val="false"/>
              <w:snapToGrid w:val="false"/>
              <w:jc w:val="center"/>
              <w:rPr>
                <w:rFonts w:ascii="Calibri" w:hAnsi="Calibri" w:cs="Calibri"/>
                <w:color w:val="000000"/>
                <w:sz w:val="22"/>
                <w:lang w:val="en"/>
              </w:rPr>
            </w:pPr>
            <w:r>
              <w:rPr>
                <w:rFonts w:cs="Calibri"/>
                <w:color w:val="000000"/>
                <w:sz w:val="22"/>
                <w:lang w:val="en"/>
              </w:rPr>
            </w:r>
          </w:p>
        </w:tc>
        <w:tc>
          <w:tcPr>
            <w:tcW w:w="1370"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i/>
                <w:i/>
                <w:color w:val="000000"/>
                <w:lang w:val="en"/>
              </w:rPr>
            </w:pPr>
            <w:r>
              <w:rPr>
                <w:rFonts w:cs="Times New Roman" w:ascii="Times New Roman" w:hAnsi="Times New Roman"/>
                <w:i/>
                <w:color w:val="000000"/>
                <w:lang w:val="en"/>
              </w:rPr>
              <w:t>2010</w:t>
            </w:r>
          </w:p>
        </w:tc>
        <w:tc>
          <w:tcPr>
            <w:tcW w:w="1376"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i/>
                <w:i/>
                <w:color w:val="000000"/>
                <w:lang w:val="en"/>
              </w:rPr>
            </w:pPr>
            <w:r>
              <w:rPr>
                <w:rFonts w:cs="Times New Roman" w:ascii="Times New Roman" w:hAnsi="Times New Roman"/>
                <w:i/>
                <w:color w:val="000000"/>
                <w:lang w:val="en"/>
              </w:rPr>
              <w:t>2016</w:t>
            </w:r>
          </w:p>
        </w:tc>
        <w:tc>
          <w:tcPr>
            <w:tcW w:w="913"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i/>
                <w:i/>
                <w:color w:val="000000"/>
                <w:lang w:val="en"/>
              </w:rPr>
            </w:pPr>
            <w:r>
              <w:rPr>
                <w:rFonts w:cs="Times New Roman" w:ascii="Times New Roman" w:hAnsi="Times New Roman"/>
                <w:i/>
                <w:color w:val="000000"/>
                <w:lang w:val="en"/>
              </w:rPr>
              <w:t>2017</w:t>
            </w:r>
          </w:p>
        </w:tc>
        <w:tc>
          <w:tcPr>
            <w:tcW w:w="957"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i/>
                <w:i/>
                <w:color w:val="000000"/>
                <w:lang w:val="en"/>
              </w:rPr>
            </w:pPr>
            <w:r>
              <w:rPr>
                <w:rFonts w:cs="Times New Roman" w:ascii="Times New Roman" w:hAnsi="Times New Roman"/>
                <w:i/>
                <w:color w:val="000000"/>
                <w:lang w:val="en"/>
              </w:rPr>
              <w:t>2018</w:t>
            </w:r>
          </w:p>
        </w:tc>
        <w:tc>
          <w:tcPr>
            <w:tcW w:w="962"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Times New Roman" w:hAnsi="Times New Roman" w:cs="Times New Roman"/>
                <w:i/>
                <w:i/>
                <w:color w:val="000000"/>
                <w:lang w:val="uk-UA"/>
              </w:rPr>
            </w:pPr>
            <w:r>
              <w:rPr>
                <w:rFonts w:cs="Times New Roman" w:ascii="Times New Roman" w:hAnsi="Times New Roman"/>
                <w:i/>
                <w:color w:val="000000"/>
                <w:lang w:val="uk-UA"/>
              </w:rPr>
              <w:t>2019</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Забрано води з природних водних об’єктів – всього</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19,4</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18,7</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19,0</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19,7</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18,2</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6"/>
              <w:rPr>
                <w:rFonts w:ascii="Times New Roman CYR" w:hAnsi="Times New Roman CYR" w:cs="Times New Roman CYR"/>
                <w:color w:val="000000"/>
                <w:lang w:val="uk-UA"/>
              </w:rPr>
            </w:pPr>
            <w:r>
              <w:rPr>
                <w:rFonts w:cs="Times New Roman CYR" w:ascii="Times New Roman CYR" w:hAnsi="Times New Roman CYR"/>
                <w:color w:val="000000"/>
                <w:lang w:val="uk-UA"/>
              </w:rPr>
              <w:t>з поверхневих джерел</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0,9</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2,0</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2,2</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2,0</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1,4</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6"/>
              <w:rPr>
                <w:rFonts w:ascii="Times New Roman CYR" w:hAnsi="Times New Roman CYR" w:cs="Times New Roman CYR"/>
                <w:color w:val="000000"/>
                <w:lang w:val="uk-UA"/>
              </w:rPr>
            </w:pPr>
            <w:r>
              <w:rPr>
                <w:rFonts w:cs="Times New Roman CYR" w:ascii="Times New Roman CYR" w:hAnsi="Times New Roman CYR"/>
                <w:color w:val="000000"/>
                <w:lang w:val="uk-UA"/>
              </w:rPr>
              <w:t>з підземних джерел</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18,5</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16,7</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16,8</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17,7</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16,8</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Використано свіжої води</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15,1</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12,7</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14,6</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14,3</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13,3</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у тому числі на</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питні і санітарно-гігієнічні потреби</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12,6</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8,0</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9,1</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9,1</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8,7</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виробничі потреби</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2,5</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4,7</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5,5</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5,2</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4,6</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Втрати води при транспортуванні</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4,3</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6,0</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4,4</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5,4</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4,8</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Оборотне та повторно-послідовне водопостачання</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14,3</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2,9</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5,4</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5,4</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3,6</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Частка оборотної та послідовно використаної води, у %</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85,2</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38,0</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49,6</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50,9</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44,0</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Загальне водовідведення</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13,6</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16,5</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16,6</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15,7</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15.8</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142"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 xml:space="preserve">у тому числі </w:t>
            </w:r>
          </w:p>
          <w:p>
            <w:pPr>
              <w:pStyle w:val="Normal"/>
              <w:widowControl w:val="false"/>
              <w:spacing w:lineRule="atLeast" w:line="260"/>
              <w:ind w:left="142"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у поверхневі водні об'єкти</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13,1</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16,0</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15,9</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15,1</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15,3</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284"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з них</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284"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нормативно очищених</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12,5</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14,2</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14,0</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13,5</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14.,</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284"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забруднених</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0,6</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0,4</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0,4</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425"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з них</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napToGrid w:val="false"/>
              <w:spacing w:lineRule="atLeast" w:line="260"/>
              <w:jc w:val="center"/>
              <w:rPr>
                <w:rFonts w:ascii="Calibri" w:hAnsi="Calibri" w:cs="Calibri"/>
                <w:color w:val="000000"/>
                <w:sz w:val="22"/>
                <w:lang w:val="en"/>
              </w:rPr>
            </w:pPr>
            <w:r>
              <w:rPr>
                <w:rFonts w:cs="Calibri"/>
                <w:color w:val="000000"/>
                <w:sz w:val="22"/>
                <w:lang w:val="en"/>
              </w:rPr>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425"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недостатньо очищених</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425"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без очищення</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0,6</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0,4</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0,4</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ind w:left="284" w:right="0" w:hanging="0"/>
              <w:rPr>
                <w:rFonts w:ascii="Times New Roman CYR" w:hAnsi="Times New Roman CYR" w:cs="Times New Roman CYR"/>
                <w:color w:val="000000"/>
                <w:lang w:val="uk-UA"/>
              </w:rPr>
            </w:pPr>
            <w:r>
              <w:rPr>
                <w:rFonts w:cs="Times New Roman CYR" w:ascii="Times New Roman CYR" w:hAnsi="Times New Roman CYR"/>
                <w:color w:val="000000"/>
                <w:lang w:val="uk-UA"/>
              </w:rPr>
              <w:t>нормативно чистих без очистки</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0,0</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1,8</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1,9</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1,2</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0,8</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rFonts w:ascii="Times New Roman CYR" w:hAnsi="Times New Roman CYR" w:cs="Times New Roman CYR"/>
                <w:color w:val="000000"/>
                <w:lang w:val="uk-UA"/>
              </w:rPr>
            </w:pPr>
            <w:r>
              <w:rPr>
                <w:rFonts w:cs="Times New Roman CYR" w:ascii="Times New Roman CYR" w:hAnsi="Times New Roman CYR"/>
                <w:color w:val="000000"/>
                <w:lang w:val="uk-UA"/>
              </w:rPr>
              <w:t>Частка забруднених вод у загальному обсязі скидання зворотних вод у поверхневі водні об’єкти, у %</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4,8</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2,8</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2,8</w:t>
            </w:r>
          </w:p>
        </w:tc>
      </w:tr>
      <w:tr>
        <w:trPr>
          <w:trHeight w:val="23" w:hRule="atLeast"/>
        </w:trPr>
        <w:tc>
          <w:tcPr>
            <w:tcW w:w="41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rPr/>
            </w:pPr>
            <w:r>
              <w:rPr>
                <w:rFonts w:cs="Times New Roman CYR" w:ascii="Times New Roman CYR" w:hAnsi="Times New Roman CYR"/>
                <w:color w:val="000000"/>
                <w:lang w:val="uk-UA"/>
              </w:rPr>
              <w:t xml:space="preserve">Потужність очисних споруд </w:t>
            </w:r>
            <w:r>
              <w:rPr>
                <w:rFonts w:cs="Times New Roman CYR" w:ascii="Times New Roman CYR" w:hAnsi="Times New Roman CYR"/>
                <w:color w:val="000000"/>
                <w:vertAlign w:val="superscript"/>
                <w:lang w:val="uk-UA"/>
              </w:rPr>
              <w:t>1</w:t>
            </w:r>
          </w:p>
        </w:tc>
        <w:tc>
          <w:tcPr>
            <w:tcW w:w="1370"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45,3</w:t>
            </w:r>
          </w:p>
        </w:tc>
        <w:tc>
          <w:tcPr>
            <w:tcW w:w="1376"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45,8</w:t>
            </w:r>
          </w:p>
        </w:tc>
        <w:tc>
          <w:tcPr>
            <w:tcW w:w="913"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51,5</w:t>
            </w:r>
          </w:p>
        </w:tc>
        <w:tc>
          <w:tcPr>
            <w:tcW w:w="957" w:type="dxa"/>
            <w:tcBorders>
              <w:top w:val="single" w:sz="2" w:space="0" w:color="000000"/>
              <w:left w:val="single" w:sz="2" w:space="0" w:color="000000"/>
              <w:bottom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en"/>
              </w:rPr>
            </w:pPr>
            <w:r>
              <w:rPr>
                <w:rFonts w:cs="Times New Roman" w:ascii="Times New Roman" w:hAnsi="Times New Roman"/>
                <w:color w:val="000000"/>
                <w:lang w:val="en"/>
              </w:rPr>
              <w:t>51,5</w:t>
            </w:r>
          </w:p>
        </w:tc>
        <w:tc>
          <w:tcPr>
            <w:tcW w:w="962" w:type="dxa"/>
            <w:tcBorders>
              <w:top w:val="single" w:sz="2" w:space="0" w:color="000000"/>
              <w:left w:val="single" w:sz="2" w:space="0" w:color="000000"/>
              <w:bottom w:val="single" w:sz="2" w:space="0" w:color="000000"/>
              <w:right w:val="single" w:sz="2" w:space="0" w:color="000000"/>
            </w:tcBorders>
            <w:shd w:fill="auto" w:val="clear"/>
            <w:vAlign w:val="bottom"/>
          </w:tcPr>
          <w:p>
            <w:pPr>
              <w:pStyle w:val="Normal"/>
              <w:widowControl w:val="false"/>
              <w:spacing w:lineRule="atLeast" w:line="260"/>
              <w:jc w:val="center"/>
              <w:rPr>
                <w:rFonts w:ascii="Times New Roman" w:hAnsi="Times New Roman" w:cs="Times New Roman"/>
                <w:color w:val="000000"/>
                <w:lang w:val="uk-UA"/>
              </w:rPr>
            </w:pPr>
            <w:r>
              <w:rPr>
                <w:rFonts w:cs="Times New Roman" w:ascii="Times New Roman" w:hAnsi="Times New Roman"/>
                <w:color w:val="000000"/>
                <w:lang w:val="uk-UA"/>
              </w:rPr>
              <w:t>52.4</w:t>
            </w:r>
          </w:p>
        </w:tc>
      </w:tr>
    </w:tbl>
    <w:p>
      <w:pPr>
        <w:pStyle w:val="Normal"/>
        <w:widowControl w:val="false"/>
        <w:spacing w:lineRule="auto" w:line="240" w:before="0" w:after="0"/>
        <w:ind w:left="0" w:right="0" w:firstLine="709"/>
        <w:jc w:val="both"/>
        <w:rPr>
          <w:rFonts w:ascii="Times New Roman" w:hAnsi="Times New Roman" w:eastAsia="Times New Roman" w:cs="Times New Roman"/>
          <w:b w:val="false"/>
          <w:b w:val="false"/>
          <w:bCs w:val="false"/>
          <w:i w:val="false"/>
          <w:i w:val="false"/>
          <w:caps w:val="false"/>
          <w:smallCaps w:val="false"/>
          <w:color w:val="000000"/>
          <w:spacing w:val="0"/>
          <w:sz w:val="28"/>
          <w:szCs w:val="28"/>
          <w:highlight w:val="white"/>
          <w:lang w:val="uk-UA"/>
        </w:rPr>
      </w:pP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r>
    </w:p>
    <w:p>
      <w:pPr>
        <w:pStyle w:val="Normal"/>
        <w:widowControl w:val="false"/>
        <w:spacing w:lineRule="auto" w:line="240" w:before="0" w:after="0"/>
        <w:ind w:left="0" w:right="0" w:firstLine="709"/>
        <w:jc w:val="both"/>
        <w:rPr/>
      </w:pP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t xml:space="preserve">Основним джерелом господарсько-питного водопостачання міста є підземні води Луцького родовища.  Біля 90% об’єму  забраних природних вод - це підземні води. </w:t>
      </w:r>
      <w:r>
        <w:rPr>
          <w:rFonts w:eastAsia="Times New Roman" w:cs="Times New Roman CYR" w:ascii="Times New Roman CYR" w:hAnsi="Times New Roman CYR"/>
          <w:b w:val="false"/>
          <w:bCs w:val="false"/>
          <w:i w:val="false"/>
          <w:caps w:val="false"/>
          <w:smallCaps w:val="false"/>
          <w:color w:val="000000"/>
          <w:spacing w:val="0"/>
          <w:sz w:val="28"/>
          <w:szCs w:val="28"/>
          <w:highlight w:val="white"/>
          <w:lang w:val="uk-UA"/>
        </w:rPr>
        <w:t xml:space="preserve">Системою централізованого водопостачання охоплено 83,3% населення обласного центру; решта населення користується трубчастими і шахтними колодязями. В районах садибної забудови частково  використовується водоносний горизонт четвертинних відкладів, чутливий до техногенного забруднення. В межах Княгининівського старостинського округу спостерігається погіршення якості питної води у колодязях через вплив полігону твердих побутових відходів. </w:t>
      </w:r>
    </w:p>
    <w:p>
      <w:pPr>
        <w:pStyle w:val="Normal"/>
        <w:widowControl w:val="false"/>
        <w:spacing w:lineRule="auto" w:line="240" w:before="0" w:after="0"/>
        <w:ind w:left="0" w:right="0" w:firstLine="709"/>
        <w:jc w:val="both"/>
        <w:rPr/>
      </w:pPr>
      <w:r>
        <w:rPr>
          <w:rFonts w:eastAsia="Times New Roman" w:cs="Times New Roman CYR" w:ascii="Times New Roman CYR" w:hAnsi="Times New Roman CYR"/>
          <w:b w:val="false"/>
          <w:bCs w:val="false"/>
          <w:i w:val="false"/>
          <w:caps w:val="false"/>
          <w:smallCaps w:val="false"/>
          <w:color w:val="000000"/>
          <w:spacing w:val="0"/>
          <w:sz w:val="28"/>
          <w:szCs w:val="28"/>
          <w:highlight w:val="white"/>
          <w:lang w:val="uk-UA"/>
        </w:rPr>
        <w:t xml:space="preserve">Самостійні підземні водозабори мають 19 підприємств та господарських об’єктів. </w:t>
      </w: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 xml:space="preserve">Самостійні поверхневі водозабори (з р. Стир, р. Чорногузка) мають 4 підприємства. </w:t>
      </w:r>
    </w:p>
    <w:p>
      <w:pPr>
        <w:pStyle w:val="Normal"/>
        <w:ind w:left="0" w:right="0" w:firstLine="709"/>
        <w:jc w:val="both"/>
        <w:rPr/>
      </w:pPr>
      <w:r>
        <w:rPr>
          <w:rFonts w:cs="Times New Roman CYR" w:ascii="Times New Roman CYR" w:hAnsi="Times New Roman CYR"/>
          <w:color w:val="000000"/>
          <w:sz w:val="28"/>
          <w:szCs w:val="28"/>
          <w:lang w:val="uk-UA"/>
        </w:rPr>
        <w:t xml:space="preserve">Стан водовідведення потребує вжиття невідкладних заходів із реконструкції інфраструктури, модернізації технологій очищення стічних вод, виведення з експлуатації непридатних споруд. </w:t>
      </w:r>
    </w:p>
    <w:p>
      <w:pPr>
        <w:pStyle w:val="Normal"/>
        <w:widowControl w:val="false"/>
        <w:spacing w:lineRule="auto" w:line="240" w:before="0" w:after="0"/>
        <w:ind w:left="0" w:right="0" w:firstLine="709"/>
        <w:jc w:val="both"/>
        <w:rPr/>
      </w:pP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 xml:space="preserve">Власні очисні споруди мають ТзОВ „Луцька картонно-паперова фабрика” та  ПАТ „Гнідавський цукровий завод”(розміщений на межі з містом), який після попереднього очищення промислових вод скидає стічні води на поля фільтрації площею 95,83 га. Очисні споруди зливових стоків мають </w:t>
      </w: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t xml:space="preserve">АТ </w:t>
      </w: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w:t>
      </w: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t xml:space="preserve">АК </w:t>
      </w: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w:t>
      </w: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t>Богдан Моторс”,</w:t>
      </w: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 xml:space="preserve"> ПАТ „СКФ Україна” та ДП МОУ ЛРЗ  „Мотор</w:t>
      </w:r>
      <w:r>
        <w:rPr>
          <w:rFonts w:eastAsia="Times New Roman" w:cs="Times New Roman" w:ascii="Times New Roman" w:hAnsi="Times New Roman"/>
          <w:b w:val="false"/>
          <w:bCs w:val="false"/>
          <w:i w:val="false"/>
          <w:caps w:val="false"/>
          <w:smallCaps w:val="false"/>
          <w:color w:val="000000"/>
          <w:spacing w:val="0"/>
          <w:sz w:val="28"/>
          <w:szCs w:val="28"/>
          <w:highlight w:val="white"/>
          <w:lang w:val="uk-UA"/>
        </w:rPr>
        <w:t>”</w:t>
      </w:r>
      <w:r>
        <w:rPr>
          <w:rFonts w:eastAsia="Times New Roman" w:cs="Times New Roman" w:ascii="Times New Roman" w:hAnsi="Times New Roman"/>
          <w:b w:val="false"/>
          <w:bCs w:val="false"/>
          <w:i w:val="false"/>
          <w:caps w:val="false"/>
          <w:smallCaps w:val="false"/>
          <w:color w:val="000000"/>
          <w:spacing w:val="-4"/>
          <w:sz w:val="28"/>
          <w:szCs w:val="28"/>
          <w:highlight w:val="white"/>
          <w:lang w:val="ru-RU"/>
        </w:rPr>
        <w:t xml:space="preserve">. </w:t>
      </w:r>
      <w:r>
        <w:rPr>
          <w:rFonts w:eastAsia="Times New Roman" w:cs="Times New Roman" w:ascii="Times New Roman" w:hAnsi="Times New Roman"/>
          <w:b w:val="false"/>
          <w:bCs w:val="false"/>
          <w:i w:val="false"/>
          <w:caps w:val="false"/>
          <w:smallCaps w:val="false"/>
          <w:color w:val="000000"/>
          <w:spacing w:val="-4"/>
          <w:sz w:val="28"/>
          <w:szCs w:val="28"/>
          <w:highlight w:val="white"/>
          <w:lang w:val="uk-UA"/>
        </w:rPr>
        <w:t xml:space="preserve">Території ряду підприємств, в основному транспортних, обладнані відстійниками перед скидом у міську каналізаційну мережу. Переважна більшість мийок автотранспорту обладнані МОС (малими очисними спорудами). </w:t>
      </w: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Інші промислові підприємства після попереднього очищення скидають стічні води у міську каналізацію.</w:t>
      </w:r>
    </w:p>
    <w:p>
      <w:pPr>
        <w:pStyle w:val="Normal"/>
        <w:widowControl w:val="false"/>
        <w:spacing w:lineRule="auto" w:line="240" w:before="0" w:after="0"/>
        <w:ind w:left="0" w:right="0" w:firstLine="709"/>
        <w:jc w:val="both"/>
        <w:rPr/>
      </w:pP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В процесі експлуатації об’єктів водовідведення спостерігаються різні негативні впливи на навколишнє природне середовище: забруднення річок та водойм за рахунок скидів недостатньо очищених вод, порушення герметичності мереж, аварійні ситуації на мережах, недотримання споживачами гранично-допустимих концентрацій шкідливих речовин у стоках.</w:t>
      </w:r>
    </w:p>
    <w:p>
      <w:pPr>
        <w:pStyle w:val="Normal"/>
        <w:widowControl w:val="false"/>
        <w:spacing w:lineRule="auto" w:line="240" w:before="0" w:after="0"/>
        <w:ind w:left="0" w:right="0" w:firstLine="709"/>
        <w:jc w:val="both"/>
        <w:rPr>
          <w:rFonts w:ascii="Times New Roman CYR" w:hAnsi="Times New Roman CYR" w:cs="Times New Roman CYR"/>
          <w:b w:val="false"/>
          <w:b w:val="false"/>
          <w:bCs w:val="false"/>
          <w:i/>
          <w:i/>
          <w:color w:val="000000"/>
          <w:sz w:val="28"/>
          <w:szCs w:val="28"/>
          <w:lang w:val="uk-UA"/>
        </w:rPr>
      </w:pP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З утворення міської територіальної громади суттєво збільшилась площа земель водного фонду та водних об’єктів, які потребують обліку, виготовлення відповідної документації та утримання в належному санітарно-екологічному стані. До кінця 2021 року триває інвентаризація водних об’єктів, гідроспоруд та умов водокористування.</w:t>
      </w:r>
    </w:p>
    <w:p>
      <w:pPr>
        <w:pStyle w:val="Normal"/>
        <w:widowControl w:val="false"/>
        <w:tabs>
          <w:tab w:val="clear" w:pos="306"/>
          <w:tab w:val="left" w:pos="708" w:leader="none"/>
          <w:tab w:val="left" w:pos="900" w:leader="none"/>
        </w:tabs>
        <w:spacing w:lineRule="auto" w:line="240" w:before="0" w:after="0"/>
        <w:ind w:left="0" w:right="0" w:firstLine="709"/>
        <w:jc w:val="both"/>
        <w:rPr/>
      </w:pPr>
      <w:r>
        <w:rPr>
          <w:rFonts w:eastAsia="Times New Roman" w:cs="Times New Roman CYR" w:ascii="Times New Roman CYR" w:hAnsi="Times New Roman CYR"/>
          <w:b w:val="false"/>
          <w:bCs w:val="false"/>
          <w:i w:val="false"/>
          <w:caps w:val="false"/>
          <w:smallCaps w:val="false"/>
          <w:color w:val="000000"/>
          <w:spacing w:val="-4"/>
          <w:sz w:val="28"/>
          <w:szCs w:val="28"/>
          <w:highlight w:val="white"/>
          <w:lang w:val="uk-UA"/>
        </w:rPr>
        <w:t xml:space="preserve">Для оздоровлення річок/водойм та покращення їх гідрологічного режиму за останні роки проведені роботи  з відновлення гідрологічного режиму та санітарного стану р. Сапалаївка, комплекс заходів з благоустрою Теремнівських ставків, створення пляжної зони; розчищення русла р. Стир, розчищення каналів, пляжів, стариці р. Стир у с. Жидичин від надмірної водної рослинності, відновлено водність ставів в смт Рокині; щороку проводиться зариблення водних об’єктів рослиноїдними видами риб з метою біологічної меліорації водойми та відновлення біорізноманіття водойми. </w:t>
      </w:r>
    </w:p>
    <w:p>
      <w:pPr>
        <w:pStyle w:val="2"/>
        <w:widowControl w:val="false"/>
        <w:numPr>
          <w:ilvl w:val="1"/>
          <w:numId w:val="2"/>
        </w:numPr>
        <w:spacing w:lineRule="auto" w:line="240" w:before="80" w:after="0"/>
        <w:ind w:left="0" w:right="0" w:firstLine="425"/>
        <w:jc w:val="left"/>
        <w:rPr/>
      </w:pPr>
      <w:r>
        <w:rPr>
          <w:rFonts w:eastAsia="Times New Roman" w:cs="Times New Roman" w:ascii="Times New Roman" w:hAnsi="Times New Roman"/>
          <w:b w:val="false"/>
          <w:bCs w:val="false"/>
          <w:i w:val="false"/>
          <w:caps w:val="false"/>
          <w:smallCaps w:val="false"/>
          <w:color w:val="000000"/>
          <w:spacing w:val="-4"/>
          <w:sz w:val="28"/>
          <w:szCs w:val="28"/>
          <w:highlight w:val="white"/>
          <w:lang w:val="uk-UA" w:eastAsia="ru-RU"/>
        </w:rPr>
        <w:t xml:space="preserve"> </w:t>
      </w:r>
      <w:r>
        <w:rPr>
          <w:rFonts w:eastAsia="Times New Roman" w:cs="Times New Roman" w:ascii="Times New Roman" w:hAnsi="Times New Roman"/>
          <w:b/>
          <w:bCs/>
          <w:i w:val="false"/>
          <w:caps w:val="false"/>
          <w:smallCaps w:val="false"/>
          <w:color w:val="000000"/>
          <w:spacing w:val="-4"/>
          <w:sz w:val="28"/>
          <w:szCs w:val="28"/>
          <w:highlight w:val="white"/>
          <w:lang w:val="uk-UA" w:eastAsia="ru-RU"/>
        </w:rPr>
        <w:t>Стан ґрунтів</w:t>
      </w:r>
    </w:p>
    <w:p>
      <w:pPr>
        <w:pStyle w:val="Normal"/>
        <w:widowControl w:val="false"/>
        <w:spacing w:before="0" w:after="0"/>
        <w:ind w:left="0" w:right="0" w:firstLine="425"/>
        <w:jc w:val="both"/>
        <w:rPr/>
      </w:pPr>
      <w:r>
        <w:rPr>
          <w:rFonts w:eastAsia="Times New Roman" w:cs="Times New Roman" w:ascii="Times New Roman" w:hAnsi="Times New Roman"/>
          <w:color w:val="000000"/>
          <w:sz w:val="28"/>
          <w:szCs w:val="28"/>
          <w:lang w:val="uk-UA" w:eastAsia="ru-RU"/>
        </w:rPr>
        <w:t xml:space="preserve">Забруднення </w:t>
      </w:r>
      <w:r>
        <w:rPr>
          <w:rFonts w:cs="Times New Roman" w:ascii="Times New Roman" w:hAnsi="Times New Roman"/>
          <w:color w:val="000000"/>
          <w:sz w:val="28"/>
          <w:szCs w:val="28"/>
          <w:lang w:val="uk-UA" w:eastAsia="en-US"/>
        </w:rPr>
        <w:t>ґ</w:t>
      </w:r>
      <w:r>
        <w:rPr>
          <w:rFonts w:eastAsia="Times New Roman" w:cs="Times New Roman" w:ascii="Times New Roman" w:hAnsi="Times New Roman"/>
          <w:color w:val="000000"/>
          <w:sz w:val="28"/>
          <w:szCs w:val="28"/>
          <w:lang w:val="uk-UA" w:eastAsia="ru-RU"/>
        </w:rPr>
        <w:t xml:space="preserve">рунтів є важливим показником забруднення міста в цілому, тому що викиди в атмосферне повітря від промислових підприємств і пил з доріг та прилеглих сільгоспугідь, в підсумку, осідають на поверхню </w:t>
      </w:r>
      <w:r>
        <w:rPr>
          <w:rFonts w:cs="Times New Roman" w:ascii="Times New Roman" w:hAnsi="Times New Roman"/>
          <w:color w:val="000000"/>
          <w:sz w:val="28"/>
          <w:szCs w:val="28"/>
          <w:lang w:val="uk-UA" w:eastAsia="en-US"/>
        </w:rPr>
        <w:t>ґ</w:t>
      </w:r>
      <w:r>
        <w:rPr>
          <w:rFonts w:eastAsia="Times New Roman" w:cs="Times New Roman" w:ascii="Times New Roman" w:hAnsi="Times New Roman"/>
          <w:color w:val="000000"/>
          <w:sz w:val="28"/>
          <w:szCs w:val="28"/>
          <w:lang w:val="uk-UA" w:eastAsia="ru-RU"/>
        </w:rPr>
        <w:t>рунту.</w:t>
      </w:r>
    </w:p>
    <w:p>
      <w:pPr>
        <w:pStyle w:val="Normal"/>
        <w:widowControl w:val="false"/>
        <w:spacing w:before="0" w:after="0"/>
        <w:ind w:left="0" w:right="0" w:firstLine="425"/>
        <w:jc w:val="both"/>
        <w:rPr/>
      </w:pPr>
      <w:r>
        <w:rPr>
          <w:rFonts w:eastAsia="Times New Roman" w:cs="Times New Roman" w:ascii="Times New Roman" w:hAnsi="Times New Roman"/>
          <w:color w:val="000000"/>
          <w:kern w:val="2"/>
          <w:sz w:val="28"/>
          <w:szCs w:val="28"/>
          <w:lang w:val="uk-UA" w:eastAsia="ru-RU" w:bidi="hi-IN"/>
        </w:rPr>
        <w:t xml:space="preserve">Аналіз забруднення </w:t>
      </w:r>
      <w:r>
        <w:rPr>
          <w:rFonts w:eastAsia="Times New Roman" w:cs="Times New Roman" w:ascii="Times New Roman" w:hAnsi="Times New Roman"/>
          <w:color w:val="000000"/>
          <w:sz w:val="28"/>
          <w:szCs w:val="28"/>
          <w:lang w:val="uk-UA" w:eastAsia="ru-RU"/>
        </w:rPr>
        <w:t xml:space="preserve">ґрунтів проводився по вмісту важких металів (залізо, марганець, цинк, нікель, хром, мідь). В зв’язку з тим, що важкі метали мають вкрай негативний вплив на здоров’я населення й, в першу чергу, на дітей, при виборі точок відбору основна увага приділялася територіям дитячих садків -  5 точок з 10-ти. </w:t>
      </w:r>
    </w:p>
    <w:p>
      <w:pPr>
        <w:pStyle w:val="Normal"/>
        <w:spacing w:before="0" w:after="0"/>
        <w:ind w:left="0" w:right="0" w:firstLine="567"/>
        <w:jc w:val="both"/>
        <w:rPr/>
      </w:pPr>
      <w:r>
        <w:rPr>
          <w:rFonts w:eastAsia="Times New Roman" w:cs="Times New Roman" w:ascii="Times New Roman" w:hAnsi="Times New Roman"/>
          <w:color w:val="000000"/>
          <w:sz w:val="28"/>
          <w:szCs w:val="28"/>
          <w:lang w:val="uk-UA" w:eastAsia="ru-RU" w:bidi="hi-IN"/>
        </w:rPr>
        <w:t>З наведених результатів можна зробити висновок, що в селітебній зоні міста Луцька, в точках в яких проводилися дослідження</w:t>
      </w:r>
      <w:r>
        <w:rPr>
          <w:rFonts w:cs="Times New Roman" w:ascii="Times New Roman" w:hAnsi="Times New Roman"/>
          <w:color w:val="000000"/>
          <w:sz w:val="28"/>
          <w:szCs w:val="28"/>
          <w:lang w:val="uk-UA" w:eastAsia="en-US" w:bidi="hi-IN"/>
        </w:rPr>
        <w:t xml:space="preserve"> забруднення ґрунтів важкими металами, їх вміст  не перевищує ГДК. </w:t>
      </w:r>
    </w:p>
    <w:p>
      <w:pPr>
        <w:pStyle w:val="Normal"/>
        <w:spacing w:before="0" w:after="0"/>
        <w:ind w:left="0" w:right="0" w:firstLine="567"/>
        <w:jc w:val="both"/>
        <w:rPr/>
      </w:pPr>
      <w:r>
        <w:rPr>
          <w:rFonts w:cs="Times New Roman" w:ascii="Times New Roman" w:hAnsi="Times New Roman"/>
          <w:color w:val="000000"/>
          <w:sz w:val="28"/>
          <w:szCs w:val="28"/>
          <w:lang w:val="uk-UA" w:eastAsia="en-US" w:bidi="hi-IN"/>
        </w:rPr>
        <w:t xml:space="preserve">В цілому стан ґрунтового середовища міста у селітебних територіях задовільний, за винятком потенційних локальних осередків забруднення, які можливі в місцях накопичення комунально-побутових відходів та викидів транспорту, виробничих майданчиків, які потребують санітарного благоустрою. У випадку несвоєчасного збирання та знешкодження сміття можливе механічне забруднення ґрунтів, локалізованими джерелами якого є не санкційовані звалища. </w:t>
      </w:r>
      <w:r>
        <w:rPr>
          <w:rFonts w:eastAsia="Times New Roman" w:cs="Times New Roman" w:ascii="Times New Roman" w:hAnsi="Times New Roman"/>
          <w:b w:val="false"/>
          <w:bCs w:val="false"/>
          <w:i w:val="false"/>
          <w:caps w:val="false"/>
          <w:smallCaps w:val="false"/>
          <w:color w:val="000000"/>
          <w:spacing w:val="-4"/>
          <w:sz w:val="28"/>
          <w:szCs w:val="28"/>
          <w:highlight w:val="white"/>
          <w:lang w:val="uk-UA" w:eastAsia="en-US"/>
        </w:rPr>
        <w:t xml:space="preserve">Однак, в окремих точках: вул. Ковельська, 52 (дитячий майданчик) -22,6 </w:t>
      </w:r>
      <w:r>
        <w:rPr>
          <w:rFonts w:eastAsia="Times New Roman" w:cs="Times New Roman" w:ascii="Times New Roman" w:hAnsi="Times New Roman"/>
          <w:b w:val="false"/>
          <w:bCs w:val="false"/>
          <w:i w:val="false"/>
          <w:caps w:val="false"/>
          <w:smallCaps w:val="false"/>
          <w:color w:val="000000"/>
          <w:spacing w:val="-4"/>
          <w:sz w:val="28"/>
          <w:szCs w:val="28"/>
          <w:highlight w:val="white"/>
          <w:lang w:val="uk-UA" w:eastAsia="ru-RU"/>
        </w:rPr>
        <w:t>мг/кг (0,98 ГДК)</w:t>
      </w:r>
      <w:r>
        <w:rPr>
          <w:rFonts w:eastAsia="Times New Roman" w:cs="Times New Roman" w:ascii="Times New Roman" w:hAnsi="Times New Roman"/>
          <w:b w:val="false"/>
          <w:bCs w:val="false"/>
          <w:i w:val="false"/>
          <w:caps w:val="false"/>
          <w:smallCaps w:val="false"/>
          <w:color w:val="000000"/>
          <w:spacing w:val="-4"/>
          <w:sz w:val="28"/>
          <w:szCs w:val="28"/>
          <w:highlight w:val="white"/>
          <w:lang w:val="uk-UA" w:eastAsia="en-US"/>
        </w:rPr>
        <w:t xml:space="preserve">, вул. Шопена, 9, ЗДО № 2 «Сонечко» - </w:t>
      </w:r>
      <w:r>
        <w:rPr>
          <w:rFonts w:eastAsia="Times New Roman" w:cs="Times New Roman" w:ascii="Times New Roman" w:hAnsi="Times New Roman"/>
          <w:b w:val="false"/>
          <w:bCs w:val="false"/>
          <w:i w:val="false"/>
          <w:caps w:val="false"/>
          <w:smallCaps w:val="false"/>
          <w:color w:val="000000"/>
          <w:spacing w:val="-4"/>
          <w:sz w:val="28"/>
          <w:szCs w:val="28"/>
          <w:highlight w:val="white"/>
          <w:lang w:val="uk-UA" w:eastAsia="ru-RU"/>
        </w:rPr>
        <w:t>визначається вміст Цинку, практично, на рівні ГДК.</w:t>
      </w:r>
    </w:p>
    <w:p>
      <w:pPr>
        <w:pStyle w:val="Normal"/>
        <w:widowControl w:val="false"/>
        <w:spacing w:lineRule="auto" w:line="276"/>
        <w:ind w:left="0" w:right="-284" w:hanging="0"/>
        <w:jc w:val="right"/>
        <w:rPr>
          <w:rFonts w:ascii="Times New Roman" w:hAnsi="Times New Roman" w:cs="Times New Roman"/>
          <w:color w:val="000000"/>
          <w:sz w:val="28"/>
          <w:szCs w:val="28"/>
          <w:lang w:val="ru-RU" w:eastAsia="en-US"/>
        </w:rPr>
      </w:pPr>
      <w:r>
        <w:rPr>
          <w:rFonts w:eastAsia="Times New Roman" w:cs="Times New Roman CYR" w:ascii="Times New Roman CYR" w:hAnsi="Times New Roman CYR"/>
          <w:color w:val="000000"/>
          <w:sz w:val="28"/>
          <w:szCs w:val="28"/>
          <w:lang w:val="uk-UA" w:eastAsia="en-US"/>
        </w:rPr>
        <w:t>Таблиця 6.</w:t>
      </w:r>
    </w:p>
    <w:p>
      <w:pPr>
        <w:pStyle w:val="Normal"/>
        <w:spacing w:lineRule="auto" w:line="276"/>
        <w:ind w:left="0" w:right="0" w:firstLine="851"/>
        <w:jc w:val="center"/>
        <w:rPr>
          <w:lang w:val="uk-UA" w:eastAsia="en-US" w:bidi="hi-IN"/>
        </w:rPr>
      </w:pPr>
      <w:r>
        <w:rPr>
          <w:rFonts w:cs="Times New Roman" w:ascii="Times New Roman" w:hAnsi="Times New Roman"/>
          <w:color w:val="000000"/>
          <w:sz w:val="28"/>
          <w:szCs w:val="28"/>
          <w:lang w:val="uk-UA" w:eastAsia="en-US" w:bidi="hi-IN"/>
        </w:rPr>
        <w:t>Вміст важких металів в промислових зонах міста,(</w:t>
      </w:r>
      <w:r>
        <w:rPr>
          <w:rFonts w:eastAsia="Times New Roman" w:cs="Times New Roman" w:ascii="Times New Roman" w:hAnsi="Times New Roman"/>
          <w:color w:val="000000"/>
          <w:sz w:val="28"/>
          <w:szCs w:val="28"/>
          <w:lang w:val="uk-UA" w:eastAsia="en-US" w:bidi="hi-IN"/>
        </w:rPr>
        <w:t>мг/кг)</w:t>
      </w:r>
    </w:p>
    <w:tbl>
      <w:tblPr>
        <w:tblW w:w="9750" w:type="dxa"/>
        <w:jc w:val="left"/>
        <w:tblInd w:w="-163" w:type="dxa"/>
        <w:tblCellMar>
          <w:top w:w="0" w:type="dxa"/>
          <w:left w:w="108" w:type="dxa"/>
          <w:bottom w:w="0" w:type="dxa"/>
          <w:right w:w="108" w:type="dxa"/>
        </w:tblCellMar>
      </w:tblPr>
      <w:tblGrid>
        <w:gridCol w:w="806"/>
        <w:gridCol w:w="1909"/>
        <w:gridCol w:w="1357"/>
        <w:gridCol w:w="1125"/>
        <w:gridCol w:w="926"/>
        <w:gridCol w:w="854"/>
        <w:gridCol w:w="901"/>
        <w:gridCol w:w="912"/>
        <w:gridCol w:w="959"/>
      </w:tblGrid>
      <w:tr>
        <w:trPr/>
        <w:tc>
          <w:tcPr>
            <w:tcW w:w="806" w:type="dxa"/>
            <w:tcBorders>
              <w:top w:val="single" w:sz="4" w:space="0" w:color="000000"/>
              <w:left w:val="single" w:sz="4" w:space="0" w:color="000000"/>
              <w:bottom w:val="single" w:sz="4" w:space="0" w:color="000000"/>
            </w:tcBorders>
            <w:shd w:fill="auto" w:val="clear"/>
          </w:tcPr>
          <w:p>
            <w:pPr>
              <w:pStyle w:val="Normal"/>
              <w:jc w:val="center"/>
              <w:rPr/>
            </w:pPr>
            <w:r>
              <w:rPr>
                <w:rFonts w:cs="Times New Roman" w:ascii="Times New Roman" w:hAnsi="Times New Roman"/>
                <w:color w:val="000000"/>
                <w:lang w:eastAsia="en-US"/>
              </w:rPr>
              <w:t>№№</w:t>
            </w:r>
            <w:r>
              <w:rPr>
                <w:rFonts w:eastAsia="Times New Roman" w:cs="Times New Roman" w:ascii="Times New Roman" w:hAnsi="Times New Roman"/>
                <w:color w:val="000000"/>
                <w:lang w:eastAsia="en-US"/>
              </w:rPr>
              <w:t xml:space="preserve"> </w:t>
            </w:r>
            <w:r>
              <w:rPr>
                <w:rFonts w:cs="Times New Roman" w:ascii="Times New Roman" w:hAnsi="Times New Roman"/>
                <w:color w:val="000000"/>
                <w:lang w:eastAsia="en-US"/>
              </w:rPr>
              <w:t>проб</w:t>
            </w:r>
          </w:p>
        </w:tc>
        <w:tc>
          <w:tcPr>
            <w:tcW w:w="1909"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Промислова зона</w:t>
            </w:r>
          </w:p>
        </w:tc>
        <w:tc>
          <w:tcPr>
            <w:tcW w:w="1357" w:type="dxa"/>
            <w:tcBorders>
              <w:top w:val="single" w:sz="4" w:space="0" w:color="000000"/>
              <w:left w:val="single" w:sz="4" w:space="0" w:color="000000"/>
              <w:bottom w:val="single" w:sz="4" w:space="0" w:color="000000"/>
            </w:tcBorders>
            <w:shd w:fill="auto" w:val="clear"/>
          </w:tcPr>
          <w:p>
            <w:pPr>
              <w:pStyle w:val="Normal"/>
              <w:jc w:val="center"/>
              <w:rPr/>
            </w:pPr>
            <w:r>
              <w:rPr>
                <w:rFonts w:cs="Times New Roman" w:ascii="Times New Roman" w:hAnsi="Times New Roman"/>
                <w:color w:val="000000"/>
                <w:lang w:eastAsia="en-US"/>
              </w:rPr>
              <w:t>Механічний склад</w:t>
            </w:r>
          </w:p>
        </w:tc>
        <w:tc>
          <w:tcPr>
            <w:tcW w:w="1125"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Кадмій</w:t>
            </w:r>
          </w:p>
        </w:tc>
        <w:tc>
          <w:tcPr>
            <w:tcW w:w="92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Марга-нець</w:t>
            </w:r>
          </w:p>
        </w:tc>
        <w:tc>
          <w:tcPr>
            <w:tcW w:w="854"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Мідь</w:t>
            </w:r>
          </w:p>
        </w:tc>
        <w:tc>
          <w:tcPr>
            <w:tcW w:w="901"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Нікель</w:t>
            </w:r>
          </w:p>
        </w:tc>
        <w:tc>
          <w:tcPr>
            <w:tcW w:w="912"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Сви-нець</w:t>
            </w:r>
          </w:p>
        </w:tc>
        <w:tc>
          <w:tcPr>
            <w:tcW w:w="959"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Цинк</w:t>
            </w:r>
          </w:p>
        </w:tc>
      </w:tr>
      <w:tr>
        <w:trPr/>
        <w:tc>
          <w:tcPr>
            <w:tcW w:w="4072" w:type="dxa"/>
            <w:gridSpan w:val="3"/>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5677" w:type="dxa"/>
            <w:gridSpan w:val="6"/>
            <w:tcBorders>
              <w:top w:val="single" w:sz="4" w:space="0" w:color="000000"/>
              <w:left w:val="single" w:sz="4" w:space="0" w:color="000000"/>
              <w:bottom w:val="single" w:sz="4" w:space="0" w:color="000000"/>
              <w:right w:val="single" w:sz="4" w:space="0" w:color="000000"/>
            </w:tcBorders>
            <w:shd w:fill="auto" w:val="clear"/>
          </w:tcPr>
          <w:p>
            <w:pPr>
              <w:pStyle w:val="Normal"/>
              <w:jc w:val="center"/>
              <w:rPr/>
            </w:pPr>
            <w:r>
              <w:rPr>
                <w:rFonts w:cs="Times New Roman" w:ascii="Times New Roman" w:hAnsi="Times New Roman"/>
                <w:b/>
                <w:color w:val="000000"/>
                <w:lang w:eastAsia="en-US"/>
              </w:rPr>
              <w:t>ГДК</w:t>
            </w:r>
          </w:p>
        </w:tc>
      </w:tr>
      <w:tr>
        <w:trPr/>
        <w:tc>
          <w:tcPr>
            <w:tcW w:w="4072" w:type="dxa"/>
            <w:gridSpan w:val="3"/>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tcBorders>
              <w:left w:val="single" w:sz="4" w:space="0" w:color="000000"/>
              <w:bottom w:val="single" w:sz="4" w:space="0" w:color="000000"/>
            </w:tcBorders>
            <w:shd w:fill="auto" w:val="clear"/>
          </w:tcPr>
          <w:p>
            <w:pPr>
              <w:pStyle w:val="Normal"/>
              <w:jc w:val="center"/>
              <w:rPr/>
            </w:pPr>
            <w:r>
              <w:rPr>
                <w:rFonts w:cs="Times New Roman" w:ascii="Times New Roman" w:hAnsi="Times New Roman"/>
                <w:b/>
                <w:color w:val="000000"/>
                <w:lang w:eastAsia="en-US"/>
              </w:rPr>
              <w:t>1,0</w:t>
            </w:r>
          </w:p>
        </w:tc>
        <w:tc>
          <w:tcPr>
            <w:tcW w:w="926" w:type="dxa"/>
            <w:tcBorders>
              <w:left w:val="single" w:sz="4" w:space="0" w:color="000000"/>
              <w:bottom w:val="single" w:sz="4" w:space="0" w:color="000000"/>
            </w:tcBorders>
            <w:shd w:fill="auto" w:val="clear"/>
          </w:tcPr>
          <w:p>
            <w:pPr>
              <w:pStyle w:val="Normal"/>
              <w:jc w:val="center"/>
              <w:rPr/>
            </w:pPr>
            <w:r>
              <w:rPr>
                <w:rFonts w:cs="Times New Roman" w:ascii="Times New Roman" w:hAnsi="Times New Roman"/>
                <w:b/>
                <w:color w:val="000000"/>
                <w:lang w:eastAsia="en-US"/>
              </w:rPr>
              <w:t>1500</w:t>
            </w:r>
          </w:p>
        </w:tc>
        <w:tc>
          <w:tcPr>
            <w:tcW w:w="854" w:type="dxa"/>
            <w:tcBorders>
              <w:left w:val="single" w:sz="4" w:space="0" w:color="000000"/>
              <w:bottom w:val="single" w:sz="4" w:space="0" w:color="000000"/>
            </w:tcBorders>
            <w:shd w:fill="auto" w:val="clear"/>
          </w:tcPr>
          <w:p>
            <w:pPr>
              <w:pStyle w:val="Normal"/>
              <w:jc w:val="center"/>
              <w:rPr/>
            </w:pPr>
            <w:r>
              <w:rPr>
                <w:rFonts w:cs="Times New Roman" w:ascii="Times New Roman" w:hAnsi="Times New Roman"/>
                <w:b/>
                <w:color w:val="000000"/>
                <w:lang w:eastAsia="en-US"/>
              </w:rPr>
              <w:t>55</w:t>
            </w:r>
          </w:p>
        </w:tc>
        <w:tc>
          <w:tcPr>
            <w:tcW w:w="901" w:type="dxa"/>
            <w:tcBorders>
              <w:left w:val="single" w:sz="4" w:space="0" w:color="000000"/>
              <w:bottom w:val="single" w:sz="4" w:space="0" w:color="000000"/>
            </w:tcBorders>
            <w:shd w:fill="auto" w:val="clear"/>
          </w:tcPr>
          <w:p>
            <w:pPr>
              <w:pStyle w:val="Normal"/>
              <w:jc w:val="center"/>
              <w:rPr/>
            </w:pPr>
            <w:r>
              <w:rPr>
                <w:rFonts w:cs="Times New Roman" w:ascii="Times New Roman" w:hAnsi="Times New Roman"/>
                <w:b/>
                <w:color w:val="000000"/>
                <w:lang w:eastAsia="en-US"/>
              </w:rPr>
              <w:t>85</w:t>
            </w:r>
          </w:p>
        </w:tc>
        <w:tc>
          <w:tcPr>
            <w:tcW w:w="912" w:type="dxa"/>
            <w:tcBorders>
              <w:left w:val="single" w:sz="4" w:space="0" w:color="000000"/>
              <w:bottom w:val="single" w:sz="4" w:space="0" w:color="000000"/>
            </w:tcBorders>
            <w:shd w:fill="auto" w:val="clear"/>
          </w:tcPr>
          <w:p>
            <w:pPr>
              <w:pStyle w:val="Normal"/>
              <w:jc w:val="center"/>
              <w:rPr/>
            </w:pPr>
            <w:r>
              <w:rPr>
                <w:rFonts w:cs="Times New Roman" w:ascii="Times New Roman" w:hAnsi="Times New Roman"/>
                <w:b/>
                <w:color w:val="000000"/>
                <w:lang w:eastAsia="en-US"/>
              </w:rPr>
              <w:t>32</w:t>
            </w:r>
          </w:p>
        </w:tc>
        <w:tc>
          <w:tcPr>
            <w:tcW w:w="959" w:type="dxa"/>
            <w:tcBorders>
              <w:left w:val="single" w:sz="4" w:space="0" w:color="000000"/>
              <w:bottom w:val="single" w:sz="4" w:space="0" w:color="000000"/>
              <w:right w:val="single" w:sz="4" w:space="0" w:color="000000"/>
            </w:tcBorders>
            <w:shd w:fill="auto" w:val="clear"/>
          </w:tcPr>
          <w:p>
            <w:pPr>
              <w:pStyle w:val="Normal"/>
              <w:jc w:val="center"/>
              <w:rPr/>
            </w:pPr>
            <w:r>
              <w:rPr>
                <w:rFonts w:cs="Times New Roman" w:ascii="Times New Roman" w:hAnsi="Times New Roman"/>
                <w:b/>
                <w:color w:val="000000"/>
                <w:lang w:eastAsia="en-US"/>
              </w:rPr>
              <w:t>115</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pPr>
            <w:r>
              <w:rPr>
                <w:rFonts w:cs="Times New Roman" w:ascii="Times New Roman" w:hAnsi="Times New Roman"/>
                <w:color w:val="000000"/>
                <w:lang w:eastAsia="en-US"/>
              </w:rPr>
              <w:t xml:space="preserve">ПАТ </w:t>
            </w:r>
            <w:r>
              <w:rPr>
                <w:rFonts w:cs="Times New Roman" w:ascii="Times New Roman" w:hAnsi="Times New Roman"/>
                <w:color w:val="000000"/>
                <w:lang w:val="ru-RU" w:eastAsia="en-US"/>
              </w:rPr>
              <w:t>«</w:t>
            </w:r>
            <w:r>
              <w:rPr>
                <w:rFonts w:cs="Times New Roman" w:ascii="Times New Roman" w:hAnsi="Times New Roman"/>
                <w:color w:val="000000"/>
                <w:lang w:eastAsia="en-US"/>
              </w:rPr>
              <w:t>СКФ Україна»</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сер. суглинок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1,75</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194,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171</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5</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7</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pPr>
            <w:r>
              <w:rPr>
                <w:rFonts w:cs="Times New Roman" w:ascii="Times New Roman" w:hAnsi="Times New Roman"/>
                <w:color w:val="000000"/>
                <w:lang w:eastAsia="en-US"/>
              </w:rPr>
              <w:t>ТзОВ “Волинь-зерно-продукт”</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сер.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1,50</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43</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149</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224</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9</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lang w:val="uk-UA" w:eastAsia="en-US" w:bidi="hi-IN"/>
              </w:rPr>
            </w:pPr>
            <w:r>
              <w:rPr>
                <w:rFonts w:cs="Times New Roman" w:ascii="Times New Roman" w:hAnsi="Times New Roman"/>
                <w:color w:val="000000"/>
                <w:lang w:val="uk-UA" w:eastAsia="en-US" w:bidi="hi-IN"/>
              </w:rPr>
              <w:t>ПАТ «Гнідавський цукровий з-д</w:t>
            </w:r>
            <w:r>
              <w:rPr>
                <w:rFonts w:cs="Times New Roman" w:ascii="Times New Roman" w:hAnsi="Times New Roman"/>
                <w:color w:val="000000"/>
                <w:lang w:val="ru-RU" w:eastAsia="en-US" w:bidi="hi-IN"/>
              </w:rPr>
              <w:t>»</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сер.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1,50</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53</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82</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256</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10</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11</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14</w:t>
            </w:r>
          </w:p>
        </w:tc>
        <w:tc>
          <w:tcPr>
            <w:tcW w:w="1909" w:type="dxa"/>
            <w:tcBorders>
              <w:top w:val="single" w:sz="4" w:space="0" w:color="000000"/>
              <w:left w:val="single" w:sz="4" w:space="0" w:color="000000"/>
              <w:bottom w:val="single" w:sz="4" w:space="0" w:color="000000"/>
            </w:tcBorders>
            <w:shd w:fill="auto" w:val="clear"/>
          </w:tcPr>
          <w:p>
            <w:pPr>
              <w:pStyle w:val="Normal"/>
              <w:rPr>
                <w:lang w:val="uk-UA" w:eastAsia="en-US" w:bidi="hi-IN"/>
              </w:rPr>
            </w:pPr>
            <w:r>
              <w:rPr>
                <w:rFonts w:cs="Times New Roman" w:ascii="Times New Roman" w:hAnsi="Times New Roman"/>
                <w:color w:val="000000"/>
                <w:lang w:val="uk-UA" w:eastAsia="en-US" w:bidi="hi-IN"/>
              </w:rPr>
              <w:t xml:space="preserve">ДП </w:t>
            </w:r>
            <w:r>
              <w:rPr>
                <w:rFonts w:cs="Times New Roman" w:ascii="Times New Roman" w:hAnsi="Times New Roman"/>
                <w:color w:val="000000"/>
                <w:lang w:val="ru-RU" w:eastAsia="en-US" w:bidi="hi-IN"/>
              </w:rPr>
              <w:t>«</w:t>
            </w:r>
            <w:r>
              <w:rPr>
                <w:rFonts w:cs="Times New Roman" w:ascii="Times New Roman" w:hAnsi="Times New Roman"/>
                <w:color w:val="000000"/>
                <w:lang w:val="uk-UA" w:eastAsia="en-US" w:bidi="hi-IN"/>
              </w:rPr>
              <w:t xml:space="preserve">АСЗ №1» АТ </w:t>
            </w:r>
            <w:r>
              <w:rPr>
                <w:rFonts w:cs="Times New Roman" w:ascii="Times New Roman" w:hAnsi="Times New Roman"/>
                <w:color w:val="000000"/>
                <w:lang w:val="ru-RU" w:eastAsia="en-US" w:bidi="hi-IN"/>
              </w:rPr>
              <w:t>«</w:t>
            </w:r>
            <w:r>
              <w:rPr>
                <w:rFonts w:cs="Times New Roman" w:ascii="Times New Roman" w:hAnsi="Times New Roman"/>
                <w:color w:val="000000"/>
                <w:lang w:val="uk-UA" w:eastAsia="en-US" w:bidi="hi-IN"/>
              </w:rPr>
              <w:t xml:space="preserve">АК </w:t>
            </w:r>
            <w:r>
              <w:rPr>
                <w:rFonts w:cs="Times New Roman" w:ascii="Times New Roman" w:hAnsi="Times New Roman"/>
                <w:color w:val="000000"/>
                <w:lang w:val="ru-RU" w:eastAsia="en-US" w:bidi="hi-IN"/>
              </w:rPr>
              <w:t>«</w:t>
            </w:r>
            <w:r>
              <w:rPr>
                <w:rFonts w:cs="Times New Roman" w:ascii="Times New Roman" w:hAnsi="Times New Roman"/>
                <w:color w:val="000000"/>
                <w:lang w:val="uk-UA" w:eastAsia="en-US" w:bidi="hi-IN"/>
              </w:rPr>
              <w:t>Богдан Моторс»</w:t>
            </w:r>
          </w:p>
        </w:tc>
        <w:tc>
          <w:tcPr>
            <w:tcW w:w="1357" w:type="dxa"/>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легкий суглинок</w:t>
            </w:r>
          </w:p>
        </w:tc>
        <w:tc>
          <w:tcPr>
            <w:tcW w:w="1125" w:type="dxa"/>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383</w:t>
            </w:r>
          </w:p>
        </w:tc>
        <w:tc>
          <w:tcPr>
            <w:tcW w:w="959"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289</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val="ru-RU" w:eastAsia="en-US"/>
              </w:rPr>
            </w:pPr>
            <w:r>
              <w:rPr>
                <w:rFonts w:cs="Times New Roman" w:ascii="Times New Roman" w:hAnsi="Times New Roman"/>
                <w:color w:val="000000"/>
                <w:lang w:val="ru-RU" w:eastAsia="en-US"/>
              </w:rPr>
              <w:t xml:space="preserve">ПАТ  ЕНКО електроап.з-д. </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156</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209</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16</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17</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ПАТ «Завод Полімер»</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59</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92</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484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364</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18</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19</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pPr>
            <w:r>
              <w:rPr>
                <w:rFonts w:cs="Times New Roman" w:ascii="Times New Roman" w:hAnsi="Times New Roman"/>
                <w:color w:val="000000"/>
                <w:lang w:eastAsia="en-US"/>
              </w:rPr>
              <w:t xml:space="preserve">ТОВ </w:t>
              <w:br/>
            </w:r>
            <w:r>
              <w:rPr>
                <w:rFonts w:cs="Times New Roman" w:ascii="Times New Roman" w:hAnsi="Times New Roman"/>
                <w:color w:val="000000"/>
                <w:lang w:val="ru-RU" w:eastAsia="en-US"/>
              </w:rPr>
              <w:t>«</w:t>
            </w:r>
            <w:r>
              <w:rPr>
                <w:rFonts w:cs="Times New Roman" w:ascii="Times New Roman" w:hAnsi="Times New Roman"/>
                <w:color w:val="000000"/>
                <w:lang w:eastAsia="en-US"/>
              </w:rPr>
              <w:t>Луцькпластмас»</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1.50</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20</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22</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val="ru-RU" w:eastAsia="en-US"/>
              </w:rPr>
            </w:pPr>
            <w:r>
              <w:rPr>
                <w:rFonts w:cs="Times New Roman" w:ascii="Times New Roman" w:hAnsi="Times New Roman"/>
                <w:color w:val="000000"/>
                <w:lang w:val="ru-RU" w:eastAsia="en-US"/>
              </w:rPr>
              <w:t>Луцкий ремонтний з-д</w:t>
            </w:r>
          </w:p>
          <w:p>
            <w:pPr>
              <w:pStyle w:val="Normal"/>
              <w:rPr>
                <w:rFonts w:ascii="Times New Roman" w:hAnsi="Times New Roman" w:cs="Times New Roman"/>
                <w:color w:val="000000"/>
                <w:lang w:val="ru-RU" w:eastAsia="en-US"/>
              </w:rPr>
            </w:pPr>
            <w:r>
              <w:rPr>
                <w:rFonts w:cs="Times New Roman" w:ascii="Times New Roman" w:hAnsi="Times New Roman"/>
                <w:color w:val="000000"/>
                <w:lang w:val="ru-RU" w:eastAsia="en-US"/>
              </w:rPr>
              <w:t>«Мотор»</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 xml:space="preserve">лег.суг-к </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лег.суг-к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tc>
        <w:tc>
          <w:tcPr>
            <w:tcW w:w="1125"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66</w:t>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87</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79</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186</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491</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334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179</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23</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24</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25</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26</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ПрАТ «Електро-термометрія»</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 xml:space="preserve">лег.суг-к </w:t>
            </w:r>
          </w:p>
        </w:tc>
        <w:tc>
          <w:tcPr>
            <w:tcW w:w="1125"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1,50</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899</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117</w:t>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136</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82</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1086</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404</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27</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28</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ТзОВ «Вестпром»</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43</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270</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184</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29</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rHeight w:val="294" w:hRule="atLeast"/>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31</w:t>
            </w:r>
          </w:p>
        </w:tc>
        <w:tc>
          <w:tcPr>
            <w:tcW w:w="1909" w:type="dxa"/>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ТзОВ «Волвест»</w:t>
            </w:r>
          </w:p>
        </w:tc>
        <w:tc>
          <w:tcPr>
            <w:tcW w:w="1357" w:type="dxa"/>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сер. суг-к</w:t>
            </w:r>
          </w:p>
        </w:tc>
        <w:tc>
          <w:tcPr>
            <w:tcW w:w="1125"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26"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106</w:t>
            </w:r>
          </w:p>
        </w:tc>
        <w:tc>
          <w:tcPr>
            <w:tcW w:w="901"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104</w:t>
            </w:r>
          </w:p>
        </w:tc>
        <w:tc>
          <w:tcPr>
            <w:tcW w:w="959"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306</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32</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ТзОВ «Вог Ритейл»</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Пісок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1,25</w:t>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82</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57</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149</w:t>
            </w:r>
          </w:p>
        </w:tc>
      </w:tr>
      <w:tr>
        <w:trPr>
          <w:trHeight w:val="290" w:hRule="atLeast"/>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33</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35</w:t>
            </w:r>
          </w:p>
        </w:tc>
        <w:tc>
          <w:tcPr>
            <w:tcW w:w="1909" w:type="dxa"/>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Луцький цегельнй з-д № 2</w:t>
            </w:r>
          </w:p>
        </w:tc>
        <w:tc>
          <w:tcPr>
            <w:tcW w:w="1357" w:type="dxa"/>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t>важ. суг-к</w:t>
            </w:r>
          </w:p>
          <w:p>
            <w:pPr>
              <w:pStyle w:val="Normal"/>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53</w:t>
            </w:r>
          </w:p>
        </w:tc>
        <w:tc>
          <w:tcPr>
            <w:tcW w:w="959"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261</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36</w:t>
            </w:r>
          </w:p>
        </w:tc>
        <w:tc>
          <w:tcPr>
            <w:tcW w:w="1909" w:type="dxa"/>
            <w:vMerge w:val="restart"/>
            <w:tcBorders>
              <w:top w:val="single" w:sz="4" w:space="0" w:color="000000"/>
              <w:left w:val="single" w:sz="4" w:space="0" w:color="000000"/>
              <w:bottom w:val="single" w:sz="4" w:space="0" w:color="000000"/>
            </w:tcBorders>
            <w:shd w:fill="auto" w:val="clear"/>
          </w:tcPr>
          <w:p>
            <w:pPr>
              <w:pStyle w:val="Normal"/>
              <w:rPr>
                <w:rFonts w:ascii="Times New Roman" w:hAnsi="Times New Roman" w:cs="Times New Roman"/>
                <w:color w:val="000000"/>
                <w:lang w:eastAsia="en-US"/>
              </w:rPr>
            </w:pPr>
            <w:r>
              <w:rPr>
                <w:rFonts w:cs="Times New Roman" w:ascii="Times New Roman" w:hAnsi="Times New Roman"/>
                <w:color w:val="000000"/>
                <w:lang w:eastAsia="en-US"/>
              </w:rPr>
              <w:t>Садівниче товариство</w:t>
            </w:r>
          </w:p>
          <w:p>
            <w:pPr>
              <w:pStyle w:val="Normal"/>
              <w:rPr>
                <w:rFonts w:ascii="Times New Roman" w:hAnsi="Times New Roman" w:cs="Times New Roman"/>
                <w:color w:val="000000"/>
                <w:lang w:eastAsia="en-US"/>
              </w:rPr>
            </w:pPr>
            <w:r>
              <w:rPr>
                <w:rFonts w:cs="Times New Roman" w:ascii="Times New Roman" w:hAnsi="Times New Roman"/>
                <w:color w:val="000000"/>
                <w:lang w:eastAsia="en-US"/>
              </w:rPr>
              <w:t>«Маяк»</w:t>
            </w:r>
          </w:p>
        </w:tc>
        <w:tc>
          <w:tcPr>
            <w:tcW w:w="1357" w:type="dxa"/>
            <w:vMerge w:val="restart"/>
            <w:tcBorders>
              <w:top w:val="single" w:sz="4" w:space="0" w:color="000000"/>
              <w:left w:val="single" w:sz="4" w:space="0" w:color="000000"/>
              <w:bottom w:val="single" w:sz="4" w:space="0" w:color="000000"/>
            </w:tcBorders>
            <w:shd w:fill="auto" w:val="clear"/>
          </w:tcPr>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сер.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сер. суг-к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Пісок</w:t>
            </w:r>
          </w:p>
          <w:p>
            <w:pPr>
              <w:pStyle w:val="Normal"/>
              <w:jc w:val="both"/>
              <w:rPr>
                <w:rFonts w:ascii="Times New Roman" w:hAnsi="Times New Roman" w:cs="Times New Roman"/>
                <w:color w:val="000000"/>
                <w:lang w:val="ru-RU" w:eastAsia="en-US"/>
              </w:rPr>
            </w:pPr>
            <w:r>
              <w:rPr>
                <w:rFonts w:cs="Times New Roman" w:ascii="Times New Roman" w:hAnsi="Times New Roman"/>
                <w:color w:val="000000"/>
                <w:lang w:val="ru-RU" w:eastAsia="en-US"/>
              </w:rPr>
              <w:t>важ. суг-к</w:t>
            </w:r>
          </w:p>
        </w:tc>
        <w:tc>
          <w:tcPr>
            <w:tcW w:w="1125"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val="ru-RU" w:eastAsia="en-US"/>
              </w:rPr>
            </w:pPr>
            <w:r>
              <w:rPr>
                <w:rFonts w:cs="Times New Roman" w:ascii="Times New Roman" w:hAnsi="Times New Roman"/>
                <w:color w:val="000000"/>
                <w:lang w:val="ru-RU" w:eastAsia="en-US"/>
              </w:rPr>
            </w:r>
          </w:p>
        </w:tc>
        <w:tc>
          <w:tcPr>
            <w:tcW w:w="926"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val="ru-RU" w:eastAsia="en-US"/>
              </w:rPr>
            </w:pPr>
            <w:r>
              <w:rPr>
                <w:rFonts w:cs="Times New Roman" w:ascii="Times New Roman" w:hAnsi="Times New Roman"/>
                <w:color w:val="000000"/>
                <w:lang w:val="ru-RU" w:eastAsia="en-US"/>
              </w:rPr>
            </w:r>
          </w:p>
        </w:tc>
        <w:tc>
          <w:tcPr>
            <w:tcW w:w="854"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val="ru-RU" w:eastAsia="en-US"/>
              </w:rPr>
            </w:pPr>
            <w:r>
              <w:rPr>
                <w:rFonts w:cs="Times New Roman" w:ascii="Times New Roman" w:hAnsi="Times New Roman"/>
                <w:color w:val="000000"/>
                <w:lang w:val="ru-RU" w:eastAsia="en-US"/>
              </w:rPr>
            </w:r>
          </w:p>
        </w:tc>
        <w:tc>
          <w:tcPr>
            <w:tcW w:w="901" w:type="dxa"/>
            <w:vMerge w:val="restart"/>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val="ru-RU" w:eastAsia="en-US"/>
              </w:rPr>
            </w:pPr>
            <w:r>
              <w:rPr>
                <w:rFonts w:cs="Times New Roman" w:ascii="Times New Roman" w:hAnsi="Times New Roman"/>
                <w:color w:val="000000"/>
                <w:lang w:val="ru-RU" w:eastAsia="en-US"/>
              </w:rPr>
            </w:r>
          </w:p>
        </w:tc>
        <w:tc>
          <w:tcPr>
            <w:tcW w:w="912" w:type="dxa"/>
            <w:vMerge w:val="restart"/>
            <w:tcBorders>
              <w:top w:val="single" w:sz="4" w:space="0" w:color="000000"/>
              <w:left w:val="single" w:sz="4" w:space="0" w:color="000000"/>
              <w:bottom w:val="single" w:sz="4" w:space="0" w:color="000000"/>
            </w:tcBorders>
            <w:shd w:fill="auto" w:val="clear"/>
          </w:tcPr>
          <w:p>
            <w:pPr>
              <w:pStyle w:val="Normal"/>
              <w:snapToGrid w:val="false"/>
              <w:jc w:val="center"/>
              <w:rPr>
                <w:rFonts w:ascii="Times New Roman" w:hAnsi="Times New Roman" w:cs="Times New Roman"/>
                <w:color w:val="000000"/>
                <w:lang w:val="ru-RU" w:eastAsia="en-US"/>
              </w:rPr>
            </w:pPr>
            <w:r>
              <w:rPr>
                <w:rFonts w:cs="Times New Roman" w:ascii="Times New Roman" w:hAnsi="Times New Roman"/>
                <w:color w:val="000000"/>
                <w:lang w:val="ru-RU" w:eastAsia="en-US"/>
              </w:rPr>
            </w:r>
          </w:p>
          <w:p>
            <w:pPr>
              <w:pStyle w:val="Normal"/>
              <w:jc w:val="center"/>
              <w:rPr>
                <w:rFonts w:ascii="Times New Roman" w:hAnsi="Times New Roman" w:cs="Times New Roman"/>
                <w:color w:val="000000"/>
                <w:lang w:val="ru-RU" w:eastAsia="en-US"/>
              </w:rPr>
            </w:pPr>
            <w:r>
              <w:rPr>
                <w:rFonts w:cs="Times New Roman" w:ascii="Times New Roman" w:hAnsi="Times New Roman"/>
                <w:color w:val="000000"/>
                <w:lang w:val="ru-RU" w:eastAsia="en-US"/>
              </w:rPr>
            </w:r>
          </w:p>
          <w:p>
            <w:pPr>
              <w:pStyle w:val="Normal"/>
              <w:jc w:val="center"/>
              <w:rPr>
                <w:rFonts w:ascii="Times New Roman" w:hAnsi="Times New Roman" w:cs="Times New Roman"/>
                <w:color w:val="000000"/>
                <w:lang w:val="ru-RU" w:eastAsia="en-US"/>
              </w:rPr>
            </w:pPr>
            <w:r>
              <w:rPr>
                <w:rFonts w:cs="Times New Roman" w:ascii="Times New Roman" w:hAnsi="Times New Roman"/>
                <w:color w:val="000000"/>
                <w:lang w:val="ru-RU" w:eastAsia="en-US"/>
              </w:rPr>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38</w:t>
            </w:r>
          </w:p>
        </w:tc>
        <w:tc>
          <w:tcPr>
            <w:tcW w:w="95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299</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299</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284</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276</w:t>
            </w:r>
          </w:p>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141</w:t>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37</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38</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39</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r>
      <w:tr>
        <w:trPr/>
        <w:tc>
          <w:tcPr>
            <w:tcW w:w="806" w:type="dxa"/>
            <w:tcBorders>
              <w:top w:val="single" w:sz="4" w:space="0" w:color="000000"/>
              <w:left w:val="single" w:sz="4" w:space="0" w:color="000000"/>
              <w:bottom w:val="single" w:sz="4" w:space="0" w:color="000000"/>
            </w:tcBorders>
            <w:shd w:fill="auto" w:val="clear"/>
          </w:tcPr>
          <w:p>
            <w:pPr>
              <w:pStyle w:val="Normal"/>
              <w:jc w:val="center"/>
              <w:rPr>
                <w:rFonts w:ascii="Times New Roman" w:hAnsi="Times New Roman" w:cs="Times New Roman"/>
                <w:color w:val="000000"/>
                <w:lang w:eastAsia="en-US"/>
              </w:rPr>
            </w:pPr>
            <w:r>
              <w:rPr>
                <w:rFonts w:cs="Times New Roman" w:ascii="Times New Roman" w:hAnsi="Times New Roman"/>
                <w:color w:val="000000"/>
                <w:lang w:eastAsia="en-US"/>
              </w:rPr>
              <w:t>40</w:t>
            </w:r>
          </w:p>
        </w:tc>
        <w:tc>
          <w:tcPr>
            <w:tcW w:w="1909"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357"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1125"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26"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854"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01"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12" w:type="dxa"/>
            <w:vMerge w:val="continue"/>
            <w:tcBorders>
              <w:top w:val="single" w:sz="4" w:space="0" w:color="000000"/>
              <w:left w:val="single" w:sz="4" w:space="0" w:color="000000"/>
              <w:bottom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c>
          <w:tcPr>
            <w:tcW w:w="9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Times New Roman" w:hAnsi="Times New Roman" w:cs="Times New Roman"/>
                <w:color w:val="000000"/>
                <w:lang w:eastAsia="en-US"/>
              </w:rPr>
            </w:pPr>
            <w:r>
              <w:rPr>
                <w:rFonts w:cs="Times New Roman" w:ascii="Times New Roman" w:hAnsi="Times New Roman"/>
                <w:color w:val="000000"/>
                <w:lang w:eastAsia="en-US"/>
              </w:rPr>
            </w:r>
          </w:p>
        </w:tc>
      </w:tr>
    </w:tbl>
    <w:p>
      <w:pPr>
        <w:pStyle w:val="Normal"/>
        <w:spacing w:before="0" w:after="0"/>
        <w:ind w:left="0" w:right="0" w:firstLine="567"/>
        <w:jc w:val="both"/>
        <w:rPr/>
      </w:pPr>
      <w:r>
        <w:rPr>
          <w:rFonts w:cs="Times New Roman" w:ascii="Times New Roman" w:hAnsi="Times New Roman"/>
          <w:color w:val="000000"/>
          <w:sz w:val="24"/>
          <w:szCs w:val="24"/>
          <w:lang w:val="uk-UA" w:eastAsia="en-US" w:bidi="hi-IN"/>
        </w:rPr>
        <w:t>В таблиці 6 показані лише результати, в яких вміст важких металів перевищує ГДК.</w:t>
      </w:r>
      <w:r>
        <w:rPr>
          <w:rFonts w:cs="Times New Roman" w:ascii="Times New Roman" w:hAnsi="Times New Roman"/>
          <w:color w:val="000000"/>
          <w:sz w:val="28"/>
          <w:szCs w:val="28"/>
          <w:lang w:val="uk-UA" w:eastAsia="en-US" w:bidi="hi-IN"/>
        </w:rPr>
        <w:t xml:space="preserve"> </w:t>
      </w:r>
    </w:p>
    <w:p>
      <w:pPr>
        <w:pStyle w:val="Normal"/>
        <w:spacing w:before="0" w:after="0"/>
        <w:ind w:left="0" w:right="0" w:firstLine="567"/>
        <w:jc w:val="both"/>
        <w:rPr/>
      </w:pPr>
      <w:r>
        <w:rPr>
          <w:rFonts w:cs="Times New Roman" w:ascii="Times New Roman" w:hAnsi="Times New Roman"/>
          <w:color w:val="000000"/>
          <w:sz w:val="28"/>
          <w:szCs w:val="28"/>
          <w:lang w:val="uk-UA" w:eastAsia="en-US"/>
        </w:rPr>
        <w:t xml:space="preserve">За даними моніторингу стан забруднення ґрунтів в промислових зонах суттєво відрізняється від забруднення ґрунтів в селітебній зоні міста. В селітебній зоні ми маємо тільки три точки в яких забруднення цинком знаходиться на рівні близькому до ГДК, але не перевищує його, забруднення іншими важкими металами вище ГДК відсутні. </w:t>
      </w:r>
    </w:p>
    <w:p>
      <w:pPr>
        <w:pStyle w:val="Normal"/>
        <w:spacing w:before="0" w:after="0"/>
        <w:ind w:left="0" w:right="0" w:firstLine="567"/>
        <w:jc w:val="both"/>
        <w:rPr/>
      </w:pPr>
      <w:r>
        <w:rPr>
          <w:rFonts w:cs="Times New Roman" w:ascii="Times New Roman" w:hAnsi="Times New Roman"/>
          <w:color w:val="000000"/>
          <w:sz w:val="28"/>
          <w:szCs w:val="28"/>
          <w:lang w:val="uk-UA" w:eastAsia="en-US" w:bidi="hi-IN"/>
        </w:rPr>
        <w:t xml:space="preserve">За даними таблиці: </w:t>
      </w:r>
      <w:r>
        <w:rPr>
          <w:rFonts w:eastAsia="Times New Roman" w:cs="Times New Roman" w:ascii="Times New Roman" w:hAnsi="Times New Roman"/>
          <w:color w:val="000000"/>
          <w:sz w:val="28"/>
          <w:szCs w:val="28"/>
          <w:lang w:val="uk-UA" w:eastAsia="en-US" w:bidi="hi-IN"/>
        </w:rPr>
        <w:t>п</w:t>
      </w:r>
      <w:r>
        <w:rPr>
          <w:rFonts w:cs="Times New Roman" w:ascii="Times New Roman" w:hAnsi="Times New Roman"/>
          <w:color w:val="000000"/>
          <w:sz w:val="28"/>
          <w:szCs w:val="28"/>
          <w:lang w:val="uk-UA" w:eastAsia="en-US" w:bidi="hi-IN"/>
        </w:rPr>
        <w:t>рактично всі промислові зони забруднені свинцем та цинком в концентраціях вище ГДК;</w:t>
      </w:r>
      <w:r>
        <w:rPr>
          <w:rFonts w:eastAsia="Times New Roman" w:cs="Times New Roman" w:ascii="Times New Roman" w:hAnsi="Times New Roman"/>
          <w:color w:val="000000"/>
          <w:sz w:val="28"/>
          <w:szCs w:val="28"/>
          <w:lang w:val="uk-UA" w:eastAsia="en-US" w:bidi="hi-IN"/>
        </w:rPr>
        <w:t xml:space="preserve"> з</w:t>
      </w:r>
      <w:r>
        <w:rPr>
          <w:rFonts w:cs="Times New Roman" w:ascii="Times New Roman" w:hAnsi="Times New Roman"/>
          <w:color w:val="000000"/>
          <w:sz w:val="28"/>
          <w:szCs w:val="28"/>
          <w:lang w:val="uk-UA" w:eastAsia="en-US" w:bidi="hi-IN"/>
        </w:rPr>
        <w:t xml:space="preserve">абруднення кадмієм спостерігається на території 8-ми зон із 14-ти. Існує загроза переносу пилу, </w:t>
      </w:r>
      <w:r>
        <w:rPr>
          <w:rFonts w:cs="Times New Roman" w:ascii="Times New Roman" w:hAnsi="Times New Roman"/>
          <w:color w:val="000000"/>
          <w:sz w:val="28"/>
          <w:szCs w:val="28"/>
          <w:lang w:val="uk-UA" w:eastAsia="en-US"/>
        </w:rPr>
        <w:t xml:space="preserve">забрудненого важкими металами, на селітебні території міста. </w:t>
      </w:r>
      <w:r>
        <w:rPr>
          <w:rFonts w:eastAsia="Times New Roman" w:cs="Times New Roman" w:ascii="Times New Roman" w:hAnsi="Times New Roman"/>
          <w:b w:val="false"/>
          <w:i w:val="false"/>
          <w:caps w:val="false"/>
          <w:smallCaps w:val="false"/>
          <w:color w:val="000000"/>
          <w:spacing w:val="0"/>
          <w:sz w:val="28"/>
          <w:szCs w:val="28"/>
          <w:highlight w:val="white"/>
          <w:lang w:val="uk-UA" w:eastAsia="en-US" w:bidi="hi-IN"/>
        </w:rPr>
        <w:t>При розробці запобіжних заходів необхідно провести в  промислових зонах оцінку покриття території промислових майданчиків, з точки зору наявності або відсутності непроникного покриття, та передбачати заходи для запобігання переносу пилу з промислових майданчиків в атмосферне повітря.</w:t>
      </w:r>
    </w:p>
    <w:p>
      <w:pPr>
        <w:pStyle w:val="Normal"/>
        <w:spacing w:lineRule="auto" w:line="240" w:before="80" w:after="0"/>
        <w:ind w:left="0" w:right="0" w:firstLine="567"/>
        <w:jc w:val="both"/>
        <w:rPr/>
      </w:pPr>
      <w:r>
        <w:rPr>
          <w:rFonts w:eastAsia="Times New Roman" w:cs="Times New Roman" w:ascii="Times New Roman" w:hAnsi="Times New Roman"/>
          <w:b/>
          <w:bCs/>
          <w:i w:val="false"/>
          <w:caps w:val="false"/>
          <w:smallCaps w:val="false"/>
          <w:color w:val="000000"/>
          <w:spacing w:val="0"/>
          <w:sz w:val="28"/>
          <w:szCs w:val="28"/>
          <w:highlight w:val="white"/>
          <w:lang w:val="uk-UA" w:eastAsia="en-US"/>
        </w:rPr>
        <w:t xml:space="preserve">Поводження з відходами </w:t>
      </w:r>
    </w:p>
    <w:p>
      <w:pPr>
        <w:pStyle w:val="Normal"/>
        <w:spacing w:lineRule="auto" w:line="240" w:before="80" w:after="0"/>
        <w:ind w:left="0" w:right="0" w:firstLine="567"/>
        <w:jc w:val="both"/>
        <w:rPr/>
      </w:pPr>
      <w:r>
        <w:rPr>
          <w:rFonts w:eastAsia="Times New Roman" w:cs="Times New Roman" w:ascii="Times New Roman" w:hAnsi="Times New Roman"/>
          <w:color w:val="000000"/>
          <w:sz w:val="28"/>
          <w:szCs w:val="28"/>
          <w:lang w:val="uk-UA" w:eastAsia="ru-RU"/>
        </w:rPr>
        <w:t xml:space="preserve">Динаміка утворення, перероблення та накопичення відходів у у м. Луцьку представлена у таблиці 7. Як можна бачити, кількість утворених відходів зростає, невелика частина утворених відходів переробляється,  кількість накопичених відходів має постійну тенденцію до зростання. </w:t>
      </w:r>
    </w:p>
    <w:p>
      <w:pPr>
        <w:pStyle w:val="Normal"/>
        <w:spacing w:lineRule="auto" w:line="240" w:before="80" w:after="0"/>
        <w:ind w:left="0" w:right="0" w:firstLine="567"/>
        <w:jc w:val="right"/>
        <w:rPr/>
      </w:pPr>
      <w:r>
        <w:rPr>
          <w:rFonts w:eastAsia="Times New Roman" w:cs="Times New Roman" w:ascii="Times New Roman" w:hAnsi="Times New Roman"/>
          <w:bCs/>
          <w:color w:val="000000"/>
          <w:sz w:val="28"/>
          <w:szCs w:val="28"/>
          <w:lang w:val="uk-UA" w:eastAsia="ru-RU"/>
        </w:rPr>
        <w:t>Таблиця 7.</w:t>
      </w:r>
    </w:p>
    <w:p>
      <w:pPr>
        <w:pStyle w:val="Normal"/>
        <w:spacing w:lineRule="auto" w:line="240" w:before="80" w:after="0"/>
        <w:ind w:left="0" w:right="0" w:firstLine="567"/>
        <w:jc w:val="center"/>
        <w:rPr/>
      </w:pPr>
      <w:r>
        <w:rPr>
          <w:rFonts w:eastAsia="Times New Roman" w:cs="Times New Roman" w:ascii="Times New Roman" w:hAnsi="Times New Roman"/>
          <w:bCs/>
          <w:color w:val="000000"/>
          <w:sz w:val="28"/>
          <w:szCs w:val="28"/>
          <w:lang w:val="uk-UA" w:eastAsia="ru-RU" w:bidi="hi-IN"/>
        </w:rPr>
        <w:t xml:space="preserve"> </w:t>
      </w:r>
      <w:r>
        <w:rPr>
          <w:rFonts w:eastAsia="Times New Roman" w:cs="Times New Roman" w:ascii="Times New Roman" w:hAnsi="Times New Roman"/>
          <w:bCs/>
          <w:color w:val="000000"/>
          <w:sz w:val="28"/>
          <w:szCs w:val="28"/>
          <w:lang w:val="uk-UA" w:eastAsia="ru-RU" w:bidi="hi-IN"/>
        </w:rPr>
        <w:t>Поводження з відходами у м. Луцьку в динаміці за 2010 – 2020 рр.</w:t>
      </w:r>
    </w:p>
    <w:tbl>
      <w:tblPr>
        <w:tblW w:w="9360" w:type="dxa"/>
        <w:jc w:val="left"/>
        <w:tblInd w:w="0" w:type="dxa"/>
        <w:tblCellMar>
          <w:top w:w="0" w:type="dxa"/>
          <w:left w:w="108" w:type="dxa"/>
          <w:bottom w:w="0" w:type="dxa"/>
          <w:right w:w="108" w:type="dxa"/>
        </w:tblCellMar>
      </w:tblPr>
      <w:tblGrid>
        <w:gridCol w:w="570"/>
        <w:gridCol w:w="2998"/>
        <w:gridCol w:w="1082"/>
        <w:gridCol w:w="1304"/>
        <w:gridCol w:w="1185"/>
        <w:gridCol w:w="1200"/>
        <w:gridCol w:w="1020"/>
      </w:tblGrid>
      <w:tr>
        <w:trPr/>
        <w:tc>
          <w:tcPr>
            <w:tcW w:w="570" w:type="dxa"/>
            <w:tcBorders>
              <w:top w:val="single" w:sz="4" w:space="0" w:color="000000"/>
              <w:left w:val="single" w:sz="4" w:space="0" w:color="000000"/>
              <w:bottom w:val="single" w:sz="4" w:space="0" w:color="000000"/>
            </w:tcBorders>
            <w:shd w:fill="auto" w:val="clear"/>
            <w:vAlign w:val="center"/>
          </w:tcPr>
          <w:p>
            <w:pPr>
              <w:pStyle w:val="Normal"/>
              <w:jc w:val="both"/>
              <w:rPr>
                <w:sz w:val="24"/>
                <w:szCs w:val="24"/>
              </w:rPr>
            </w:pPr>
            <w:r>
              <w:rPr>
                <w:rFonts w:cs="Times New Roman" w:ascii="Times New Roman" w:hAnsi="Times New Roman"/>
                <w:b/>
                <w:color w:val="000000"/>
                <w:sz w:val="24"/>
                <w:szCs w:val="24"/>
              </w:rPr>
              <w:t>№</w:t>
            </w:r>
            <w:r>
              <w:rPr>
                <w:rFonts w:eastAsia="Times New Roman" w:cs="Times New Roman" w:ascii="Times New Roman" w:hAnsi="Times New Roman"/>
                <w:b/>
                <w:color w:val="000000"/>
                <w:sz w:val="24"/>
                <w:szCs w:val="24"/>
              </w:rPr>
              <w:t xml:space="preserve"> </w:t>
            </w:r>
            <w:r>
              <w:rPr>
                <w:rFonts w:cs="Times New Roman" w:ascii="Times New Roman" w:hAnsi="Times New Roman"/>
                <w:b/>
                <w:color w:val="000000"/>
                <w:sz w:val="24"/>
                <w:szCs w:val="24"/>
              </w:rPr>
              <w:t>з/п</w:t>
            </w:r>
          </w:p>
        </w:tc>
        <w:tc>
          <w:tcPr>
            <w:tcW w:w="2998" w:type="dxa"/>
            <w:tcBorders>
              <w:top w:val="single" w:sz="4" w:space="0" w:color="000000"/>
              <w:left w:val="single" w:sz="4" w:space="0" w:color="000000"/>
              <w:bottom w:val="single" w:sz="4" w:space="0" w:color="000000"/>
            </w:tcBorders>
            <w:shd w:fill="auto" w:val="clear"/>
            <w:vAlign w:val="center"/>
          </w:tcPr>
          <w:p>
            <w:pPr>
              <w:pStyle w:val="Normal"/>
              <w:snapToGrid w:val="false"/>
              <w:jc w:val="both"/>
              <w:rPr>
                <w:rFonts w:ascii="Times New Roman" w:hAnsi="Times New Roman" w:cs="Times New Roman"/>
                <w:b/>
                <w:b/>
                <w:color w:val="000000"/>
                <w:sz w:val="24"/>
                <w:szCs w:val="24"/>
              </w:rPr>
            </w:pPr>
            <w:r>
              <w:rPr>
                <w:rFonts w:cs="Times New Roman" w:ascii="Times New Roman" w:hAnsi="Times New Roman"/>
                <w:b/>
                <w:color w:val="000000"/>
                <w:sz w:val="24"/>
                <w:szCs w:val="24"/>
              </w:rPr>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t>2010</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t>2017</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t>2018</w:t>
            </w:r>
          </w:p>
        </w:tc>
        <w:tc>
          <w:tcPr>
            <w:tcW w:w="1200" w:type="dxa"/>
            <w:tcBorders>
              <w:top w:val="single" w:sz="4" w:space="0" w:color="000000"/>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b/>
                <w:bCs/>
                <w:i w:val="false"/>
                <w:i w:val="false"/>
                <w:iCs w:val="false"/>
                <w:strike w:val="false"/>
                <w:dstrike w:val="false"/>
                <w:outline w:val="false"/>
                <w:shadow w:val="false"/>
                <w:color w:val="000000"/>
                <w:sz w:val="24"/>
                <w:szCs w:val="24"/>
                <w:u w:val="none"/>
                <w:lang w:val="ru-RU"/>
              </w:rPr>
            </w:pPr>
            <w:r>
              <w:rPr>
                <w:rFonts w:cs="Times New Roman" w:ascii="Times New Roman" w:hAnsi="Times New Roman"/>
                <w:b/>
                <w:bCs/>
                <w:i w:val="false"/>
                <w:iCs w:val="false"/>
                <w:strike w:val="false"/>
                <w:dstrike w:val="false"/>
                <w:outline w:val="false"/>
                <w:shadow w:val="false"/>
                <w:color w:val="000000"/>
                <w:sz w:val="24"/>
                <w:szCs w:val="24"/>
                <w:u w:val="none"/>
                <w:lang w:val="ru-RU"/>
              </w:rPr>
              <w:t>2019</w:t>
            </w:r>
          </w:p>
        </w:tc>
        <w:tc>
          <w:tcPr>
            <w:tcW w:w="1020" w:type="dxa"/>
            <w:tcBorders>
              <w:top w:val="single" w:sz="4" w:space="0" w:color="000000"/>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b/>
                <w:bCs/>
                <w:i w:val="false"/>
                <w:i w:val="false"/>
                <w:iCs w:val="false"/>
                <w:strike w:val="false"/>
                <w:dstrike w:val="false"/>
                <w:outline w:val="false"/>
                <w:shadow w:val="false"/>
                <w:color w:val="000000"/>
                <w:sz w:val="24"/>
                <w:szCs w:val="24"/>
                <w:u w:val="none"/>
                <w:lang w:val="uk-UA"/>
              </w:rPr>
            </w:pPr>
            <w:r>
              <w:rPr>
                <w:rFonts w:cs="Times New Roman" w:ascii="Times New Roman" w:hAnsi="Times New Roman"/>
                <w:b/>
                <w:bCs/>
                <w:i w:val="false"/>
                <w:iCs w:val="false"/>
                <w:strike w:val="false"/>
                <w:dstrike w:val="false"/>
                <w:outline w:val="false"/>
                <w:shadow w:val="false"/>
                <w:color w:val="000000"/>
                <w:sz w:val="24"/>
                <w:szCs w:val="24"/>
                <w:u w:val="none"/>
                <w:lang w:val="uk-UA"/>
              </w:rPr>
              <w:t>2020</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1</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4"/>
                <w:szCs w:val="24"/>
              </w:rPr>
            </w:pPr>
            <w:r>
              <w:rPr>
                <w:rFonts w:cs="Times New Roman" w:ascii="Times New Roman" w:hAnsi="Times New Roman"/>
                <w:bCs/>
                <w:color w:val="000000"/>
                <w:sz w:val="24"/>
                <w:szCs w:val="24"/>
              </w:rPr>
              <w:t>Утворення відходів,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238046,4</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389761,1</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111749,3</w:t>
            </w:r>
            <w:r>
              <w:rPr>
                <w:rFonts w:cs="Times New Roman" w:ascii="Times New Roman" w:hAnsi="Times New Roman"/>
                <w:bCs/>
                <w:color w:val="000000"/>
                <w:sz w:val="22"/>
                <w:szCs w:val="22"/>
                <w:vertAlign w:val="superscript"/>
              </w:rPr>
              <w:t>1</w:t>
            </w:r>
          </w:p>
        </w:tc>
        <w:tc>
          <w:tcPr>
            <w:tcW w:w="1200" w:type="dxa"/>
            <w:tcBorders>
              <w:left w:val="single" w:sz="4" w:space="0" w:color="000000"/>
              <w:bottom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ru-RU"/>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ru-RU"/>
              </w:rPr>
              <w:t>104365,1</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uk-UA"/>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uk-UA"/>
              </w:rPr>
              <w:t>147989,7</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2</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lang w:val="uk-UA" w:eastAsia="zh-CN" w:bidi="hi-IN"/>
              </w:rPr>
            </w:pPr>
            <w:r>
              <w:rPr>
                <w:rFonts w:cs="Times New Roman" w:ascii="Times New Roman" w:hAnsi="Times New Roman"/>
                <w:bCs/>
                <w:color w:val="000000"/>
                <w:sz w:val="24"/>
                <w:szCs w:val="24"/>
                <w:lang w:val="uk-UA" w:eastAsia="zh-CN" w:bidi="hi-IN"/>
              </w:rPr>
              <w:t>Утворення відходів ІV класу небезпеки,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237632,1</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389251,1</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111166,0</w:t>
            </w:r>
          </w:p>
        </w:tc>
        <w:tc>
          <w:tcPr>
            <w:tcW w:w="1200" w:type="dxa"/>
            <w:tcBorders>
              <w:left w:val="single" w:sz="4" w:space="0" w:color="000000"/>
              <w:bottom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ru-RU"/>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ru-RU"/>
              </w:rPr>
              <w:t>103905,8</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uk-UA"/>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uk-UA"/>
              </w:rPr>
              <w:t>147608,4</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3</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4"/>
                <w:szCs w:val="24"/>
                <w:lang w:val="uk-UA" w:eastAsia="zh-CN" w:bidi="hi-IN"/>
              </w:rPr>
            </w:pPr>
            <w:r>
              <w:rPr>
                <w:rFonts w:cs="Times New Roman" w:ascii="Times New Roman" w:hAnsi="Times New Roman"/>
                <w:bCs/>
                <w:color w:val="000000"/>
                <w:sz w:val="24"/>
                <w:szCs w:val="24"/>
                <w:lang w:val="uk-UA" w:eastAsia="zh-CN" w:bidi="hi-IN"/>
              </w:rPr>
              <w:t>Утворення відходів І–ІІІ класів небезпеки,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414,3</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510,0</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583,3</w:t>
            </w:r>
          </w:p>
        </w:tc>
        <w:tc>
          <w:tcPr>
            <w:tcW w:w="1200" w:type="dxa"/>
            <w:tcBorders>
              <w:left w:val="single" w:sz="4" w:space="0" w:color="000000"/>
              <w:bottom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ru-RU"/>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ru-RU"/>
              </w:rPr>
              <w:t>459,3</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lang w:val="uk-UA"/>
              </w:rPr>
            </w:pPr>
            <w:r>
              <w:rPr>
                <w:rFonts w:cs="Times New Roman" w:ascii="Times New Roman" w:hAnsi="Times New Roman"/>
                <w:b w:val="false"/>
                <w:bCs w:val="false"/>
                <w:i w:val="false"/>
                <w:iCs w:val="false"/>
                <w:strike w:val="false"/>
                <w:dstrike w:val="false"/>
                <w:outline w:val="false"/>
                <w:shadow w:val="false"/>
                <w:color w:val="000000"/>
                <w:sz w:val="22"/>
                <w:szCs w:val="22"/>
                <w:u w:val="none"/>
                <w:lang w:val="uk-UA"/>
              </w:rPr>
              <w:t>381,3</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4</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4"/>
                <w:szCs w:val="24"/>
                <w:lang w:val="uk-UA" w:eastAsia="zh-CN" w:bidi="hi-IN"/>
              </w:rPr>
            </w:pPr>
            <w:r>
              <w:rPr>
                <w:rFonts w:cs="Times New Roman" w:ascii="Times New Roman" w:hAnsi="Times New Roman"/>
                <w:bCs/>
                <w:color w:val="000000"/>
                <w:sz w:val="24"/>
                <w:szCs w:val="24"/>
                <w:lang w:val="uk-UA" w:eastAsia="zh-CN" w:bidi="hi-IN"/>
              </w:rPr>
              <w:t>Утворення відходів у розрахунку на квадратний кілометр території,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5667,8</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9280,0</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2660,7</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2484,9</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35313,9</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5</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4"/>
                <w:szCs w:val="24"/>
                <w:lang w:val="uk-UA" w:eastAsia="zh-CN" w:bidi="hi-IN"/>
              </w:rPr>
            </w:pPr>
            <w:r>
              <w:rPr>
                <w:rFonts w:cs="Times New Roman" w:ascii="Times New Roman" w:hAnsi="Times New Roman"/>
                <w:bCs/>
                <w:color w:val="000000"/>
                <w:sz w:val="24"/>
                <w:szCs w:val="24"/>
                <w:lang w:val="uk-UA" w:eastAsia="zh-CN" w:bidi="hi-IN"/>
              </w:rPr>
              <w:t>Утворення відходів у розрахунку на одного жителя, кг</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1126,7</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1798,0</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515,7</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480,2</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681,0</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rPr>
            </w:pPr>
            <w:r>
              <w:rPr>
                <w:rFonts w:cs="Times New Roman" w:ascii="Times New Roman" w:hAnsi="Times New Roman"/>
                <w:color w:val="000000"/>
                <w:sz w:val="24"/>
                <w:szCs w:val="24"/>
              </w:rPr>
              <w:t>6</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rPr>
            </w:pPr>
            <w:r>
              <w:rPr>
                <w:rFonts w:cs="Times New Roman" w:ascii="Times New Roman" w:hAnsi="Times New Roman"/>
                <w:bCs/>
                <w:color w:val="000000"/>
                <w:sz w:val="24"/>
                <w:szCs w:val="24"/>
              </w:rPr>
              <w:t xml:space="preserve">Утилізація відходів, </w:t>
            </w:r>
            <w:r>
              <w:rPr>
                <w:rFonts w:cs="Times New Roman" w:ascii="Times New Roman" w:hAnsi="Times New Roman"/>
                <w:color w:val="000000"/>
                <w:sz w:val="24"/>
                <w:szCs w:val="24"/>
              </w:rPr>
              <w:t>(т)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587,6</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2687,4</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657,3</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72,5</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927,2</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snapToGrid w:val="false"/>
              <w:jc w:val="center"/>
              <w:rPr>
                <w:rFonts w:ascii="Times New Roman" w:hAnsi="Times New Roman" w:eastAsia="Times New Roman" w:cs="Times New Roman"/>
                <w:b/>
                <w:b/>
                <w:bCs/>
                <w:color w:val="000000"/>
                <w:sz w:val="24"/>
                <w:szCs w:val="24"/>
                <w:lang w:val="uk-UA" w:eastAsia="ru-RU"/>
              </w:rPr>
            </w:pPr>
            <w:r>
              <w:rPr>
                <w:rFonts w:eastAsia="Times New Roman" w:cs="Times New Roman" w:ascii="Times New Roman" w:hAnsi="Times New Roman"/>
                <w:b/>
                <w:bCs/>
                <w:color w:val="000000"/>
                <w:sz w:val="24"/>
                <w:szCs w:val="24"/>
                <w:lang w:val="uk-UA" w:eastAsia="ru-RU"/>
              </w:rPr>
              <w:t>7</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rPr>
            </w:pPr>
            <w:r>
              <w:rPr>
                <w:rFonts w:cs="Times New Roman" w:ascii="Times New Roman" w:hAnsi="Times New Roman"/>
                <w:bCs/>
                <w:color w:val="000000"/>
                <w:sz w:val="24"/>
                <w:szCs w:val="24"/>
              </w:rPr>
              <w:t xml:space="preserve">Утилізація відходів І–ІІІ класів небезпеки, </w:t>
            </w:r>
            <w:r>
              <w:rPr>
                <w:rFonts w:cs="Times New Roman" w:ascii="Times New Roman" w:hAnsi="Times New Roman"/>
                <w:color w:val="000000"/>
                <w:sz w:val="24"/>
                <w:szCs w:val="24"/>
              </w:rPr>
              <w:t>(т)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99,0</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pacing w:val="-10"/>
                <w:sz w:val="22"/>
                <w:szCs w:val="22"/>
              </w:rPr>
            </w:pPr>
            <w:r>
              <w:rPr>
                <w:rFonts w:cs="Times New Roman" w:ascii="Times New Roman" w:hAnsi="Times New Roman"/>
                <w:bCs/>
                <w:color w:val="000000"/>
                <w:spacing w:val="-10"/>
                <w:sz w:val="22"/>
                <w:szCs w:val="22"/>
              </w:rPr>
              <w:t>91,4</w:t>
            </w:r>
          </w:p>
        </w:tc>
        <w:tc>
          <w:tcPr>
            <w:tcW w:w="1185" w:type="dxa"/>
            <w:tcBorders>
              <w:top w:val="single" w:sz="4" w:space="0" w:color="000000"/>
              <w:left w:val="single" w:sz="4" w:space="0" w:color="000000"/>
              <w:bottom w:val="single" w:sz="4" w:space="0" w:color="000000"/>
            </w:tcBorders>
            <w:shd w:fill="auto" w:val="clear"/>
            <w:vAlign w:val="center"/>
          </w:tcPr>
          <w:p>
            <w:pPr>
              <w:pStyle w:val="Normal"/>
              <w:tabs>
                <w:tab w:val="clear" w:pos="306"/>
                <w:tab w:val="left" w:pos="5190" w:leader="none"/>
              </w:tabs>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90,3</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70,5</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62,9</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lang w:val="uk-UA"/>
              </w:rPr>
            </w:pPr>
            <w:r>
              <w:rPr>
                <w:rFonts w:cs="Times New Roman" w:ascii="Times New Roman" w:hAnsi="Times New Roman"/>
                <w:color w:val="000000"/>
                <w:sz w:val="24"/>
                <w:szCs w:val="24"/>
                <w:lang w:val="uk-UA"/>
              </w:rPr>
              <w:t>8</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rPr>
            </w:pPr>
            <w:r>
              <w:rPr>
                <w:rFonts w:cs="Times New Roman" w:ascii="Times New Roman" w:hAnsi="Times New Roman"/>
                <w:bCs/>
                <w:color w:val="000000"/>
                <w:sz w:val="24"/>
                <w:szCs w:val="24"/>
              </w:rPr>
              <w:t>Спалювання відходів,</w:t>
            </w:r>
            <w:r>
              <w:rPr>
                <w:rFonts w:cs="Times New Roman" w:ascii="Times New Roman" w:hAnsi="Times New Roman"/>
                <w:color w:val="000000"/>
                <w:sz w:val="24"/>
                <w:szCs w:val="24"/>
              </w:rPr>
              <w:t>(т)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75,6</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254,8</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364,7</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1508,3</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1759,9</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lang w:val="uk-UA"/>
              </w:rPr>
            </w:pPr>
            <w:r>
              <w:rPr>
                <w:rFonts w:cs="Times New Roman" w:ascii="Times New Roman" w:hAnsi="Times New Roman"/>
                <w:color w:val="000000"/>
                <w:sz w:val="24"/>
                <w:szCs w:val="24"/>
                <w:lang w:val="uk-UA"/>
              </w:rPr>
              <w:t>9</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4"/>
                <w:szCs w:val="24"/>
                <w:lang w:val="uk-UA" w:eastAsia="zh-CN" w:bidi="hi-IN"/>
              </w:rPr>
            </w:pPr>
            <w:r>
              <w:rPr>
                <w:rFonts w:cs="Times New Roman" w:ascii="Times New Roman" w:hAnsi="Times New Roman"/>
                <w:bCs/>
                <w:color w:val="000000"/>
                <w:sz w:val="24"/>
                <w:szCs w:val="24"/>
                <w:lang w:val="uk-UA" w:eastAsia="zh-CN" w:bidi="hi-IN"/>
              </w:rPr>
              <w:t>Видалення відходів у спеціально відведені місця чи об’єкти,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155317,5</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366472,0</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96257,4</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89846,2</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85342,2</w:t>
            </w:r>
          </w:p>
        </w:tc>
      </w:tr>
      <w:tr>
        <w:trPr>
          <w:trHeight w:val="749" w:hRule="atLeast"/>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color w:val="000000"/>
                <w:sz w:val="24"/>
                <w:szCs w:val="24"/>
                <w:lang w:val="uk-UA"/>
              </w:rPr>
            </w:pPr>
            <w:r>
              <w:rPr>
                <w:rFonts w:cs="Times New Roman" w:ascii="Times New Roman" w:hAnsi="Times New Roman"/>
                <w:color w:val="000000"/>
                <w:sz w:val="24"/>
                <w:szCs w:val="24"/>
                <w:lang w:val="uk-UA"/>
              </w:rPr>
              <w:t>10</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lang w:val="uk-UA" w:eastAsia="zh-CN" w:bidi="hi-IN"/>
              </w:rPr>
            </w:pPr>
            <w:r>
              <w:rPr>
                <w:rFonts w:cs="Times New Roman" w:ascii="Times New Roman" w:hAnsi="Times New Roman"/>
                <w:bCs/>
                <w:color w:val="000000"/>
                <w:sz w:val="24"/>
                <w:szCs w:val="24"/>
                <w:lang w:val="uk-UA" w:eastAsia="zh-CN" w:bidi="hi-IN"/>
              </w:rPr>
              <w:t xml:space="preserve">Загальний обсяг відходів, накопичених протягом експлуатації у місцях видалення відходів, </w:t>
            </w:r>
            <w:r>
              <w:rPr>
                <w:rFonts w:cs="Times New Roman" w:ascii="Times New Roman" w:hAnsi="Times New Roman"/>
                <w:iCs/>
                <w:color w:val="000000"/>
                <w:sz w:val="24"/>
                <w:szCs w:val="24"/>
                <w:lang w:val="uk-UA" w:eastAsia="zh-CN" w:bidi="hi-IN"/>
              </w:rPr>
              <w:t xml:space="preserve"> на кінець року;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pacing w:val="-4"/>
                <w:sz w:val="22"/>
                <w:szCs w:val="22"/>
              </w:rPr>
            </w:pPr>
            <w:r>
              <w:rPr>
                <w:rFonts w:cs="Times New Roman" w:ascii="Times New Roman" w:hAnsi="Times New Roman"/>
                <w:bCs/>
                <w:color w:val="000000"/>
                <w:spacing w:val="-4"/>
                <w:sz w:val="22"/>
                <w:szCs w:val="22"/>
              </w:rPr>
              <w:t>913487,0</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2145969,0</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802193,4</w:t>
            </w:r>
            <w:r>
              <w:rPr>
                <w:rFonts w:cs="Times New Roman" w:ascii="Times New Roman" w:hAnsi="Times New Roman"/>
                <w:bCs/>
                <w:color w:val="000000"/>
                <w:sz w:val="22"/>
                <w:szCs w:val="22"/>
                <w:vertAlign w:val="superscript"/>
              </w:rPr>
              <w:t>2</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865897,9</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946611,3</w:t>
            </w:r>
          </w:p>
        </w:tc>
      </w:tr>
      <w:tr>
        <w:trPr/>
        <w:tc>
          <w:tcPr>
            <w:tcW w:w="570"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rPr>
            </w:pPr>
            <w:r>
              <w:rPr>
                <w:rFonts w:cs="Times New Roman" w:ascii="Times New Roman" w:hAnsi="Times New Roman"/>
                <w:color w:val="000000"/>
                <w:sz w:val="24"/>
                <w:szCs w:val="24"/>
              </w:rPr>
              <w:t>1</w:t>
            </w:r>
            <w:r>
              <w:rPr>
                <w:rFonts w:cs="Times New Roman" w:ascii="Times New Roman" w:hAnsi="Times New Roman"/>
                <w:color w:val="000000"/>
                <w:sz w:val="24"/>
                <w:szCs w:val="24"/>
                <w:lang w:val="uk-UA"/>
              </w:rPr>
              <w:t>1</w:t>
            </w:r>
          </w:p>
        </w:tc>
        <w:tc>
          <w:tcPr>
            <w:tcW w:w="2998" w:type="dxa"/>
            <w:tcBorders>
              <w:top w:val="single" w:sz="4" w:space="0" w:color="000000"/>
              <w:left w:val="single" w:sz="4" w:space="0" w:color="000000"/>
              <w:bottom w:val="single" w:sz="4" w:space="0" w:color="000000"/>
            </w:tcBorders>
            <w:shd w:fill="auto" w:val="clear"/>
            <w:vAlign w:val="center"/>
          </w:tcPr>
          <w:p>
            <w:pPr>
              <w:pStyle w:val="Normal"/>
              <w:jc w:val="center"/>
              <w:rPr>
                <w:sz w:val="24"/>
                <w:szCs w:val="24"/>
                <w:lang w:val="uk-UA" w:eastAsia="zh-CN" w:bidi="hi-IN"/>
              </w:rPr>
            </w:pPr>
            <w:r>
              <w:rPr>
                <w:rFonts w:cs="Times New Roman" w:ascii="Times New Roman" w:hAnsi="Times New Roman"/>
                <w:bCs/>
                <w:color w:val="000000"/>
                <w:sz w:val="24"/>
                <w:szCs w:val="24"/>
                <w:lang w:val="uk-UA" w:eastAsia="zh-CN" w:bidi="hi-IN"/>
              </w:rPr>
              <w:t xml:space="preserve">Загальний обсяг відходів, накопичених протягом експлуатації у місцях видалення відходів у розрахунку на квадратний кілометр території, </w:t>
            </w:r>
            <w:r>
              <w:rPr>
                <w:rFonts w:cs="Times New Roman" w:ascii="Times New Roman" w:hAnsi="Times New Roman"/>
                <w:iCs/>
                <w:color w:val="000000"/>
                <w:sz w:val="24"/>
                <w:szCs w:val="24"/>
                <w:lang w:val="uk-UA" w:eastAsia="zh-CN" w:bidi="hi-IN"/>
              </w:rPr>
              <w:t xml:space="preserve"> на кінець року; т</w:t>
            </w:r>
          </w:p>
        </w:tc>
        <w:tc>
          <w:tcPr>
            <w:tcW w:w="108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eastAsia="Arial Unicode MS" w:cs="Times New Roman"/>
                <w:bCs/>
                <w:color w:val="000000"/>
                <w:sz w:val="22"/>
                <w:szCs w:val="22"/>
              </w:rPr>
            </w:pPr>
            <w:r>
              <w:rPr>
                <w:rFonts w:eastAsia="Arial Unicode MS" w:cs="Times New Roman" w:ascii="Times New Roman" w:hAnsi="Times New Roman"/>
                <w:bCs/>
                <w:color w:val="000000"/>
                <w:sz w:val="22"/>
                <w:szCs w:val="22"/>
              </w:rPr>
              <w:t>21749,7</w:t>
            </w:r>
          </w:p>
        </w:tc>
        <w:tc>
          <w:tcPr>
            <w:tcW w:w="1304"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51094,5</w:t>
            </w:r>
          </w:p>
        </w:tc>
        <w:tc>
          <w:tcPr>
            <w:tcW w:w="1185"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19099,8</w:t>
            </w:r>
          </w:p>
        </w:tc>
        <w:tc>
          <w:tcPr>
            <w:tcW w:w="1200" w:type="dxa"/>
            <w:tcBorders>
              <w:left w:val="single" w:sz="4" w:space="0" w:color="000000"/>
              <w:bottom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20616,6</w:t>
            </w:r>
          </w:p>
        </w:tc>
        <w:tc>
          <w:tcPr>
            <w:tcW w:w="1020"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vAlign w:val="center"/>
          </w:tcPr>
          <w:p>
            <w:pPr>
              <w:pStyle w:val="Normal"/>
              <w:jc w:val="center"/>
              <w:rPr>
                <w:rFonts w:ascii="Times New Roman" w:hAnsi="Times New Roman" w:cs="Times New Roman"/>
                <w:b w:val="false"/>
                <w:b w:val="false"/>
                <w:bCs w:val="false"/>
                <w:i w:val="false"/>
                <w:i w:val="false"/>
                <w:iCs w:val="false"/>
                <w:strike w:val="false"/>
                <w:dstrike w:val="false"/>
                <w:outline w:val="false"/>
                <w:shadow w:val="false"/>
                <w:color w:val="000000"/>
                <w:sz w:val="22"/>
                <w:szCs w:val="22"/>
                <w:u w:val="none"/>
              </w:rPr>
            </w:pPr>
            <w:r>
              <w:rPr>
                <w:rFonts w:cs="Times New Roman" w:ascii="Times New Roman" w:hAnsi="Times New Roman"/>
                <w:b w:val="false"/>
                <w:bCs w:val="false"/>
                <w:i w:val="false"/>
                <w:iCs w:val="false"/>
                <w:strike w:val="false"/>
                <w:dstrike w:val="false"/>
                <w:outline w:val="false"/>
                <w:shadow w:val="false"/>
                <w:color w:val="000000"/>
                <w:sz w:val="22"/>
                <w:szCs w:val="22"/>
                <w:u w:val="none"/>
              </w:rPr>
              <w:t>22543,7</w:t>
            </w:r>
          </w:p>
        </w:tc>
      </w:tr>
    </w:tbl>
    <w:p>
      <w:pPr>
        <w:pStyle w:val="Normal"/>
        <w:widowControl w:val="false"/>
        <w:spacing w:before="0" w:after="0"/>
        <w:ind w:left="0" w:right="0" w:firstLine="567"/>
        <w:jc w:val="both"/>
        <w:rPr>
          <w:rFonts w:ascii="Times New Roman" w:hAnsi="Times New Roman" w:eastAsia="Times New Roman" w:cs="Times New Roman"/>
          <w:color w:val="000000"/>
          <w:sz w:val="22"/>
          <w:szCs w:val="28"/>
          <w:vertAlign w:val="superscript"/>
          <w:lang w:val="uk-UA" w:eastAsia="ru-RU"/>
        </w:rPr>
      </w:pPr>
      <w:r>
        <w:rPr/>
      </w:r>
    </w:p>
    <w:p>
      <w:pPr>
        <w:pStyle w:val="Normal"/>
        <w:widowControl w:val="false"/>
        <w:spacing w:before="0" w:after="0"/>
        <w:ind w:left="0" w:right="0" w:firstLine="567"/>
        <w:jc w:val="both"/>
        <w:rPr>
          <w:rFonts w:ascii="Times New Roman" w:hAnsi="Times New Roman" w:eastAsia="Times New Roman" w:cs="Times New Roman"/>
          <w:color w:val="000000"/>
          <w:sz w:val="22"/>
          <w:szCs w:val="28"/>
          <w:vertAlign w:val="superscript"/>
          <w:lang w:val="uk-UA" w:eastAsia="ru-RU"/>
        </w:rPr>
      </w:pPr>
      <w:r>
        <w:rPr/>
      </w:r>
    </w:p>
    <w:p>
      <w:pPr>
        <w:pStyle w:val="Normal"/>
        <w:widowControl w:val="false"/>
        <w:spacing w:before="0" w:after="0"/>
        <w:ind w:left="0" w:right="0" w:firstLine="567"/>
        <w:jc w:val="both"/>
        <w:rPr>
          <w:rFonts w:ascii="Times New Roman" w:hAnsi="Times New Roman" w:eastAsia="Times New Roman" w:cs="Times New Roman"/>
          <w:color w:val="000000"/>
          <w:sz w:val="28"/>
          <w:szCs w:val="28"/>
          <w:vertAlign w:val="superscript"/>
          <w:lang w:val="uk-UA" w:eastAsia="ru-RU"/>
        </w:rPr>
      </w:pPr>
      <w:r>
        <w:rPr>
          <w:rFonts w:eastAsia="Times New Roman" w:cs="Times New Roman" w:ascii="Times New Roman" w:hAnsi="Times New Roman"/>
          <w:color w:val="000000"/>
          <w:sz w:val="22"/>
          <w:szCs w:val="28"/>
          <w:vertAlign w:val="superscript"/>
          <w:lang w:val="uk-UA" w:eastAsia="ru-RU"/>
        </w:rPr>
        <w:t xml:space="preserve">1 </w:t>
      </w:r>
      <w:r>
        <w:rPr>
          <w:rFonts w:eastAsia="Times New Roman" w:cs="Times New Roman" w:ascii="Times New Roman" w:hAnsi="Times New Roman"/>
          <w:color w:val="000000"/>
          <w:position w:val="0"/>
          <w:sz w:val="22"/>
          <w:sz w:val="22"/>
          <w:szCs w:val="28"/>
          <w:vertAlign w:val="baseline"/>
          <w:lang w:val="uk-UA" w:eastAsia="ru-RU"/>
        </w:rPr>
        <w:t>Зменшення відбулося за рахунок зміни кола обстежуваних підприємств та організацій</w:t>
      </w:r>
    </w:p>
    <w:p>
      <w:pPr>
        <w:pStyle w:val="Normal"/>
        <w:widowControl w:val="false"/>
        <w:spacing w:before="0" w:after="0"/>
        <w:ind w:left="0" w:right="0" w:firstLine="567"/>
        <w:jc w:val="both"/>
        <w:rPr/>
      </w:pPr>
      <w:r>
        <w:rPr>
          <w:rFonts w:eastAsia="Times New Roman" w:cs="Times New Roman" w:ascii="Times New Roman" w:hAnsi="Times New Roman"/>
          <w:color w:val="000000"/>
          <w:sz w:val="22"/>
          <w:szCs w:val="28"/>
          <w:vertAlign w:val="superscript"/>
          <w:lang w:val="uk-UA" w:eastAsia="ru-RU"/>
        </w:rPr>
        <w:t xml:space="preserve">2 </w:t>
      </w:r>
      <w:r>
        <w:rPr>
          <w:rFonts w:eastAsia="Times New Roman" w:cs="Times New Roman" w:ascii="Times New Roman" w:hAnsi="Times New Roman"/>
          <w:color w:val="000000"/>
          <w:position w:val="0"/>
          <w:sz w:val="22"/>
          <w:sz w:val="22"/>
          <w:szCs w:val="28"/>
          <w:vertAlign w:val="baseline"/>
          <w:lang w:val="uk-UA" w:eastAsia="ru-RU"/>
        </w:rPr>
        <w:t>Зменшення з 2018 року внаслідок закінчення терміну експлуатації полігону ЛСК</w:t>
      </w:r>
      <w:r>
        <w:rPr>
          <w:rFonts w:eastAsia="Times New Roman" w:cs="Times New Roman" w:ascii="Times New Roman" w:hAnsi="Times New Roman"/>
          <w:color w:val="000000"/>
          <w:kern w:val="2"/>
          <w:position w:val="0"/>
          <w:sz w:val="22"/>
          <w:sz w:val="22"/>
          <w:szCs w:val="28"/>
          <w:vertAlign w:val="baseline"/>
          <w:lang w:val="uk-UA" w:eastAsia="ru-RU" w:bidi="hi-IN"/>
        </w:rPr>
        <w:t>А</w:t>
      </w:r>
      <w:r>
        <w:rPr>
          <w:rFonts w:eastAsia="Times New Roman" w:cs="Times New Roman" w:ascii="Times New Roman" w:hAnsi="Times New Roman"/>
          <w:color w:val="000000"/>
          <w:position w:val="0"/>
          <w:sz w:val="22"/>
          <w:sz w:val="22"/>
          <w:szCs w:val="28"/>
          <w:vertAlign w:val="baseline"/>
          <w:lang w:val="uk-UA" w:eastAsia="ru-RU"/>
        </w:rPr>
        <w:t>П “Луцькспецкомунтранс” та проведення його  рекультивації</w:t>
      </w:r>
    </w:p>
    <w:p>
      <w:pPr>
        <w:pStyle w:val="Normal"/>
        <w:widowControl w:val="false"/>
        <w:tabs>
          <w:tab w:val="clear" w:pos="306"/>
          <w:tab w:val="left" w:pos="640" w:leader="none"/>
          <w:tab w:val="left" w:pos="708" w:leader="none"/>
        </w:tabs>
        <w:spacing w:lineRule="auto" w:line="240" w:before="80" w:after="0"/>
        <w:ind w:left="0" w:right="0" w:firstLine="567"/>
        <w:jc w:val="both"/>
        <w:rPr>
          <w:rFonts w:ascii="Times New Roman" w:hAnsi="Times New Roman" w:eastAsia="Times New Roman" w:cs="Times New Roman"/>
          <w:b w:val="false"/>
          <w:b w:val="false"/>
          <w:i w:val="false"/>
          <w:i w:val="false"/>
          <w:caps w:val="false"/>
          <w:smallCaps w:val="false"/>
          <w:color w:val="000000"/>
          <w:spacing w:val="0"/>
          <w:sz w:val="28"/>
          <w:szCs w:val="28"/>
          <w:highlight w:val="white"/>
          <w:lang w:val="uk-UA"/>
        </w:rPr>
      </w:pPr>
      <w:r>
        <w:rPr>
          <w:rFonts w:eastAsia="Times New Roman" w:cs="Times New Roman" w:ascii="Times New Roman" w:hAnsi="Times New Roman"/>
          <w:b/>
          <w:i w:val="false"/>
          <w:caps w:val="false"/>
          <w:smallCaps w:val="false"/>
          <w:color w:val="000000"/>
          <w:spacing w:val="0"/>
          <w:sz w:val="28"/>
          <w:szCs w:val="28"/>
          <w:highlight w:val="white"/>
          <w:lang w:val="uk-UA"/>
        </w:rPr>
        <w:t xml:space="preserve"> </w:t>
      </w:r>
      <w:r>
        <w:rPr>
          <w:rFonts w:eastAsia="Times New Roman" w:cs="Times New Roman" w:ascii="Times New Roman" w:hAnsi="Times New Roman"/>
          <w:b w:val="false"/>
          <w:bCs/>
          <w:i w:val="false"/>
          <w:caps w:val="false"/>
          <w:smallCaps w:val="false"/>
          <w:color w:val="000000"/>
          <w:spacing w:val="0"/>
          <w:sz w:val="28"/>
          <w:szCs w:val="28"/>
          <w:highlight w:val="white"/>
          <w:lang w:val="uk-UA"/>
        </w:rPr>
        <w:t>Серед підприємств, які мають найбільші обсяги накопичених відходів у спеціально відведених місцях чи об’єктах м. Луцька є Луцьке спеціальне комунальне автотранспортне підприємство «Луцькспецкомунтранс» – 343,9 тис. т (39,7% загального обсягу), комунальне підприємство «Луцькводоканал» – 522,0 тис. т (60,3 %).</w:t>
      </w:r>
      <w:r>
        <w:rPr>
          <w:rFonts w:eastAsia="Times New Roman" w:cs="Times New Roman" w:ascii="Times New Roman" w:hAnsi="Times New Roman"/>
          <w:b w:val="false"/>
          <w:bCs/>
          <w:i w:val="false"/>
          <w:caps w:val="false"/>
          <w:smallCaps w:val="false"/>
          <w:color w:val="000000"/>
          <w:spacing w:val="0"/>
          <w:sz w:val="28"/>
          <w:szCs w:val="28"/>
          <w:highlight w:val="white"/>
          <w:lang w:val="uk-UA" w:eastAsia="ru-RU"/>
        </w:rPr>
        <w:t xml:space="preserve"> </w:t>
      </w:r>
    </w:p>
    <w:p>
      <w:pPr>
        <w:pStyle w:val="Normal"/>
        <w:widowControl w:val="false"/>
        <w:tabs>
          <w:tab w:val="clear" w:pos="306"/>
          <w:tab w:val="left" w:pos="640" w:leader="none"/>
          <w:tab w:val="left" w:pos="708" w:leader="none"/>
        </w:tabs>
        <w:spacing w:lineRule="auto" w:line="240" w:before="0" w:after="0"/>
        <w:ind w:left="0" w:right="0" w:firstLine="567"/>
        <w:jc w:val="both"/>
        <w:rPr/>
      </w:pP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Найбільша частка утворених відходів (біля 98%) припадає на відходи ІV класу небезпеки.  Основним способом видалення твердих побутових відходів (ТПВ) є їх захоронення на полігоні. Для поліпшення ситуації щодо експлуатації полігону, виготовлено проєктну документацію  з реконструкції полігону </w:t>
      </w:r>
      <w:r>
        <w:rPr>
          <w:rFonts w:eastAsia="Times New Roman" w:cs="Times New Roman CYR" w:ascii="Times New Roman" w:hAnsi="Times New Roman"/>
          <w:b w:val="false"/>
          <w:bCs/>
          <w:i w:val="false"/>
          <w:caps w:val="false"/>
          <w:smallCaps w:val="false"/>
          <w:color w:val="000000"/>
          <w:spacing w:val="0"/>
          <w:sz w:val="28"/>
          <w:szCs w:val="28"/>
          <w:highlight w:val="white"/>
          <w:lang w:val="uk-UA" w:eastAsia="ru-RU"/>
        </w:rPr>
        <w:t>твердих побутових відходів</w:t>
      </w: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 в с.Брище, затверджено </w:t>
      </w:r>
      <w:r>
        <w:rPr>
          <w:rFonts w:eastAsia="Times New Roman" w:cs="Times New Roman CYR" w:ascii="Times New Roman" w:hAnsi="Times New Roman"/>
          <w:bCs/>
          <w:caps w:val="false"/>
          <w:smallCaps w:val="false"/>
          <w:spacing w:val="0"/>
          <w:sz w:val="28"/>
          <w:szCs w:val="28"/>
          <w:lang w:eastAsia="ru-RU"/>
        </w:rPr>
        <w:t>“</w:t>
      </w:r>
      <w:r>
        <w:rPr>
          <w:rFonts w:eastAsia="Times New Roman" w:cs="Times New Roman CYR" w:ascii="Times New Roman" w:hAnsi="Times New Roman"/>
          <w:b w:val="false"/>
          <w:bCs/>
          <w:i w:val="false"/>
          <w:caps w:val="false"/>
          <w:smallCaps w:val="false"/>
          <w:spacing w:val="0"/>
          <w:sz w:val="28"/>
          <w:szCs w:val="28"/>
          <w:lang w:eastAsia="ru-RU"/>
        </w:rPr>
        <w:t>Детальний план території в районі полігону твердих побутових відходів Луцької міської територіальної громади Волинської області”, що забезпечить можливість рекультивації та закриття існуючої ділянки сміттєвого полігону, а також облаштування нових ділянок, збудованих з урахуванням усіх чинних будівельних та екологічних норм.</w:t>
      </w:r>
    </w:p>
    <w:p>
      <w:pPr>
        <w:pStyle w:val="Normal"/>
        <w:widowControl w:val="false"/>
        <w:tabs>
          <w:tab w:val="clear" w:pos="306"/>
          <w:tab w:val="left" w:pos="640" w:leader="none"/>
          <w:tab w:val="left" w:pos="708" w:leader="none"/>
        </w:tabs>
        <w:spacing w:lineRule="auto" w:line="240" w:before="0" w:after="0"/>
        <w:ind w:left="0" w:right="0" w:firstLine="567"/>
        <w:jc w:val="both"/>
        <w:rPr/>
      </w:pP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 </w:t>
      </w: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В м. Луцьку та інших населених пунктах громади проводиться роздільне збирання окремих складових побутових відходів, поділ на суху та мокру фракції. Розпочали впроваджувати компостування органічних відходів у загальноосвітніх навчальних закладах громади. У 2021р. встановлено  20 компостерів у дитячих садочках, в окремих школах та ОСББ. Повне сортування здійснюється на сміттєсортувальній станції на вул. Трункіна у м.Луцьку. Другу сміттєсортувальну станцію для сортування відходів, які надходять з прилеглих сільських громад змонтовано на  полігоні в с.Брище. </w:t>
      </w:r>
    </w:p>
    <w:p>
      <w:pPr>
        <w:pStyle w:val="Normal"/>
        <w:widowControl w:val="false"/>
        <w:tabs>
          <w:tab w:val="clear" w:pos="306"/>
          <w:tab w:val="left" w:pos="640" w:leader="none"/>
          <w:tab w:val="left" w:pos="708" w:leader="none"/>
        </w:tabs>
        <w:spacing w:lineRule="auto" w:line="240" w:before="0" w:after="0"/>
        <w:ind w:left="0" w:right="0" w:firstLine="567"/>
        <w:jc w:val="both"/>
        <w:rPr/>
      </w:pP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В громаді працюють ряд приватних компаній та підприємців, які забезпечують прийом та передачу на переробку різних фракції вторинної сировини. Міською владою організовано збір відпрацьованих люмінесцентних ламп, термометрів, батарейок та акумуляторів від населення  шляхом збору у спеціальні контейнери та передачі на утилізацію спеціалізованим підприємствам. Всього у громаді встановлено близько 100 шт. контейнерів для збору батарейок та 7 комплектів для збору ртутьвміщуючих приладів (ламп та термометрів). </w:t>
      </w:r>
    </w:p>
    <w:p>
      <w:pPr>
        <w:pStyle w:val="Normal"/>
        <w:widowControl w:val="false"/>
        <w:tabs>
          <w:tab w:val="clear" w:pos="306"/>
          <w:tab w:val="left" w:pos="640" w:leader="none"/>
          <w:tab w:val="left" w:pos="708" w:leader="none"/>
        </w:tabs>
        <w:spacing w:lineRule="auto" w:line="240" w:before="0" w:after="0"/>
        <w:ind w:left="0" w:right="0" w:firstLine="567"/>
        <w:jc w:val="both"/>
        <w:rPr/>
      </w:pPr>
      <w:r>
        <w:rPr>
          <w:rFonts w:eastAsia="Times New Roman" w:cs="Times New Roman CYR" w:ascii="Times New Roman CYR" w:hAnsi="Times New Roman CYR"/>
          <w:b w:val="false"/>
          <w:bCs/>
          <w:i w:val="false"/>
          <w:caps w:val="false"/>
          <w:smallCaps w:val="false"/>
          <w:color w:val="000000"/>
          <w:spacing w:val="0"/>
          <w:sz w:val="28"/>
          <w:szCs w:val="28"/>
          <w:highlight w:val="white"/>
          <w:lang w:val="uk-UA" w:eastAsia="ru-RU"/>
        </w:rPr>
        <w:t xml:space="preserve">Не втрачає актуальності проблема утворення стихійних сміттєзвалищ на території громади, особливо за межами населених пунктів та потреба рекультивації сміттєзвалищ, які не відповідають нормам екологічної безпеки до їх експлуатації в окремих сільських населених пунктах Луцької міської територіальної громади. </w:t>
      </w:r>
    </w:p>
    <w:p>
      <w:pPr>
        <w:pStyle w:val="Style18"/>
        <w:widowControl w:val="false"/>
        <w:tabs>
          <w:tab w:val="clear" w:pos="306"/>
          <w:tab w:val="left" w:pos="640" w:leader="none"/>
          <w:tab w:val="left" w:pos="708" w:leader="none"/>
        </w:tabs>
        <w:spacing w:lineRule="auto" w:line="240" w:before="0" w:after="0"/>
        <w:ind w:left="0" w:right="0" w:firstLine="709"/>
        <w:jc w:val="both"/>
        <w:rPr>
          <w:rFonts w:ascii="Times New Roman" w:hAnsi="Times New Roman" w:eastAsia="Times New Roman" w:cs="Times New Roman"/>
          <w:b w:val="false"/>
          <w:b w:val="false"/>
          <w:bCs/>
          <w:i w:val="false"/>
          <w:i w:val="false"/>
          <w:iCs w:val="false"/>
          <w:caps w:val="false"/>
          <w:smallCaps w:val="false"/>
          <w:color w:val="000000"/>
          <w:spacing w:val="0"/>
          <w:sz w:val="28"/>
          <w:szCs w:val="28"/>
          <w:highlight w:val="white"/>
          <w:lang w:val="uk-UA" w:eastAsia="ru-RU"/>
        </w:rPr>
      </w:pPr>
      <w:r>
        <w:rPr>
          <w:rFonts w:eastAsia="Times New Roman" w:cs="Times New Roman" w:ascii="Times New Roman" w:hAnsi="Times New Roman"/>
          <w:b w:val="false"/>
          <w:bCs/>
          <w:i w:val="false"/>
          <w:iCs w:val="false"/>
          <w:caps w:val="false"/>
          <w:smallCaps w:val="false"/>
          <w:color w:val="000000"/>
          <w:spacing w:val="0"/>
          <w:sz w:val="28"/>
          <w:szCs w:val="28"/>
          <w:highlight w:val="white"/>
          <w:lang w:val="uk-UA" w:eastAsia="ru-RU"/>
        </w:rPr>
      </w:r>
    </w:p>
    <w:p>
      <w:pPr>
        <w:pStyle w:val="Style18"/>
        <w:widowControl w:val="false"/>
        <w:tabs>
          <w:tab w:val="clear" w:pos="306"/>
          <w:tab w:val="left" w:pos="640" w:leader="none"/>
          <w:tab w:val="left" w:pos="708" w:leader="none"/>
        </w:tabs>
        <w:spacing w:lineRule="auto" w:line="240" w:before="0" w:after="0"/>
        <w:ind w:left="0" w:right="0" w:firstLine="709"/>
        <w:jc w:val="both"/>
        <w:rPr/>
      </w:pPr>
      <w:r>
        <w:rPr>
          <w:rFonts w:eastAsia="Times New Roman" w:cs="Times New Roman CYR" w:ascii="Times New Roman CYR" w:hAnsi="Times New Roman CYR"/>
          <w:b/>
          <w:bCs/>
          <w:i w:val="false"/>
          <w:iCs w:val="false"/>
          <w:caps w:val="false"/>
          <w:smallCaps w:val="false"/>
          <w:color w:val="000000"/>
          <w:spacing w:val="0"/>
          <w:sz w:val="28"/>
          <w:szCs w:val="28"/>
          <w:highlight w:val="white"/>
          <w:lang w:val="uk-UA" w:eastAsia="ru-RU"/>
        </w:rPr>
        <w:t>Біорізноманіття, природно-заповідні об</w:t>
      </w:r>
      <w:r>
        <w:rPr>
          <w:rFonts w:eastAsia="Times New Roman" w:cs="Times New Roman CYR" w:ascii="Times New Roman CYR" w:hAnsi="Times New Roman CYR"/>
          <w:b/>
          <w:bCs/>
          <w:i w:val="false"/>
          <w:iCs w:val="false"/>
          <w:caps w:val="false"/>
          <w:smallCaps w:val="false"/>
          <w:color w:val="000000"/>
          <w:spacing w:val="0"/>
          <w:sz w:val="28"/>
          <w:szCs w:val="28"/>
          <w:highlight w:val="white"/>
          <w:lang w:val="ru-RU" w:eastAsia="ru-RU"/>
        </w:rPr>
        <w:t>’</w:t>
      </w:r>
      <w:r>
        <w:rPr>
          <w:rFonts w:eastAsia="Times New Roman" w:cs="Times New Roman CYR" w:ascii="Times New Roman CYR" w:hAnsi="Times New Roman CYR"/>
          <w:b/>
          <w:bCs/>
          <w:i w:val="false"/>
          <w:iCs w:val="false"/>
          <w:caps w:val="false"/>
          <w:smallCaps w:val="false"/>
          <w:color w:val="000000"/>
          <w:spacing w:val="0"/>
          <w:sz w:val="28"/>
          <w:szCs w:val="28"/>
          <w:highlight w:val="white"/>
          <w:lang w:val="uk-UA" w:eastAsia="ru-RU"/>
        </w:rPr>
        <w:t>єкти, екологічна мережа</w:t>
      </w:r>
    </w:p>
    <w:p>
      <w:pPr>
        <w:pStyle w:val="Normal"/>
        <w:widowControl w:val="false"/>
        <w:tabs>
          <w:tab w:val="clear" w:pos="306"/>
          <w:tab w:val="left" w:pos="640" w:leader="none"/>
          <w:tab w:val="left" w:pos="708" w:leader="none"/>
        </w:tabs>
        <w:spacing w:lineRule="auto" w:line="240" w:before="0" w:after="0"/>
        <w:ind w:left="0" w:right="0" w:firstLine="709"/>
        <w:jc w:val="both"/>
        <w:rPr/>
      </w:pP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На даний час на території Луцької міської територіальної громади налічується 30 об’єктів природно-заповідного фонду, з них 23 об’єкти місцевого значення та 7 об’єктів загальнодержавного значення, з них, 5 територій, що входять до складу</w:t>
      </w:r>
      <w:r>
        <w:rPr>
          <w:rFonts w:eastAsia="Times New Roman" w:cs="Times New Roman CYR" w:ascii="Times New Roman" w:hAnsi="Times New Roman"/>
          <w:b w:val="false"/>
          <w:bCs w:val="false"/>
          <w:i w:val="false"/>
          <w:iCs w:val="false"/>
          <w:caps w:val="false"/>
          <w:smallCaps w:val="false"/>
          <w:color w:val="000000"/>
          <w:spacing w:val="0"/>
          <w:sz w:val="28"/>
          <w:szCs w:val="28"/>
          <w:highlight w:val="white"/>
          <w:lang w:val="uk-UA" w:eastAsia="ru-RU"/>
        </w:rPr>
        <w:t xml:space="preserve"> </w:t>
      </w:r>
      <w:r>
        <w:rPr>
          <w:rFonts w:eastAsia="Times New Roman" w:cs="Times New Roman CYR" w:ascii="Times New Roman" w:hAnsi="Times New Roman"/>
          <w:b w:val="false"/>
          <w:bCs w:val="false"/>
          <w:i w:val="false"/>
          <w:iCs w:val="false"/>
          <w:caps w:val="false"/>
          <w:smallCaps w:val="false"/>
          <w:strike w:val="false"/>
          <w:dstrike w:val="false"/>
          <w:outline w:val="false"/>
          <w:shadow w:val="false"/>
          <w:color w:val="000000"/>
          <w:spacing w:val="0"/>
          <w:sz w:val="28"/>
          <w:szCs w:val="28"/>
          <w:highlight w:val="white"/>
          <w:u w:val="none"/>
          <w:em w:val="none"/>
          <w:lang w:val="uk-UA" w:eastAsia="ru-RU"/>
        </w:rPr>
        <w:t>К</w:t>
      </w:r>
      <w:r>
        <w:rPr>
          <w:rFonts w:ascii="Times New Roman" w:hAnsi="Times New Roman"/>
          <w:b w:val="false"/>
          <w:i w:val="false"/>
          <w:strike w:val="false"/>
          <w:dstrike w:val="false"/>
          <w:outline w:val="false"/>
          <w:shadow w:val="false"/>
          <w:color w:val="000000"/>
          <w:sz w:val="28"/>
          <w:szCs w:val="28"/>
          <w:u w:val="none"/>
          <w:em w:val="none"/>
        </w:rPr>
        <w:t>іверцівського НПП Цуманська пуща, п</w:t>
      </w:r>
      <w:r>
        <w:rPr>
          <w:rFonts w:ascii="Times New Roman" w:hAnsi="Times New Roman"/>
          <w:b w:val="false"/>
          <w:i w:val="false"/>
          <w:strike w:val="false"/>
          <w:dstrike w:val="false"/>
          <w:outline w:val="false"/>
          <w:shadow w:val="false"/>
          <w:sz w:val="28"/>
          <w:szCs w:val="28"/>
          <w:u w:val="none"/>
          <w:em w:val="none"/>
        </w:rPr>
        <w:t>арк-пам’ятка садово-паркового мистецтва “Байрак” в с. Рокині та Луцький ботанічний сад ВНУ ім. Лесі Українки.</w:t>
      </w:r>
    </w:p>
    <w:p>
      <w:pPr>
        <w:pStyle w:val="Normal"/>
        <w:widowControl w:val="false"/>
        <w:tabs>
          <w:tab w:val="clear" w:pos="306"/>
          <w:tab w:val="left" w:pos="640" w:leader="none"/>
          <w:tab w:val="left" w:pos="708" w:leader="none"/>
        </w:tabs>
        <w:spacing w:lineRule="auto" w:line="240" w:before="0" w:after="0"/>
        <w:ind w:left="0" w:right="0" w:firstLine="709"/>
        <w:jc w:val="both"/>
        <w:rPr/>
      </w:pP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 xml:space="preserve">Загальна площа об’єктів природно-заповідного фонду становить  </w:t>
      </w:r>
      <w:r>
        <w:rPr>
          <w:rFonts w:eastAsia="Times New Roman" w:cs="Times New Roman CYR" w:ascii="Times New Roman" w:hAnsi="Times New Roman"/>
          <w:b w:val="false"/>
          <w:bCs w:val="false"/>
          <w:i w:val="false"/>
          <w:iCs w:val="false"/>
          <w:caps w:val="false"/>
          <w:smallCaps w:val="false"/>
          <w:strike w:val="false"/>
          <w:dstrike w:val="false"/>
          <w:outline w:val="false"/>
          <w:shadow w:val="false"/>
          <w:color w:val="000000"/>
          <w:spacing w:val="0"/>
          <w:sz w:val="28"/>
          <w:szCs w:val="28"/>
          <w:highlight w:val="white"/>
          <w:u w:val="none"/>
          <w:em w:val="none"/>
          <w:lang w:val="uk-UA" w:eastAsia="ru-RU"/>
        </w:rPr>
        <w:t>2134,8076</w:t>
      </w:r>
      <w:r>
        <w:rPr>
          <w:rFonts w:eastAsia="Times New Roman" w:cs="Times New Roman CYR" w:ascii="Times New Roman" w:hAnsi="Times New Roman"/>
          <w:b/>
          <w:i w:val="false"/>
          <w:iCs w:val="false"/>
          <w:caps w:val="false"/>
          <w:smallCaps w:val="false"/>
          <w:strike w:val="false"/>
          <w:dstrike w:val="false"/>
          <w:outline w:val="false"/>
          <w:shadow w:val="false"/>
          <w:color w:val="000000"/>
          <w:spacing w:val="0"/>
          <w:sz w:val="28"/>
          <w:szCs w:val="28"/>
          <w:highlight w:val="white"/>
          <w:u w:val="none"/>
          <w:em w:val="none"/>
          <w:lang w:val="uk-UA" w:eastAsia="ru-RU"/>
        </w:rPr>
        <w:t xml:space="preserve"> </w:t>
      </w: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га, що забезпечує  рівень заповідності території громади  біля 5,6 %. Завершується розробка схеми екологічної мережі громади. Більшість об’єктів природно-заповідного фонду на територіях приєднаних до м.Луцька сільських громад не мають належним чином оформлених документів (проєктів встановлення меж, проєктів створення та розвитку, охоронних зобов’язань, означування, винесення в натуру).</w:t>
      </w:r>
    </w:p>
    <w:p>
      <w:pPr>
        <w:pStyle w:val="Normal"/>
        <w:widowControl w:val="false"/>
        <w:tabs>
          <w:tab w:val="clear" w:pos="306"/>
          <w:tab w:val="left" w:pos="640" w:leader="none"/>
          <w:tab w:val="left" w:pos="708" w:leader="none"/>
        </w:tabs>
        <w:spacing w:lineRule="auto" w:line="240" w:before="0" w:after="0"/>
        <w:ind w:left="0" w:right="0" w:firstLine="709"/>
        <w:jc w:val="both"/>
        <w:rPr/>
      </w:pP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 xml:space="preserve">На даному етапі </w:t>
      </w: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u w:val="single"/>
          <w:lang w:val="uk-UA" w:eastAsia="ru-RU"/>
        </w:rPr>
        <w:t>рослинне біорізноманіття</w:t>
      </w: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 xml:space="preserve"> в межах території громади зосереджене переважно в зелених зонах загального користування (парки, сквери, міські ліси). З метою створення, відновлення, охорони та збереження, утримання у здоровому впорядкованому стані, створення та формування високо-декоративних, стійких до несприятливих умов навколишнього природного середовища та змін клімату насаджень, у 2021 році міською радою затверджено ряд цільових п</w:t>
      </w: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bidi="hi-IN"/>
        </w:rPr>
        <w:t xml:space="preserve">рограм: Програма розвитку </w:t>
      </w:r>
      <w:r>
        <w:rPr>
          <w:rFonts w:eastAsia="Times New Roman" w:cs="Times New Roman CYR" w:ascii="Times New Roman" w:hAnsi="Times New Roman"/>
          <w:b w:val="false"/>
          <w:bCs w:val="false"/>
          <w:i w:val="false"/>
          <w:iCs w:val="false"/>
          <w:caps w:val="false"/>
          <w:smallCaps w:val="false"/>
          <w:color w:val="000000"/>
          <w:spacing w:val="0"/>
          <w:sz w:val="28"/>
          <w:szCs w:val="28"/>
          <w:highlight w:val="white"/>
          <w:lang w:val="uk-UA" w:eastAsia="ru-RU" w:bidi="hi-IN"/>
        </w:rPr>
        <w:t>та</w:t>
      </w:r>
      <w:r>
        <w:rPr>
          <w:rFonts w:eastAsia="Times New Roman" w:cs="Times New Roman CYR" w:ascii="Times New Roman" w:hAnsi="Times New Roman"/>
          <w:b w:val="false"/>
          <w:bCs w:val="false"/>
          <w:i w:val="false"/>
          <w:iCs w:val="false"/>
          <w:caps w:val="false"/>
          <w:smallCaps w:val="false"/>
          <w:color w:val="000000"/>
          <w:spacing w:val="0"/>
          <w:sz w:val="28"/>
          <w:szCs w:val="28"/>
          <w:highlight w:val="white"/>
          <w:lang w:val="en-US" w:eastAsia="ru-RU"/>
        </w:rPr>
        <w:t xml:space="preserve"> </w:t>
      </w:r>
      <w:r>
        <w:rPr>
          <w:rFonts w:eastAsia="Times New Roman" w:cs="Times New Roman CYR" w:ascii="Times New Roman" w:hAnsi="Times New Roman"/>
          <w:b w:val="false"/>
          <w:bCs w:val="false"/>
          <w:i w:val="false"/>
          <w:iCs w:val="false"/>
          <w:caps w:val="false"/>
          <w:smallCaps w:val="false"/>
          <w:color w:val="000000"/>
          <w:spacing w:val="0"/>
          <w:sz w:val="28"/>
          <w:szCs w:val="28"/>
          <w:highlight w:val="white"/>
          <w:lang w:val="uk-UA" w:eastAsia="ru-RU" w:bidi="hi-IN"/>
        </w:rPr>
        <w:t>збереження зелених насаджень Луцької міської територіальної громади на 2021-2025 роки, Програма розвитку та утримання комунального лісового господарства Луцької міської територіальної громади 2022-2024 роки та Програма розвитку та утримання парків та скверів, інших озеленених територій Луцької міської територіальної громади на 2022-2024 роки</w:t>
      </w: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w:t>
      </w:r>
    </w:p>
    <w:p>
      <w:pPr>
        <w:pStyle w:val="Normal"/>
        <w:widowControl w:val="false"/>
        <w:tabs>
          <w:tab w:val="clear" w:pos="306"/>
          <w:tab w:val="left" w:pos="640" w:leader="none"/>
          <w:tab w:val="left" w:pos="708" w:leader="none"/>
        </w:tabs>
        <w:spacing w:lineRule="auto" w:line="240" w:before="0" w:after="0"/>
        <w:ind w:left="0" w:right="0" w:firstLine="709"/>
        <w:jc w:val="both"/>
        <w:rPr/>
      </w:pPr>
      <w:r>
        <w:rPr>
          <w:rFonts w:eastAsia="Times New Roman" w:cs="Times New Roman CYR" w:ascii="Times New Roman CYR" w:hAnsi="Times New Roman CYR"/>
          <w:b w:val="false"/>
          <w:bCs w:val="false"/>
          <w:i w:val="false"/>
          <w:iCs w:val="false"/>
          <w:caps w:val="false"/>
          <w:smallCaps w:val="false"/>
          <w:color w:val="000000"/>
          <w:spacing w:val="0"/>
          <w:sz w:val="28"/>
          <w:szCs w:val="28"/>
          <w:highlight w:val="white"/>
          <w:lang w:val="uk-UA" w:eastAsia="ru-RU"/>
        </w:rPr>
        <w:t>Формування раціональної і достатньої структури ландшафтно-композиційних та екологічних зон рослинного біорізноманіття сприятиме оздоровленню навколишнього середовища та умов проживання, підвищенню рівня його екологічної стійкості до техногенних навантажень.</w:t>
      </w:r>
    </w:p>
    <w:p>
      <w:pPr>
        <w:pStyle w:val="Normal"/>
        <w:widowControl w:val="false"/>
        <w:tabs>
          <w:tab w:val="clear" w:pos="306"/>
          <w:tab w:val="left" w:pos="640" w:leader="none"/>
          <w:tab w:val="left" w:pos="708" w:leader="none"/>
        </w:tabs>
        <w:spacing w:lineRule="auto" w:line="240" w:before="0" w:after="0"/>
        <w:ind w:left="0" w:right="0" w:firstLine="709"/>
        <w:jc w:val="both"/>
        <w:rPr>
          <w:rFonts w:ascii="Times New Roman CYR" w:hAnsi="Times New Roman CYR" w:eastAsia="Times New Roman" w:cs="Times New Roman CYR"/>
          <w:b w:val="false"/>
          <w:b w:val="false"/>
          <w:bCs w:val="false"/>
          <w:i w:val="false"/>
          <w:i w:val="false"/>
          <w:iCs w:val="false"/>
          <w:caps w:val="false"/>
          <w:smallCaps w:val="false"/>
          <w:color w:val="000000"/>
          <w:spacing w:val="0"/>
          <w:highlight w:val="white"/>
          <w:lang w:val="uk-UA" w:eastAsia="ru-RU"/>
        </w:rPr>
      </w:pPr>
      <w:r>
        <w:rPr>
          <w:rFonts w:eastAsia="Times New Roman" w:cs="Times New Roman CYR" w:ascii="Times New Roman CYR" w:hAnsi="Times New Roman CYR"/>
          <w:b w:val="false"/>
          <w:bCs w:val="false"/>
          <w:i w:val="false"/>
          <w:iCs w:val="false"/>
          <w:caps w:val="false"/>
          <w:smallCaps w:val="false"/>
          <w:color w:val="000000"/>
          <w:spacing w:val="0"/>
          <w:highlight w:val="white"/>
          <w:lang w:val="uk-UA" w:eastAsia="ru-RU"/>
        </w:rPr>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lang w:val="uk-UA"/>
        </w:rPr>
        <w:t>До традиційних факторів антропогенного тиску в місті (промисловість, транспорт, комунальне господарство) приєдналась ще одна – нова група несприятливих факторів. До неї ми відносимо зношення і хронічне недофінансування об’єктів екологічної інфраструктури, виникнення аварійних ситуацій на об’єктах життєзабезпечення, зменшення площ зелених насаджень, понаднормативну забудову особливо в центральних частин міста, перевантаження транспортних магістралей тощо. Окрім того, на сьогодні виникла об’єктивна необхідність у переосмисленні дії деяких екологічних факторів у містах, яким раніше приділялась недостатня увага. Це, зокрема, стосується мікробіологічного та електромагнітного  забруднення довкілля як складової екологічної безпеки, міського шуму, який виходить на перший план при аналізі сприятливості міського середовища існування.</w:t>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lang w:val="uk-UA"/>
        </w:rPr>
        <w:t>За останні роки відбувається зміна видів економічної діяльності на території громади, в перспективі зростатимуть обсяги виробництва і природокористування, що може призвести до погіршення стану довкілля, перш за все, у населених пунктах громади і особливо в  обласному центрі.</w:t>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lang w:val="uk-UA"/>
        </w:rPr>
        <w:t xml:space="preserve">Підставою для розроблення Програми є існування екологічних проблем на території Луцької міської територіальної громади, розв'язання яких потребує залучення бюджетних коштів різних рівнів, спільних дій органу місцевого самоврядування, державних контролюючих органів у сфері  екологічної безпеки та санітарно-епідеміологічного благополуччя населення, підприємств, установ, організацій та населення. </w:t>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rPr>
        <w:t xml:space="preserve">  </w:t>
      </w:r>
      <w:r>
        <w:rPr>
          <w:rFonts w:eastAsia="Times New Roman" w:cs="Times New Roman" w:ascii="Times New Roman" w:hAnsi="Times New Roman"/>
          <w:b w:val="false"/>
          <w:i w:val="false"/>
          <w:caps w:val="false"/>
          <w:smallCaps w:val="false"/>
          <w:color w:val="000000"/>
          <w:spacing w:val="0"/>
          <w:sz w:val="28"/>
          <w:szCs w:val="28"/>
          <w:highlight w:val="white"/>
        </w:rPr>
        <w:t xml:space="preserve">Серед головних проблем, що негативно впливають на екологічну ситуацію є: </w:t>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rPr>
        <w:t>1</w:t>
      </w:r>
      <w:r>
        <w:rPr>
          <w:rFonts w:ascii="Times New Roman" w:hAnsi="Times New Roman"/>
          <w:b w:val="false"/>
          <w:i w:val="false"/>
          <w:caps w:val="false"/>
          <w:smallCaps w:val="false"/>
          <w:color w:val="000000"/>
          <w:spacing w:val="0"/>
          <w:sz w:val="28"/>
          <w:szCs w:val="28"/>
          <w:highlight w:val="white"/>
        </w:rPr>
        <w:t>. Забруднення атмосферного повітря викидами стаціонарних та пересувних джерел.</w:t>
      </w:r>
    </w:p>
    <w:p>
      <w:pPr>
        <w:pStyle w:val="Style18"/>
        <w:spacing w:lineRule="auto" w:line="240" w:before="0" w:after="0"/>
        <w:ind w:left="0" w:right="0" w:firstLine="709"/>
        <w:jc w:val="both"/>
        <w:rPr>
          <w:rFonts w:ascii="Times New Roman" w:hAnsi="Times New Roman"/>
          <w:color w:val="000000"/>
          <w:sz w:val="28"/>
          <w:szCs w:val="28"/>
        </w:rPr>
      </w:pPr>
      <w:r>
        <w:rPr>
          <w:rFonts w:ascii="Times New Roman" w:hAnsi="Times New Roman"/>
          <w:b w:val="false"/>
          <w:i w:val="false"/>
          <w:caps w:val="false"/>
          <w:smallCaps w:val="false"/>
          <w:color w:val="000000"/>
          <w:spacing w:val="0"/>
          <w:sz w:val="28"/>
          <w:szCs w:val="28"/>
          <w:highlight w:val="white"/>
        </w:rPr>
        <w:t>2. Зменшення рівня води у річках, пересихання озер та боліт, замулення водойм, що веде до їх деградації та зникнення, забруднення поверхневих вод.</w:t>
      </w:r>
    </w:p>
    <w:p>
      <w:pPr>
        <w:pStyle w:val="Style18"/>
        <w:spacing w:lineRule="auto" w:line="240" w:before="0" w:after="0"/>
        <w:ind w:left="0" w:right="0" w:firstLine="709"/>
        <w:jc w:val="both"/>
        <w:rPr>
          <w:rFonts w:ascii="Times New Roman" w:hAnsi="Times New Roman"/>
          <w:color w:val="000000"/>
          <w:sz w:val="28"/>
          <w:szCs w:val="28"/>
        </w:rPr>
      </w:pPr>
      <w:r>
        <w:rPr>
          <w:rFonts w:ascii="Times New Roman" w:hAnsi="Times New Roman"/>
          <w:b w:val="false"/>
          <w:i w:val="false"/>
          <w:caps w:val="false"/>
          <w:smallCaps w:val="false"/>
          <w:color w:val="000000"/>
          <w:spacing w:val="0"/>
          <w:sz w:val="28"/>
          <w:szCs w:val="28"/>
          <w:highlight w:val="white"/>
        </w:rPr>
        <w:t>3. Утворення та накопичення небезпечних відходів, зростання кількості твердих побутових відходів, незначний рівень їх сортування  та рециклінгу.</w:t>
      </w:r>
    </w:p>
    <w:p>
      <w:pPr>
        <w:pStyle w:val="Style18"/>
        <w:spacing w:lineRule="auto" w:line="240" w:before="0" w:after="0"/>
        <w:ind w:left="0" w:right="0" w:firstLine="709"/>
        <w:jc w:val="both"/>
        <w:rPr>
          <w:rFonts w:ascii="Times New Roman" w:hAnsi="Times New Roman"/>
          <w:color w:val="000000"/>
          <w:sz w:val="28"/>
          <w:szCs w:val="28"/>
        </w:rPr>
      </w:pPr>
      <w:r>
        <w:rPr>
          <w:rFonts w:ascii="Times New Roman" w:hAnsi="Times New Roman"/>
          <w:b w:val="false"/>
          <w:i w:val="false"/>
          <w:caps w:val="false"/>
          <w:smallCaps w:val="false"/>
          <w:color w:val="000000"/>
          <w:spacing w:val="0"/>
          <w:sz w:val="28"/>
          <w:szCs w:val="28"/>
          <w:highlight w:val="white"/>
        </w:rPr>
        <w:t>4. Зменшення біорізноманіття, поширення інвазійних адвентивних видів.</w:t>
      </w:r>
    </w:p>
    <w:p>
      <w:pPr>
        <w:pStyle w:val="Style18"/>
        <w:spacing w:lineRule="auto" w:line="240" w:before="0" w:after="0"/>
        <w:ind w:left="0" w:right="0" w:firstLine="709"/>
        <w:jc w:val="both"/>
        <w:rPr>
          <w:rFonts w:ascii="Times New Roman" w:hAnsi="Times New Roman"/>
          <w:color w:val="000000"/>
          <w:sz w:val="28"/>
          <w:szCs w:val="28"/>
        </w:rPr>
      </w:pPr>
      <w:r>
        <w:rPr>
          <w:rFonts w:ascii="Times New Roman" w:hAnsi="Times New Roman"/>
          <w:b w:val="false"/>
          <w:i w:val="false"/>
          <w:caps w:val="false"/>
          <w:smallCaps w:val="false"/>
          <w:color w:val="000000"/>
          <w:spacing w:val="0"/>
          <w:sz w:val="28"/>
          <w:szCs w:val="28"/>
          <w:highlight w:val="white"/>
        </w:rPr>
        <w:t>5. Недостатній рівень розвитку та охорони мережі природно-заповідних територій.</w:t>
      </w:r>
    </w:p>
    <w:p>
      <w:pPr>
        <w:pStyle w:val="Style18"/>
        <w:spacing w:lineRule="auto" w:line="240" w:before="0" w:after="0"/>
        <w:ind w:left="0" w:right="0" w:firstLine="709"/>
        <w:jc w:val="both"/>
        <w:rPr>
          <w:rFonts w:ascii="Times New Roman" w:hAnsi="Times New Roman"/>
          <w:color w:val="000000"/>
          <w:sz w:val="28"/>
          <w:szCs w:val="28"/>
        </w:rPr>
      </w:pPr>
      <w:r>
        <w:rPr>
          <w:rFonts w:ascii="Times New Roman" w:hAnsi="Times New Roman"/>
          <w:b w:val="false"/>
          <w:i w:val="false"/>
          <w:caps w:val="false"/>
          <w:smallCaps w:val="false"/>
          <w:color w:val="000000"/>
          <w:spacing w:val="0"/>
          <w:sz w:val="28"/>
          <w:szCs w:val="28"/>
          <w:highlight w:val="white"/>
        </w:rPr>
        <w:t>6. Зміни клімату, які негативно впливають на всі елементи екосистеми.</w:t>
      </w:r>
    </w:p>
    <w:p>
      <w:pPr>
        <w:pStyle w:val="Style18"/>
        <w:spacing w:lineRule="auto" w:line="240"/>
        <w:rPr>
          <w:rFonts w:ascii="Times New Roman" w:hAnsi="Times New Roman"/>
          <w:color w:val="000000"/>
          <w:sz w:val="28"/>
          <w:szCs w:val="28"/>
        </w:rPr>
      </w:pPr>
      <w:r>
        <w:rPr>
          <w:rFonts w:ascii="Times New Roman" w:hAnsi="Times New Roman"/>
          <w:color w:val="000000"/>
          <w:sz w:val="28"/>
          <w:szCs w:val="28"/>
        </w:rPr>
      </w:r>
    </w:p>
    <w:p>
      <w:pPr>
        <w:pStyle w:val="Normal"/>
        <w:ind w:left="0" w:right="0" w:firstLine="709"/>
        <w:jc w:val="center"/>
        <w:rPr/>
      </w:pPr>
      <w:r>
        <w:rPr>
          <w:rFonts w:eastAsia="Times New Roman" w:cs="Times New Roman" w:ascii="Times New Roman" w:hAnsi="Times New Roman"/>
          <w:b/>
          <w:color w:val="000000"/>
          <w:sz w:val="28"/>
          <w:szCs w:val="28"/>
        </w:rPr>
        <w:t>2. Визначення мети</w:t>
      </w:r>
    </w:p>
    <w:p>
      <w:pPr>
        <w:pStyle w:val="Normal"/>
        <w:ind w:left="0" w:right="0" w:firstLine="709"/>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ind w:left="0" w:right="0" w:firstLine="709"/>
        <w:jc w:val="both"/>
        <w:rPr>
          <w:rFonts w:ascii="Times New Roman" w:hAnsi="Times New Roman" w:eastAsia="Times New Roman" w:cs="Times New Roman"/>
          <w:b w:val="false"/>
          <w:b w:val="false"/>
          <w:i w:val="false"/>
          <w:i w:val="false"/>
          <w:caps w:val="false"/>
          <w:smallCaps w:val="false"/>
          <w:color w:val="000000"/>
          <w:spacing w:val="0"/>
          <w:sz w:val="28"/>
          <w:szCs w:val="28"/>
        </w:rPr>
      </w:pPr>
      <w:r>
        <w:rPr>
          <w:rFonts w:eastAsia="Times New Roman" w:cs="Times New Roman" w:ascii="Times New Roman" w:hAnsi="Times New Roman"/>
          <w:b w:val="false"/>
          <w:i w:val="false"/>
          <w:caps w:val="false"/>
          <w:smallCaps w:val="false"/>
          <w:color w:val="000000"/>
          <w:spacing w:val="0"/>
          <w:sz w:val="28"/>
          <w:szCs w:val="28"/>
        </w:rPr>
        <w:t>Програма розроблена з метою реалізації державної політики України в галузі довкілля, забезпечення екологічної безпеки, захисту життя і здоров'я мешканців населених пунктів від негативного впливу, зумовленого забрудненням навколишнього природного середовища.</w:t>
      </w:r>
    </w:p>
    <w:p>
      <w:pPr>
        <w:pStyle w:val="Normal"/>
        <w:ind w:left="0" w:right="0" w:firstLine="709"/>
        <w:jc w:val="both"/>
        <w:rPr>
          <w:rFonts w:ascii="Times New Roman" w:hAnsi="Times New Roman"/>
          <w:color w:val="000000"/>
        </w:rPr>
      </w:pPr>
      <w:r>
        <w:rPr>
          <w:rFonts w:eastAsia="Times New Roman" w:cs="Times New Roman" w:ascii="Times New Roman" w:hAnsi="Times New Roman"/>
          <w:color w:val="000000"/>
          <w:sz w:val="28"/>
          <w:szCs w:val="28"/>
        </w:rPr>
        <w:t xml:space="preserve">Програма направлена на збереження унікальних природних особливостей міської територіальної громади,  раціональне використання природних ресурсів, створення інформаційних ресурсів для доступу до екологічної інформації та формування в жителів громади високої екологічної свідомості. </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ind w:left="0" w:right="0" w:firstLine="709"/>
        <w:jc w:val="center"/>
        <w:rPr/>
      </w:pPr>
      <w:r>
        <w:rPr>
          <w:rFonts w:eastAsia="Times New Roman" w:cs="Times New Roman" w:ascii="Times New Roman" w:hAnsi="Times New Roman"/>
          <w:b/>
          <w:color w:val="000000"/>
          <w:sz w:val="28"/>
          <w:szCs w:val="28"/>
        </w:rPr>
        <w:t>3. Засоби розв’язання проблеми</w:t>
      </w:r>
    </w:p>
    <w:p>
      <w:pPr>
        <w:pStyle w:val="Normal"/>
        <w:ind w:left="0" w:right="0" w:firstLine="709"/>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 xml:space="preserve">Основою реалізації програми є забезпечення комплексного підходу до вирішення екологічних проблем міської громади, розуміння на всіх рівнях та врахування у всіх сферах господарської діяльності у громаді, пріоритетності екологічних заходів. </w:t>
      </w:r>
    </w:p>
    <w:p>
      <w:pPr>
        <w:pStyle w:val="Normal"/>
        <w:ind w:left="0" w:right="0" w:firstLine="709"/>
        <w:jc w:val="both"/>
        <w:rPr/>
      </w:pPr>
      <w:r>
        <w:rPr>
          <w:rFonts w:cs="Times New Roman" w:ascii="Times New Roman" w:hAnsi="Times New Roman"/>
          <w:color w:val="000000"/>
          <w:sz w:val="28"/>
          <w:szCs w:val="28"/>
        </w:rPr>
        <w:t>Основні шляхи вирішення визначених проблем передбачають:</w:t>
      </w:r>
    </w:p>
    <w:p>
      <w:pPr>
        <w:pStyle w:val="Normal"/>
        <w:ind w:left="0" w:right="0" w:firstLine="709"/>
        <w:jc w:val="both"/>
        <w:rPr/>
      </w:pPr>
      <w:r>
        <w:rPr>
          <w:rFonts w:cs="Times New Roman" w:ascii="Times New Roman" w:hAnsi="Times New Roman"/>
          <w:color w:val="000000"/>
          <w:sz w:val="28"/>
          <w:szCs w:val="28"/>
        </w:rPr>
        <w:t>1. Удосконалення системи управління, будівництво та реконструкцію інфраструктури  у галузі охорони навколишнього природного середовища (впровадження нових технологій, будівництво та реконструкція мереж і споруд енергопостачання, теплозабезпечення, водопостачання, каналізації, впровадження енергоощадних систем інженерно-технічного забезпечення функціювання житлово-комунального господарства).</w:t>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2. Раціональне використання земельних, водних, рекреаційних та інших природних ресурсів, створення передумов умов для їхнього відновлення та не виснажливого використання.</w:t>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3. Поліпшення санітарно-гігієнічного й екологічного стану населених пунктів громади шляхом впровадження сучасних технологій збирання, вилучення, переробки та знешкодження промислових і побутових відходів.</w:t>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4. Розробку землевпорядної та іншої документації, що встановлює статус земельних ділянок природоохоронного призначення, їх характеристики та можливості не виснажливого використання та збереження.</w:t>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5. Розробка пропозицій щодо прийняття нових нормативно-правових актів з питань охорони довкілля, землекористування, містобудування.</w:t>
      </w:r>
    </w:p>
    <w:p>
      <w:pPr>
        <w:pStyle w:val="Normal"/>
        <w:ind w:left="0" w:right="0" w:firstLine="709"/>
        <w:jc w:val="both"/>
        <w:rPr>
          <w:rFonts w:ascii="Times New Roman" w:hAnsi="Times New Roman"/>
          <w:color w:val="000000"/>
        </w:rPr>
      </w:pPr>
      <w:r>
        <w:rPr>
          <w:rFonts w:cs="Times New Roman" w:ascii="Times New Roman" w:hAnsi="Times New Roman"/>
          <w:color w:val="000000"/>
          <w:sz w:val="28"/>
          <w:szCs w:val="28"/>
        </w:rPr>
        <w:t>6. Створення та наповнення змістом інформаційно-аналітичних систем для забезпечення доступу громадськості до екологічної інформації.</w:t>
      </w:r>
    </w:p>
    <w:p>
      <w:pPr>
        <w:pStyle w:val="Normal"/>
        <w:ind w:left="0" w:right="0" w:firstLine="709"/>
        <w:jc w:val="both"/>
        <w:rPr/>
      </w:pPr>
      <w:r>
        <w:rPr>
          <w:rFonts w:cs="Times New Roman" w:ascii="Times New Roman" w:hAnsi="Times New Roman"/>
          <w:color w:val="000000"/>
          <w:sz w:val="28"/>
          <w:szCs w:val="28"/>
        </w:rPr>
        <w:t>7. Активне залучення громадськості до прийняття рішень з питань охорони довкілля, реалізації природо-орієнтованих заходів та проєктів.</w:t>
      </w:r>
    </w:p>
    <w:p>
      <w:pPr>
        <w:pStyle w:val="Normal"/>
        <w:ind w:left="0" w:right="0" w:firstLine="709"/>
        <w:jc w:val="both"/>
        <w:rPr/>
      </w:pPr>
      <w:r>
        <w:rPr>
          <w:rFonts w:cs="Times New Roman" w:ascii="Times New Roman" w:hAnsi="Times New Roman"/>
          <w:color w:val="000000"/>
          <w:sz w:val="28"/>
          <w:szCs w:val="28"/>
        </w:rPr>
        <w:t>8. Ефективна співпраця та координація діяльності на території громади спеціально уповноважених державних органів управління з охорони природи.</w:t>
      </w:r>
    </w:p>
    <w:p>
      <w:pPr>
        <w:pStyle w:val="Normal"/>
        <w:ind w:left="0" w:right="0" w:firstLine="709"/>
        <w:jc w:val="both"/>
        <w:rPr/>
      </w:pPr>
      <w:r>
        <w:rPr>
          <w:rFonts w:cs="Times New Roman" w:ascii="Times New Roman" w:hAnsi="Times New Roman"/>
          <w:color w:val="000000"/>
          <w:sz w:val="28"/>
          <w:szCs w:val="28"/>
        </w:rPr>
        <w:t xml:space="preserve">Джерелами фінансування заходів Програми є кошти обласного бюджету та  бюджету Луцької міської територіальної громади, природоохоронних фондів, власні кошти підприємств, установ та організацій, інші джерела фінансування  не заборонені законодавством (добровільні внески, інвестиції тощо). </w:t>
      </w:r>
    </w:p>
    <w:p>
      <w:pPr>
        <w:pStyle w:val="Normal"/>
        <w:ind w:left="0" w:right="0" w:firstLine="709"/>
        <w:jc w:val="both"/>
        <w:rPr/>
      </w:pPr>
      <w:r>
        <w:rPr>
          <w:rFonts w:cs="Times New Roman" w:ascii="Times New Roman" w:hAnsi="Times New Roman"/>
          <w:color w:val="000000"/>
          <w:sz w:val="28"/>
          <w:szCs w:val="28"/>
        </w:rPr>
        <w:t xml:space="preserve">Кошти фонду охорони навколишнього природного середовища використовуються для цільового фінансування щорічного переліку природоохоронних заходів у громаді, які відповідають видам діяльності, що належать до затверджених постановою Кабінету Міністрів України природоохоронних заходів. </w:t>
      </w:r>
    </w:p>
    <w:p>
      <w:pPr>
        <w:pStyle w:val="Normal"/>
        <w:ind w:left="0" w:right="0" w:firstLine="709"/>
        <w:jc w:val="both"/>
        <w:rPr>
          <w:rFonts w:ascii="Times New Roman" w:hAnsi="Times New Roman"/>
          <w:color w:val="000000"/>
        </w:rPr>
      </w:pPr>
      <w:r>
        <w:rPr>
          <w:rFonts w:eastAsia="Times New Roman" w:cs="Times New Roman" w:ascii="Times New Roman" w:hAnsi="Times New Roman"/>
          <w:color w:val="000000"/>
          <w:sz w:val="28"/>
          <w:szCs w:val="28"/>
        </w:rPr>
        <w:t>Ресурсне забезпечення Програми наведено у додатку 1 до Програми.</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ind w:left="0" w:right="0" w:firstLine="709"/>
        <w:jc w:val="center"/>
        <w:rPr/>
      </w:pPr>
      <w:r>
        <w:rPr>
          <w:rFonts w:eastAsia="Times New Roman" w:cs="Times New Roman" w:ascii="Times New Roman" w:hAnsi="Times New Roman"/>
          <w:b/>
          <w:color w:val="000000"/>
          <w:sz w:val="28"/>
          <w:szCs w:val="28"/>
        </w:rPr>
        <w:t>4. Перелік завдань і заходів Програми</w:t>
      </w:r>
    </w:p>
    <w:p>
      <w:pPr>
        <w:pStyle w:val="Normal"/>
        <w:ind w:left="0" w:right="0" w:firstLine="709"/>
        <w:jc w:val="both"/>
        <w:rPr>
          <w:rFonts w:ascii="Times New Roman" w:hAnsi="Times New Roman" w:eastAsia="TimesNewRomanPSMT;Times New Roman" w:cs="Times New Roman"/>
          <w:color w:val="000000"/>
          <w:sz w:val="28"/>
          <w:szCs w:val="28"/>
        </w:rPr>
      </w:pPr>
      <w:r>
        <w:rPr>
          <w:rFonts w:eastAsia="TimesNewRomanPSMT;Times New Roman" w:cs="Times New Roman" w:ascii="Times New Roman" w:hAnsi="Times New Roman"/>
          <w:color w:val="000000"/>
          <w:sz w:val="28"/>
          <w:szCs w:val="28"/>
        </w:rPr>
      </w:r>
    </w:p>
    <w:p>
      <w:pPr>
        <w:pStyle w:val="Style18"/>
        <w:spacing w:lineRule="auto" w:line="240"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rPr>
        <w:t>Враховуючи реальний стан довкілля, який сформувався на території Луцької міської територіальної громади, основними завданнями Програми охорони довкілля та пріоритетними напрямками екологічної політики міської ради є:</w:t>
      </w:r>
    </w:p>
    <w:p>
      <w:pPr>
        <w:pStyle w:val="Style18"/>
        <w:spacing w:before="0" w:after="0"/>
        <w:ind w:left="0" w:right="0" w:firstLine="709"/>
        <w:jc w:val="both"/>
        <w:rPr/>
      </w:pPr>
      <w:r>
        <w:rPr>
          <w:rFonts w:eastAsia="Times New Roman" w:cs="Times New Roman" w:ascii="Times New Roman" w:hAnsi="Times New Roman"/>
          <w:b w:val="false"/>
          <w:i w:val="false"/>
          <w:caps w:val="false"/>
          <w:smallCaps w:val="false"/>
          <w:color w:val="000000"/>
          <w:spacing w:val="0"/>
          <w:sz w:val="28"/>
          <w:szCs w:val="28"/>
          <w:highlight w:val="white"/>
          <w:lang w:val="uk-UA" w:eastAsia="zh-CN" w:bidi="hi-IN"/>
        </w:rPr>
        <w:t>- охорона атмосферного повітря від забруднення;</w:t>
      </w:r>
    </w:p>
    <w:p>
      <w:pPr>
        <w:pStyle w:val="Normal"/>
        <w:bidi w:val="0"/>
        <w:ind w:left="0" w:right="0" w:firstLine="709"/>
        <w:jc w:val="both"/>
        <w:rPr>
          <w:rFonts w:ascii="Times New Roman" w:hAnsi="Times New Roman"/>
          <w:color w:val="000000"/>
        </w:rPr>
      </w:pPr>
      <w:r>
        <w:rPr>
          <w:rFonts w:cs="Times New Roman" w:ascii="Times New Roman" w:hAnsi="Times New Roman"/>
          <w:color w:val="000000"/>
          <w:sz w:val="28"/>
          <w:szCs w:val="28"/>
          <w:lang w:val="uk-UA" w:eastAsia="zh-CN" w:bidi="hi-IN"/>
        </w:rPr>
        <w:t>- поліпшення якості поверхневих вод, шляхом здійснення заходів з відновлення гідрологічного режиму річок, очищення русел та благоустрою прибережних захисних смуг водних об’єктів;</w:t>
      </w:r>
    </w:p>
    <w:p>
      <w:pPr>
        <w:pStyle w:val="Normal"/>
        <w:bidi w:val="0"/>
        <w:ind w:left="0" w:right="0" w:firstLine="709"/>
        <w:jc w:val="both"/>
        <w:rPr>
          <w:rFonts w:ascii="Times New Roman" w:hAnsi="Times New Roman"/>
          <w:color w:val="000000"/>
        </w:rPr>
      </w:pPr>
      <w:r>
        <w:rPr>
          <w:rFonts w:cs="Times New Roman" w:ascii="Times New Roman" w:hAnsi="Times New Roman"/>
          <w:color w:val="000000"/>
          <w:sz w:val="28"/>
          <w:szCs w:val="28"/>
          <w:lang w:val="uk-UA" w:eastAsia="zh-CN" w:bidi="hi-IN"/>
        </w:rPr>
        <w:t xml:space="preserve">- </w:t>
      </w:r>
      <w:bookmarkStart w:id="0" w:name="__DdeLink__942_3204802791"/>
      <w:bookmarkStart w:id="1" w:name="__DdeLink__2093_884271840"/>
      <w:r>
        <w:rPr>
          <w:rFonts w:cs="Times New Roman" w:ascii="Times New Roman" w:hAnsi="Times New Roman"/>
          <w:color w:val="000000"/>
          <w:sz w:val="28"/>
          <w:szCs w:val="28"/>
          <w:lang w:val="uk-UA" w:eastAsia="zh-CN" w:bidi="hi-IN"/>
        </w:rPr>
        <w:t>зменшення негативного впливу відходів виробництва та споживання на якість довкілля на території Луцької міської територіальної громади</w:t>
      </w:r>
      <w:bookmarkEnd w:id="0"/>
      <w:bookmarkEnd w:id="1"/>
      <w:r>
        <w:rPr>
          <w:rFonts w:cs="Times New Roman" w:ascii="Times New Roman" w:hAnsi="Times New Roman"/>
          <w:color w:val="000000"/>
          <w:sz w:val="28"/>
          <w:szCs w:val="28"/>
          <w:lang w:val="uk-UA" w:eastAsia="zh-CN" w:bidi="hi-IN"/>
        </w:rPr>
        <w:t>;</w:t>
      </w:r>
    </w:p>
    <w:p>
      <w:pPr>
        <w:pStyle w:val="Normal"/>
        <w:bidi w:val="0"/>
        <w:ind w:left="0" w:right="0" w:firstLine="709"/>
        <w:jc w:val="both"/>
        <w:rPr>
          <w:rFonts w:ascii="Times New Roman" w:hAnsi="Times New Roman"/>
          <w:color w:val="000000"/>
        </w:rPr>
      </w:pPr>
      <w:r>
        <w:rPr>
          <w:rFonts w:cs="Times New Roman" w:ascii="Times New Roman" w:hAnsi="Times New Roman"/>
          <w:color w:val="000000"/>
          <w:sz w:val="28"/>
          <w:szCs w:val="28"/>
          <w:lang w:val="uk-UA" w:eastAsia="zh-CN" w:bidi="hi-IN"/>
        </w:rPr>
        <w:t>- збереження природної спадщини;</w:t>
      </w:r>
    </w:p>
    <w:p>
      <w:pPr>
        <w:pStyle w:val="Normal"/>
        <w:bidi w:val="0"/>
        <w:ind w:left="0" w:right="0" w:firstLine="709"/>
        <w:jc w:val="both"/>
        <w:rPr/>
      </w:pPr>
      <w:r>
        <w:rPr>
          <w:rFonts w:cs="Times New Roman" w:ascii="Times New Roman" w:hAnsi="Times New Roman"/>
          <w:color w:val="000000"/>
          <w:sz w:val="28"/>
          <w:szCs w:val="28"/>
          <w:lang w:val="uk-UA" w:eastAsia="zh-CN" w:bidi="hi-IN"/>
        </w:rPr>
        <w:t>- екологічна просвіта, інформування щодо стану довкілля.</w:t>
      </w:r>
    </w:p>
    <w:p>
      <w:pPr>
        <w:pStyle w:val="Normal"/>
        <w:bidi w:val="0"/>
        <w:ind w:left="0" w:right="0" w:firstLine="709"/>
        <w:jc w:val="center"/>
        <w:rPr>
          <w:rFonts w:ascii="Times New Roman" w:hAnsi="Times New Roman" w:cs="Times New Roman"/>
          <w:color w:val="000000"/>
          <w:sz w:val="28"/>
          <w:szCs w:val="28"/>
          <w:lang w:val="uk-UA" w:eastAsia="zh-CN" w:bidi="hi-IN"/>
        </w:rPr>
      </w:pPr>
      <w:r>
        <w:rPr>
          <w:rFonts w:cs="Times New Roman" w:ascii="Times New Roman" w:hAnsi="Times New Roman"/>
          <w:color w:val="000000"/>
          <w:sz w:val="28"/>
          <w:szCs w:val="28"/>
          <w:lang w:val="uk-UA" w:eastAsia="zh-CN" w:bidi="hi-IN"/>
        </w:rPr>
      </w:r>
    </w:p>
    <w:p>
      <w:pPr>
        <w:pStyle w:val="Normal"/>
        <w:bidi w:val="0"/>
        <w:ind w:left="0" w:right="0" w:firstLine="709"/>
        <w:jc w:val="center"/>
        <w:rPr>
          <w:b/>
          <w:b/>
          <w:bCs/>
        </w:rPr>
      </w:pPr>
      <w:r>
        <w:rPr>
          <w:rFonts w:cs="Times New Roman" w:ascii="Times New Roman" w:hAnsi="Times New Roman"/>
          <w:b/>
          <w:bCs/>
          <w:color w:val="000000"/>
          <w:sz w:val="28"/>
          <w:szCs w:val="28"/>
          <w:lang w:val="uk-UA" w:eastAsia="zh-CN" w:bidi="hi-IN"/>
        </w:rPr>
        <w:t>5. Результативні показники для проведення моніторингу та оцінки виконання  Програми</w:t>
      </w:r>
    </w:p>
    <w:p>
      <w:pPr>
        <w:pStyle w:val="Normal"/>
        <w:bidi w:val="0"/>
        <w:ind w:left="0" w:right="0" w:firstLine="709"/>
        <w:jc w:val="both"/>
        <w:rPr>
          <w:b w:val="false"/>
          <w:b w:val="false"/>
          <w:bCs w:val="false"/>
        </w:rPr>
      </w:pPr>
      <w:r>
        <w:rPr>
          <w:rFonts w:cs="Times New Roman" w:ascii="Times New Roman" w:hAnsi="Times New Roman"/>
          <w:b w:val="false"/>
          <w:bCs w:val="false"/>
          <w:color w:val="000000"/>
          <w:sz w:val="28"/>
          <w:szCs w:val="28"/>
          <w:lang w:val="uk-UA" w:eastAsia="zh-CN" w:bidi="hi-IN"/>
        </w:rPr>
        <w:t>Результативні показники виконання програми будуть відображені у статистичній та бухгалтерській звітності, на підставі якої буде здійснюватись аналіз досягнутих результатів та доцільності витрат, а також на підставі даних моніторингу довкілля (лабораторні дослідження).</w:t>
      </w:r>
    </w:p>
    <w:p>
      <w:pPr>
        <w:pStyle w:val="Normal"/>
        <w:ind w:left="0" w:right="0" w:firstLine="709"/>
        <w:jc w:val="both"/>
        <w:rPr/>
      </w:pPr>
      <w:r>
        <w:rPr>
          <w:rFonts w:eastAsia="Times New Roman" w:cs="Times New Roman" w:ascii="Times New Roman" w:hAnsi="Times New Roman"/>
          <w:color w:val="000000"/>
          <w:sz w:val="28"/>
          <w:szCs w:val="28"/>
        </w:rPr>
        <w:t>Очікуваний кінцевий результат виконання програми дозволить:</w:t>
      </w:r>
    </w:p>
    <w:p>
      <w:pPr>
        <w:pStyle w:val="Normal"/>
        <w:ind w:left="0" w:right="0" w:firstLine="709"/>
        <w:jc w:val="both"/>
        <w:rPr>
          <w:rFonts w:ascii="Times New Roman" w:hAnsi="Times New Roman"/>
          <w:color w:val="000000"/>
        </w:rPr>
      </w:pPr>
      <w:r>
        <w:rPr>
          <w:rFonts w:eastAsia="Times New Roman" w:cs="Times New Roman" w:ascii="Times New Roman" w:hAnsi="Times New Roman"/>
          <w:color w:val="000000"/>
          <w:sz w:val="28"/>
          <w:szCs w:val="28"/>
        </w:rPr>
        <w:t>- покращити стан атмосферного повітря в населених пунктах громади та створити умови щодо подолання негативних наслідків змін клімату;</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поліпшити природне середовище та естетичну привабливість території міської громади;</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розширити площі озеленення та створити нові об’єкти зеленого господарства;</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покращити якісний стан води р. Стир та інших малих річок, що протікають територією громади (шляхом реконструкції міських очисних споруд, обладнання локальними очисними спорудами витоків зливової каналізації);</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вирішити проблеми очищення території населених пунктів громади від сміття, збільшити обсяги сортування, переробки, утилізації, в т.ч. небезпечних відходів,  компостування органічної складової;</w:t>
      </w:r>
    </w:p>
    <w:p>
      <w:pPr>
        <w:pStyle w:val="Normal"/>
        <w:ind w:left="0" w:right="0"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 xml:space="preserve">- підвищити екологічну свідомість громадян. </w:t>
      </w:r>
    </w:p>
    <w:p>
      <w:pPr>
        <w:pStyle w:val="Normal"/>
        <w:ind w:left="0" w:right="0" w:firstLine="709"/>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ind w:left="0" w:right="0" w:firstLine="709"/>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6. Координація та контроль за ходом виконання Програми</w:t>
      </w:r>
    </w:p>
    <w:p>
      <w:pPr>
        <w:pStyle w:val="Normal"/>
        <w:ind w:left="0" w:right="0" w:firstLine="709"/>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ind w:left="0" w:right="0" w:firstLine="709"/>
        <w:jc w:val="both"/>
        <w:rPr/>
      </w:pPr>
      <w:r>
        <w:rPr>
          <w:rFonts w:eastAsia="Times New Roman" w:cs="Times New Roman" w:ascii="Times New Roman" w:hAnsi="Times New Roman"/>
          <w:b w:val="false"/>
          <w:bCs w:val="false"/>
          <w:color w:val="000000"/>
          <w:sz w:val="28"/>
          <w:szCs w:val="28"/>
        </w:rPr>
        <w:t xml:space="preserve">Координацію та контроль за виконанням передбачених Програмою заходів здійснюють відділ екології міської ради, постійна комісія Луцької міської ради з питань </w:t>
      </w:r>
      <w:r>
        <w:rPr>
          <w:rFonts w:eastAsia="Times New Roman" w:cs="Times New Roman" w:ascii="Times New Roman" w:hAnsi="Times New Roman"/>
          <w:b w:val="false"/>
          <w:bCs w:val="false"/>
          <w:color w:val="000000"/>
          <w:sz w:val="28"/>
          <w:szCs w:val="28"/>
          <w:lang w:val="uk-UA"/>
        </w:rPr>
        <w:t xml:space="preserve">генерального планування, будівництва, </w:t>
      </w:r>
      <w:r>
        <w:rPr>
          <w:rFonts w:cs="Times New Roman" w:ascii="Times New Roman" w:hAnsi="Times New Roman"/>
          <w:bCs w:val="false"/>
          <w:sz w:val="28"/>
          <w:szCs w:val="28"/>
          <w:lang w:val="uk-UA"/>
        </w:rPr>
        <w:t xml:space="preserve">архітектури та благоустрою, житлово-комунального господарства, </w:t>
      </w:r>
      <w:r>
        <w:rPr>
          <w:rFonts w:eastAsia="Times New Roman" w:cs="Times New Roman" w:ascii="Times New Roman" w:hAnsi="Times New Roman"/>
          <w:b w:val="false"/>
          <w:bCs w:val="false"/>
          <w:color w:val="000000"/>
          <w:sz w:val="28"/>
          <w:szCs w:val="28"/>
          <w:lang w:val="uk-UA"/>
        </w:rPr>
        <w:t xml:space="preserve">екології, транспорту та енергоощадності. </w:t>
      </w:r>
      <w:r>
        <w:rPr>
          <w:rFonts w:eastAsia="Times New Roman" w:cs="Times New Roman" w:ascii="Times New Roman" w:hAnsi="Times New Roman"/>
          <w:b w:val="false"/>
          <w:bCs w:val="false"/>
          <w:color w:val="000000"/>
          <w:sz w:val="28"/>
          <w:szCs w:val="28"/>
        </w:rPr>
        <w:t>При</w:t>
      </w:r>
      <w:r>
        <w:rPr>
          <w:rFonts w:eastAsia="TimesNewRomanPSMT;Times New Roman"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необхідності</w:t>
      </w:r>
      <w:r>
        <w:rPr>
          <w:rFonts w:eastAsia="TimesNewRomanPSMT;Times New Roman" w:cs="Times New Roman" w:ascii="Times New Roman" w:hAnsi="Times New Roman"/>
          <w:b w:val="false"/>
          <w:bCs w:val="false"/>
          <w:color w:val="000000"/>
          <w:sz w:val="28"/>
          <w:szCs w:val="28"/>
        </w:rPr>
        <w:t xml:space="preserve"> відділ </w:t>
      </w:r>
      <w:r>
        <w:rPr>
          <w:rFonts w:eastAsia="Times New Roman" w:cs="Times New Roman" w:ascii="Times New Roman" w:hAnsi="Times New Roman"/>
          <w:b w:val="false"/>
          <w:bCs w:val="false"/>
          <w:color w:val="000000"/>
          <w:sz w:val="28"/>
          <w:szCs w:val="28"/>
        </w:rPr>
        <w:t>вносить</w:t>
      </w:r>
      <w:r>
        <w:rPr>
          <w:rFonts w:eastAsia="TimesNewRomanPSMT;Times New Roman"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пропозиції</w:t>
      </w:r>
      <w:r>
        <w:rPr>
          <w:rFonts w:eastAsia="TimesNewRomanPSMT;Times New Roman"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щодо</w:t>
      </w:r>
      <w:r>
        <w:rPr>
          <w:rFonts w:eastAsia="TimesNewRomanPSMT;Times New Roman"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її</w:t>
      </w:r>
      <w:r>
        <w:rPr>
          <w:rFonts w:eastAsia="TimesNewRomanPSMT;Times New Roman"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коригування</w:t>
      </w:r>
      <w:r>
        <w:rPr>
          <w:rFonts w:eastAsia="TimesNewRomanPSMT;Times New Roman" w:cs="Times New Roman" w:ascii="Times New Roman" w:hAnsi="Times New Roman"/>
          <w:b w:val="false"/>
          <w:bCs w:val="false"/>
          <w:color w:val="000000"/>
          <w:sz w:val="28"/>
          <w:szCs w:val="28"/>
        </w:rPr>
        <w:t>.</w:t>
      </w:r>
    </w:p>
    <w:p>
      <w:pPr>
        <w:pStyle w:val="Normal"/>
        <w:ind w:left="0" w:right="0" w:firstLine="709"/>
        <w:jc w:val="both"/>
        <w:rPr/>
      </w:pPr>
      <w:r>
        <w:rPr>
          <w:rFonts w:eastAsia="Times New Roman" w:cs="Times New Roman" w:ascii="Times New Roman" w:hAnsi="Times New Roman"/>
          <w:b w:val="false"/>
          <w:bCs w:val="false"/>
          <w:color w:val="000000"/>
          <w:sz w:val="28"/>
          <w:szCs w:val="28"/>
        </w:rPr>
        <w:t>Відповідальні виконавці Програми в процесі виконання Програми забезпечують контроль за реалізацією завдань і заходів, цільове та ефективне використання бюджетних коштів протягом усього строку реалізації Програми у межах визначених бюджетних призначень.  Звіт про виконання Програми заслуховується на сесії міської ради на вимогу депутатів.</w:t>
      </w:r>
    </w:p>
    <w:p>
      <w:pPr>
        <w:pStyle w:val="Normal"/>
        <w:ind w:left="0" w:right="0"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rPr>
          <w:sz w:val="28"/>
          <w:szCs w:val="28"/>
        </w:rPr>
      </w:pPr>
      <w:r>
        <w:rPr>
          <w:sz w:val="28"/>
          <w:szCs w:val="28"/>
        </w:rPr>
      </w:r>
    </w:p>
    <w:p>
      <w:pPr>
        <w:pStyle w:val="Normal"/>
        <w:rPr>
          <w:rFonts w:ascii="Times New Roman" w:hAnsi="Times New Roman" w:cs="Times New Roman"/>
          <w:color w:val="000000"/>
          <w:sz w:val="24"/>
        </w:rPr>
      </w:pPr>
      <w:r>
        <w:rPr>
          <w:rFonts w:cs="Times New Roman" w:ascii="Times New Roman" w:hAnsi="Times New Roman"/>
          <w:color w:val="000000"/>
          <w:sz w:val="28"/>
          <w:szCs w:val="28"/>
        </w:rPr>
        <w:t>Секретар міської ради                                                             Юрій БЕЗПЯТКО</w:t>
      </w:r>
    </w:p>
    <w:p>
      <w:pPr>
        <w:pStyle w:val="Normal"/>
        <w:rPr>
          <w:rFonts w:ascii="Times New Roman" w:hAnsi="Times New Roman" w:cs="Times New Roman"/>
          <w:color w:val="000000"/>
          <w:sz w:val="24"/>
        </w:rPr>
      </w:pPr>
      <w:r>
        <w:rPr>
          <w:rFonts w:cs="Times New Roman" w:ascii="Times New Roman" w:hAnsi="Times New Roman"/>
          <w:color w:val="000000"/>
          <w:sz w:val="24"/>
        </w:rPr>
      </w:r>
    </w:p>
    <w:p>
      <w:pPr>
        <w:pStyle w:val="Normal"/>
        <w:rPr>
          <w:rFonts w:ascii="Times New Roman" w:hAnsi="Times New Roman" w:cs="Times New Roman"/>
          <w:color w:val="000000"/>
          <w:sz w:val="24"/>
        </w:rPr>
      </w:pPr>
      <w:r>
        <w:rPr>
          <w:rFonts w:cs="Times New Roman" w:ascii="Times New Roman" w:hAnsi="Times New Roman"/>
          <w:color w:val="000000"/>
          <w:sz w:val="24"/>
        </w:rPr>
      </w:r>
    </w:p>
    <w:p>
      <w:pPr>
        <w:pStyle w:val="Normal"/>
        <w:rPr/>
      </w:pPr>
      <w:r>
        <w:rPr>
          <w:rFonts w:cs="Times New Roman" w:ascii="Times New Roman" w:hAnsi="Times New Roman"/>
          <w:color w:val="000000"/>
          <w:sz w:val="24"/>
        </w:rPr>
        <w:t>Лисак 724160</w:t>
      </w:r>
    </w:p>
    <w:p>
      <w:pPr>
        <w:pStyle w:val="Normal"/>
        <w:ind w:left="4820" w:right="0" w:hanging="0"/>
        <w:rPr>
          <w:rFonts w:ascii="Times New Roman" w:hAnsi="Times New Roman" w:cs="Times New Roman"/>
          <w:color w:val="000000"/>
          <w:sz w:val="28"/>
        </w:rPr>
      </w:pPr>
      <w:r>
        <w:rPr>
          <w:rFonts w:cs="Times New Roman" w:ascii="Times New Roman" w:hAnsi="Times New Roman"/>
          <w:color w:val="000000"/>
          <w:sz w:val="28"/>
        </w:rPr>
      </w:r>
    </w:p>
    <w:p>
      <w:pPr>
        <w:pStyle w:val="Normal"/>
        <w:ind w:left="4820" w:right="0" w:hanging="0"/>
        <w:rPr>
          <w:rFonts w:ascii="Times New Roman" w:hAnsi="Times New Roman" w:cs="Times New Roman"/>
          <w:color w:val="FF0000"/>
          <w:sz w:val="28"/>
        </w:rPr>
      </w:pPr>
      <w:r>
        <w:rPr>
          <w:rFonts w:cs="Times New Roman" w:ascii="Times New Roman" w:hAnsi="Times New Roman"/>
          <w:color w:val="FF0000"/>
          <w:sz w:val="28"/>
        </w:rPr>
      </w:r>
    </w:p>
    <w:p>
      <w:pPr>
        <w:pStyle w:val="Normal"/>
        <w:ind w:left="4820" w:right="0" w:hanging="0"/>
        <w:rPr>
          <w:rFonts w:ascii="Times New Roman" w:hAnsi="Times New Roman" w:cs="Times New Roman"/>
          <w:color w:val="FF0000"/>
          <w:sz w:val="28"/>
        </w:rPr>
      </w:pPr>
      <w:r>
        <w:rPr>
          <w:rFonts w:cs="Times New Roman" w:ascii="Times New Roman" w:hAnsi="Times New Roman"/>
          <w:color w:val="FF0000"/>
          <w:sz w:val="28"/>
        </w:rPr>
      </w:r>
    </w:p>
    <w:p>
      <w:pPr>
        <w:pStyle w:val="Normal"/>
        <w:ind w:left="4820" w:right="0" w:hanging="0"/>
        <w:rPr>
          <w:rFonts w:ascii="Times New Roman" w:hAnsi="Times New Roman" w:cs="Times New Roman"/>
          <w:color w:val="FF0000"/>
          <w:sz w:val="28"/>
        </w:rPr>
      </w:pPr>
      <w:r>
        <w:rPr>
          <w:rFonts w:cs="Times New Roman" w:ascii="Times New Roman" w:hAnsi="Times New Roman"/>
          <w:color w:val="FF0000"/>
          <w:sz w:val="28"/>
        </w:rPr>
      </w:r>
    </w:p>
    <w:p>
      <w:pPr>
        <w:pStyle w:val="Normal"/>
        <w:ind w:left="4820" w:right="0" w:hanging="0"/>
        <w:rPr>
          <w:rFonts w:ascii="Times New Roman" w:hAnsi="Times New Roman" w:cs="Times New Roman"/>
          <w:color w:val="FF0000"/>
          <w:sz w:val="28"/>
        </w:rPr>
      </w:pPr>
      <w:r>
        <w:rPr>
          <w:rFonts w:cs="Times New Roman" w:ascii="Times New Roman" w:hAnsi="Times New Roman"/>
          <w:color w:val="FF0000"/>
          <w:sz w:val="28"/>
        </w:rPr>
      </w:r>
    </w:p>
    <w:p>
      <w:pPr>
        <w:pStyle w:val="Normal"/>
        <w:ind w:right="0" w:hanging="0"/>
        <w:rPr/>
      </w:pPr>
      <w:r>
        <w:rPr>
          <w:rFonts w:cs="Times New Roman" w:ascii="Times New Roman" w:hAnsi="Times New Roman"/>
          <w:color w:val="000000"/>
          <w:sz w:val="28"/>
          <w:szCs w:val="28"/>
        </w:rPr>
        <w:t xml:space="preserve">                                                                  </w:t>
      </w:r>
    </w:p>
    <w:p>
      <w:pPr>
        <w:pStyle w:val="Normal"/>
        <w:ind w:right="0" w:hanging="0"/>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right="0" w:hanging="0"/>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right="0" w:hanging="0"/>
        <w:jc w:val="both"/>
        <w:rPr>
          <w:rFonts w:ascii="Times New Roman" w:hAnsi="Times New Roman" w:cs="Times New Roman"/>
          <w:color w:val="000000"/>
          <w:sz w:val="28"/>
          <w:szCs w:val="28"/>
        </w:rPr>
      </w:pPr>
      <w:r>
        <w:rPr/>
      </w:r>
    </w:p>
    <w:p>
      <w:pPr>
        <w:pStyle w:val="Normal"/>
        <w:ind w:right="0" w:hanging="0"/>
        <w:jc w:val="both"/>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Додаток 1 </w:t>
      </w:r>
    </w:p>
    <w:p>
      <w:pPr>
        <w:pStyle w:val="Normal"/>
        <w:ind w:right="0" w:hanging="0"/>
        <w:jc w:val="both"/>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до Комплексної програми </w:t>
      </w:r>
      <w:r>
        <w:rPr>
          <w:rFonts w:eastAsia="Times New Roman" w:cs="Times New Roman" w:ascii="Times New Roman" w:hAnsi="Times New Roman"/>
          <w:color w:val="000000"/>
          <w:sz w:val="28"/>
          <w:szCs w:val="28"/>
        </w:rPr>
        <w:t xml:space="preserve"> охорони</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 xml:space="preserve">довкілля Луцької міської </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територіальної  громади</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на 2022–2025 роки</w:t>
      </w:r>
    </w:p>
    <w:p>
      <w:pPr>
        <w:pStyle w:val="Normal"/>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1"/>
        <w:numPr>
          <w:ilvl w:val="0"/>
          <w:numId w:val="3"/>
        </w:numPr>
        <w:rPr>
          <w:rFonts w:ascii="Times New Roman" w:hAnsi="Times New Roman" w:cs="Times New Roman"/>
          <w:b w:val="false"/>
          <w:b w:val="false"/>
          <w:color w:val="000000"/>
          <w:sz w:val="28"/>
          <w:szCs w:val="28"/>
        </w:rPr>
      </w:pPr>
      <w:r>
        <w:rPr>
          <w:rFonts w:cs="Times New Roman" w:ascii="Times New Roman" w:hAnsi="Times New Roman"/>
          <w:b w:val="false"/>
          <w:color w:val="000000"/>
          <w:sz w:val="28"/>
          <w:szCs w:val="28"/>
        </w:rPr>
        <w:t xml:space="preserve">Ресурсне забезпечення </w:t>
      </w:r>
    </w:p>
    <w:p>
      <w:pPr>
        <w:pStyle w:val="Normal"/>
        <w:ind w:right="0" w:hanging="0"/>
        <w:jc w:val="center"/>
        <w:rPr>
          <w:rFonts w:ascii="Times New Roman" w:hAnsi="Times New Roman"/>
        </w:rPr>
      </w:pPr>
      <w:r>
        <w:rPr>
          <w:rFonts w:cs="Times New Roman" w:ascii="Times New Roman" w:hAnsi="Times New Roman"/>
          <w:color w:val="000000"/>
          <w:sz w:val="28"/>
          <w:szCs w:val="28"/>
        </w:rPr>
        <w:t xml:space="preserve">Комплексної програми </w:t>
      </w:r>
      <w:r>
        <w:rPr>
          <w:rFonts w:eastAsia="Times New Roman" w:cs="Times New Roman" w:ascii="Times New Roman" w:hAnsi="Times New Roman"/>
          <w:color w:val="000000"/>
          <w:sz w:val="28"/>
          <w:szCs w:val="28"/>
        </w:rPr>
        <w:t xml:space="preserve"> охорони довкілля </w:t>
      </w:r>
    </w:p>
    <w:p>
      <w:pPr>
        <w:pStyle w:val="Normal"/>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Луцької міської територіальної громади на 2022–2025 роки</w:t>
      </w:r>
    </w:p>
    <w:p>
      <w:pPr>
        <w:pStyle w:val="Normal"/>
        <w:jc w:val="center"/>
        <w:rPr>
          <w:rFonts w:ascii="Times New Roman" w:hAnsi="Times New Roman" w:cs="Times New Roman"/>
          <w:color w:val="000000"/>
          <w:sz w:val="28"/>
          <w:szCs w:val="28"/>
        </w:rPr>
      </w:pPr>
      <w:r>
        <w:rPr>
          <w:rFonts w:cs="Times New Roman" w:ascii="Times New Roman" w:hAnsi="Times New Roman"/>
          <w:color w:val="000000"/>
          <w:sz w:val="28"/>
          <w:szCs w:val="28"/>
        </w:rPr>
      </w:r>
    </w:p>
    <w:tbl>
      <w:tblPr>
        <w:tblW w:w="9465" w:type="dxa"/>
        <w:jc w:val="left"/>
        <w:tblInd w:w="-53" w:type="dxa"/>
        <w:tblCellMar>
          <w:top w:w="0" w:type="dxa"/>
          <w:left w:w="108" w:type="dxa"/>
          <w:bottom w:w="0" w:type="dxa"/>
          <w:right w:w="108" w:type="dxa"/>
        </w:tblCellMar>
      </w:tblPr>
      <w:tblGrid>
        <w:gridCol w:w="2712"/>
        <w:gridCol w:w="1248"/>
        <w:gridCol w:w="1200"/>
        <w:gridCol w:w="1305"/>
        <w:gridCol w:w="1248"/>
        <w:gridCol w:w="1751"/>
      </w:tblGrid>
      <w:tr>
        <w:trPr>
          <w:trHeight w:val="751" w:hRule="atLeast"/>
          <w:cantSplit w:val="true"/>
        </w:trPr>
        <w:tc>
          <w:tcPr>
            <w:tcW w:w="2712" w:type="dxa"/>
            <w:vMerge w:val="restart"/>
            <w:tcBorders>
              <w:top w:val="single" w:sz="4" w:space="0" w:color="000000"/>
              <w:left w:val="single" w:sz="4" w:space="0" w:color="000000"/>
              <w:bottom w:val="single" w:sz="4" w:space="0" w:color="000000"/>
            </w:tcBorders>
            <w:shd w:fill="auto" w:val="clear"/>
            <w:vAlign w:val="center"/>
          </w:tcPr>
          <w:p>
            <w:pPr>
              <w:pStyle w:val="2"/>
              <w:widowControl w:val="false"/>
              <w:numPr>
                <w:ilvl w:val="1"/>
                <w:numId w:val="3"/>
              </w:numPr>
              <w:spacing w:before="240" w:after="60"/>
              <w:jc w:val="center"/>
              <w:rPr>
                <w:rFonts w:cs="Times New Roman"/>
                <w:b w:val="false"/>
                <w:b w:val="false"/>
                <w:i w:val="false"/>
                <w:i w:val="false"/>
                <w:color w:val="000000"/>
                <w:sz w:val="28"/>
              </w:rPr>
            </w:pPr>
            <w:r>
              <w:rPr>
                <w:rFonts w:cs="Times New Roman"/>
                <w:b w:val="false"/>
                <w:i w:val="false"/>
                <w:color w:val="000000"/>
                <w:sz w:val="28"/>
              </w:rPr>
            </w:r>
          </w:p>
          <w:p>
            <w:pPr>
              <w:pStyle w:val="2"/>
              <w:widowControl w:val="false"/>
              <w:numPr>
                <w:ilvl w:val="1"/>
                <w:numId w:val="3"/>
              </w:numPr>
              <w:spacing w:before="240" w:after="60"/>
              <w:jc w:val="center"/>
              <w:rPr>
                <w:rFonts w:ascii="Times New Roman" w:hAnsi="Times New Roman" w:cs="Times New Roman"/>
                <w:b w:val="false"/>
                <w:b w:val="false"/>
                <w:i w:val="false"/>
                <w:i w:val="false"/>
                <w:color w:val="000000"/>
                <w:sz w:val="28"/>
              </w:rPr>
            </w:pPr>
            <w:r>
              <w:rPr>
                <w:rFonts w:cs="Times New Roman" w:ascii="Times New Roman" w:hAnsi="Times New Roman"/>
                <w:b w:val="false"/>
                <w:i w:val="false"/>
                <w:color w:val="000000"/>
                <w:sz w:val="28"/>
              </w:rPr>
              <w:t>Обсяг коштів, які планується залучити на виконання Програми за джерелами фінансування, тис.грн</w:t>
            </w:r>
          </w:p>
        </w:tc>
        <w:tc>
          <w:tcPr>
            <w:tcW w:w="5001" w:type="dxa"/>
            <w:gridSpan w:val="4"/>
            <w:tcBorders>
              <w:top w:val="single" w:sz="4" w:space="0" w:color="000000"/>
              <w:left w:val="single" w:sz="4" w:space="0" w:color="000000"/>
              <w:bottom w:val="single" w:sz="4" w:space="0" w:color="000000"/>
            </w:tcBorders>
            <w:shd w:fill="auto" w:val="clear"/>
            <w:vAlign w:val="center"/>
          </w:tcPr>
          <w:p>
            <w:pPr>
              <w:pStyle w:val="Normal"/>
              <w:widowControl w:val="false"/>
              <w:jc w:val="center"/>
              <w:rPr/>
            </w:pPr>
            <w:r>
              <w:rPr>
                <w:rFonts w:cs="Times New Roman" w:ascii="Times New Roman" w:hAnsi="Times New Roman"/>
                <w:color w:val="000000"/>
                <w:sz w:val="28"/>
                <w:szCs w:val="28"/>
              </w:rPr>
              <w:t>Роки</w:t>
            </w:r>
          </w:p>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175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left="-81" w:right="-81"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Загальний обсяг фінансування, тис. грн</w:t>
            </w:r>
          </w:p>
        </w:tc>
      </w:tr>
      <w:tr>
        <w:trPr>
          <w:trHeight w:val="516" w:hRule="atLeast"/>
          <w:cantSplit w:val="true"/>
        </w:trPr>
        <w:tc>
          <w:tcPr>
            <w:tcW w:w="2712" w:type="dxa"/>
            <w:vMerge w:val="continue"/>
            <w:tcBorders>
              <w:top w:val="single" w:sz="4" w:space="0" w:color="000000"/>
              <w:left w:val="single" w:sz="4" w:space="0" w:color="000000"/>
              <w:bottom w:val="single" w:sz="4" w:space="0" w:color="000000"/>
            </w:tcBorders>
            <w:shd w:fill="auto" w:val="clear"/>
            <w:vAlign w:val="center"/>
          </w:tcPr>
          <w:p>
            <w:pPr>
              <w:pStyle w:val="Normal"/>
              <w:widowControl w:val="false"/>
              <w:rPr>
                <w:rFonts w:ascii="Times New Roman" w:hAnsi="Times New Roman"/>
              </w:rPr>
            </w:pPr>
            <w:r>
              <w:rPr>
                <w:rFonts w:ascii="Times New Roman" w:hAnsi="Times New Roman"/>
              </w:rPr>
            </w:r>
          </w:p>
        </w:tc>
        <w:tc>
          <w:tcPr>
            <w:tcW w:w="124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2022</w:t>
            </w:r>
          </w:p>
        </w:tc>
        <w:tc>
          <w:tcPr>
            <w:tcW w:w="1200"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2023</w:t>
            </w:r>
          </w:p>
        </w:tc>
        <w:tc>
          <w:tcPr>
            <w:tcW w:w="130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2024</w:t>
            </w:r>
          </w:p>
        </w:tc>
        <w:tc>
          <w:tcPr>
            <w:tcW w:w="124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2025</w:t>
            </w:r>
          </w:p>
        </w:tc>
        <w:tc>
          <w:tcPr>
            <w:tcW w:w="175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rPr>
                <w:rFonts w:ascii="Times New Roman" w:hAnsi="Times New Roman"/>
              </w:rPr>
            </w:pPr>
            <w:r>
              <w:rPr>
                <w:rFonts w:ascii="Times New Roman" w:hAnsi="Times New Roman"/>
              </w:rPr>
            </w:r>
          </w:p>
        </w:tc>
      </w:tr>
      <w:tr>
        <w:trPr>
          <w:trHeight w:val="1675" w:hRule="atLeast"/>
          <w:cantSplit w:val="true"/>
        </w:trPr>
        <w:tc>
          <w:tcPr>
            <w:tcW w:w="2712"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val="false"/>
              <w:snapToGrid w:val="false"/>
              <w:jc w:val="center"/>
              <w:rPr>
                <w:rFonts w:ascii="Times New Roman" w:hAnsi="Times New Roman" w:eastAsia="SimSun;宋体" w:cs="Times New Roman"/>
                <w:color w:val="000000"/>
                <w:sz w:val="28"/>
                <w:szCs w:val="28"/>
              </w:rPr>
            </w:pPr>
            <w:r>
              <w:rPr>
                <w:rFonts w:eastAsia="SimSun;宋体" w:cs="Times New Roman" w:ascii="Times New Roman" w:hAnsi="Times New Roman"/>
                <w:color w:val="000000"/>
                <w:sz w:val="28"/>
                <w:szCs w:val="28"/>
              </w:rPr>
            </w:r>
          </w:p>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Обсяг фінансових ресурсів всього,</w:t>
            </w:r>
          </w:p>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у тому числі:</w:t>
            </w:r>
          </w:p>
          <w:p>
            <w:pPr>
              <w:pStyle w:val="Normal"/>
              <w:widowControl w:val="false"/>
              <w:jc w:val="center"/>
              <w:rPr>
                <w:rFonts w:ascii="Times New Roman" w:hAnsi="Times New Roman" w:eastAsia="SimSun;宋体" w:cs="Times New Roman"/>
                <w:color w:val="000000"/>
                <w:sz w:val="28"/>
                <w:szCs w:val="28"/>
              </w:rPr>
            </w:pPr>
            <w:r>
              <w:rPr>
                <w:rFonts w:eastAsia="SimSun;宋体" w:cs="Times New Roman" w:ascii="Times New Roman" w:hAnsi="Times New Roman"/>
                <w:color w:val="000000"/>
                <w:sz w:val="28"/>
                <w:szCs w:val="28"/>
              </w:rPr>
            </w:r>
          </w:p>
        </w:tc>
        <w:tc>
          <w:tcPr>
            <w:tcW w:w="1248" w:type="dxa"/>
            <w:tcBorders>
              <w:top w:val="single" w:sz="4" w:space="0" w:color="000000"/>
              <w:left w:val="single" w:sz="4" w:space="0" w:color="000000"/>
              <w:bottom w:val="single" w:sz="4" w:space="0" w:color="000000"/>
            </w:tcBorders>
            <w:shd w:fill="auto" w:val="clear"/>
            <w:vAlign w:val="center"/>
          </w:tcPr>
          <w:p>
            <w:pPr>
              <w:pStyle w:val="Normal"/>
              <w:widowControl w:val="false"/>
              <w:ind w:left="-83" w:right="-12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21701,0</w:t>
            </w:r>
          </w:p>
        </w:tc>
        <w:tc>
          <w:tcPr>
            <w:tcW w:w="1200" w:type="dxa"/>
            <w:tcBorders>
              <w:top w:val="single" w:sz="4" w:space="0" w:color="000000"/>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31246,0</w:t>
            </w:r>
          </w:p>
        </w:tc>
        <w:tc>
          <w:tcPr>
            <w:tcW w:w="1305" w:type="dxa"/>
            <w:tcBorders>
              <w:top w:val="single" w:sz="4" w:space="0" w:color="000000"/>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19946,0</w:t>
            </w:r>
          </w:p>
        </w:tc>
        <w:tc>
          <w:tcPr>
            <w:tcW w:w="1248" w:type="dxa"/>
            <w:tcBorders>
              <w:top w:val="single" w:sz="4" w:space="0" w:color="000000"/>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17081,0</w:t>
            </w:r>
          </w:p>
        </w:tc>
        <w:tc>
          <w:tcPr>
            <w:tcW w:w="17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89974,0</w:t>
            </w:r>
          </w:p>
        </w:tc>
      </w:tr>
      <w:tr>
        <w:trPr>
          <w:trHeight w:val="1172" w:hRule="atLeast"/>
          <w:cantSplit w:val="true"/>
        </w:trPr>
        <w:tc>
          <w:tcPr>
            <w:tcW w:w="2712" w:type="dxa"/>
            <w:vMerge w:val="restart"/>
            <w:tcBorders>
              <w:left w:val="single" w:sz="4" w:space="0" w:color="000000"/>
              <w:bottom w:val="single" w:sz="4" w:space="0" w:color="000000"/>
            </w:tcBorders>
            <w:shd w:fill="auto" w:val="clear"/>
            <w:vAlign w:val="center"/>
          </w:tcPr>
          <w:p>
            <w:pPr>
              <w:pStyle w:val="Normal"/>
              <w:widowControl w:val="false"/>
              <w:jc w:val="center"/>
              <w:rPr/>
            </w:pPr>
            <w:r>
              <w:rPr>
                <w:rFonts w:cs="Times New Roman" w:ascii="Times New Roman" w:hAnsi="Times New Roman"/>
                <w:color w:val="000000"/>
                <w:sz w:val="28"/>
                <w:szCs w:val="28"/>
              </w:rPr>
              <w:t>коштів бюджету Луцької міської територіальної громади/</w:t>
            </w:r>
          </w:p>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в т.ч. спецфонд</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12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4320,0</w:t>
            </w:r>
          </w:p>
        </w:tc>
        <w:tc>
          <w:tcPr>
            <w:tcW w:w="1200"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8090,0</w:t>
            </w:r>
          </w:p>
        </w:tc>
        <w:tc>
          <w:tcPr>
            <w:tcW w:w="1305"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8080,0</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5460,0</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25950,0</w:t>
            </w:r>
          </w:p>
        </w:tc>
      </w:tr>
      <w:tr>
        <w:trPr>
          <w:cantSplit w:val="true"/>
        </w:trPr>
        <w:tc>
          <w:tcPr>
            <w:tcW w:w="2712"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12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1720,0</w:t>
            </w:r>
          </w:p>
        </w:tc>
        <w:tc>
          <w:tcPr>
            <w:tcW w:w="1200"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1910,0</w:t>
            </w:r>
          </w:p>
        </w:tc>
        <w:tc>
          <w:tcPr>
            <w:tcW w:w="1305"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2100,0</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2210,0</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7940,0</w:t>
            </w:r>
          </w:p>
        </w:tc>
      </w:tr>
      <w:tr>
        <w:trPr>
          <w:cantSplit w:val="true"/>
        </w:trPr>
        <w:tc>
          <w:tcPr>
            <w:tcW w:w="2712"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коштів обласного бюджету</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12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1300,0</w:t>
            </w:r>
          </w:p>
        </w:tc>
        <w:tc>
          <w:tcPr>
            <w:tcW w:w="1200"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1300,0</w:t>
            </w:r>
          </w:p>
        </w:tc>
        <w:tc>
          <w:tcPr>
            <w:tcW w:w="1305"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sz w:val="28"/>
                <w:szCs w:val="28"/>
              </w:rPr>
            </w:pPr>
            <w:r>
              <w:rPr>
                <w:rFonts w:ascii="Times New Roman" w:hAnsi="Times New Roman"/>
                <w:sz w:val="28"/>
                <w:szCs w:val="28"/>
              </w:rPr>
              <w:t>2600,0</w:t>
            </w:r>
          </w:p>
        </w:tc>
      </w:tr>
      <w:tr>
        <w:trPr>
          <w:cantSplit w:val="true"/>
        </w:trPr>
        <w:tc>
          <w:tcPr>
            <w:tcW w:w="2712"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коштів державного бюджету</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12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200"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305"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248" w:type="dxa"/>
            <w:tcBorders>
              <w:left w:val="single" w:sz="4" w:space="0" w:color="000000"/>
              <w:bottom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rPr>
              <w:t>---</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sz w:val="28"/>
                <w:szCs w:val="28"/>
              </w:rPr>
            </w:pPr>
            <w:r>
              <w:rPr>
                <w:rFonts w:ascii="Times New Roman" w:hAnsi="Times New Roman"/>
                <w:sz w:val="28"/>
                <w:szCs w:val="28"/>
              </w:rPr>
              <w:t>---</w:t>
            </w:r>
          </w:p>
        </w:tc>
      </w:tr>
      <w:tr>
        <w:trPr>
          <w:cantSplit w:val="true"/>
        </w:trPr>
        <w:tc>
          <w:tcPr>
            <w:tcW w:w="2712"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коштів інших джерел</w:t>
            </w:r>
          </w:p>
        </w:tc>
        <w:tc>
          <w:tcPr>
            <w:tcW w:w="1248" w:type="dxa"/>
            <w:tcBorders>
              <w:left w:val="single" w:sz="4" w:space="0" w:color="000000"/>
              <w:bottom w:val="single" w:sz="4" w:space="0" w:color="000000"/>
            </w:tcBorders>
            <w:shd w:fill="auto" w:val="clear"/>
            <w:vAlign w:val="center"/>
          </w:tcPr>
          <w:p>
            <w:pPr>
              <w:pStyle w:val="Normal"/>
              <w:widowControl w:val="false"/>
              <w:snapToGrid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16081,0</w:t>
            </w:r>
          </w:p>
        </w:tc>
        <w:tc>
          <w:tcPr>
            <w:tcW w:w="1200" w:type="dxa"/>
            <w:tcBorders>
              <w:left w:val="single" w:sz="4" w:space="0" w:color="000000"/>
              <w:bottom w:val="single" w:sz="4" w:space="0" w:color="000000"/>
            </w:tcBorders>
            <w:shd w:fill="auto" w:val="clear"/>
            <w:vAlign w:val="center"/>
          </w:tcPr>
          <w:p>
            <w:pPr>
              <w:pStyle w:val="Normal"/>
              <w:widowControl w:val="false"/>
              <w:snapToGrid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21856,0</w:t>
            </w:r>
          </w:p>
        </w:tc>
        <w:tc>
          <w:tcPr>
            <w:tcW w:w="1305" w:type="dxa"/>
            <w:tcBorders>
              <w:left w:val="single" w:sz="4" w:space="0" w:color="000000"/>
              <w:bottom w:val="single" w:sz="4" w:space="0" w:color="000000"/>
            </w:tcBorders>
            <w:shd w:fill="auto" w:val="clear"/>
            <w:vAlign w:val="center"/>
          </w:tcPr>
          <w:p>
            <w:pPr>
              <w:pStyle w:val="Normal"/>
              <w:widowControl w:val="false"/>
              <w:snapToGrid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11866,0</w:t>
            </w:r>
          </w:p>
        </w:tc>
        <w:tc>
          <w:tcPr>
            <w:tcW w:w="1248" w:type="dxa"/>
            <w:tcBorders>
              <w:left w:val="single" w:sz="4" w:space="0" w:color="000000"/>
              <w:bottom w:val="single" w:sz="4" w:space="0" w:color="000000"/>
            </w:tcBorders>
            <w:shd w:fill="auto" w:val="clear"/>
            <w:vAlign w:val="center"/>
          </w:tcPr>
          <w:p>
            <w:pPr>
              <w:pStyle w:val="Normal"/>
              <w:widowControl w:val="false"/>
              <w:snapToGrid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11621,0</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jc w:val="center"/>
              <w:rPr>
                <w:rFonts w:ascii="Times New Roman" w:hAnsi="Times New Roman" w:cs="Times New Roman"/>
                <w:color w:val="000000"/>
                <w:sz w:val="28"/>
                <w:szCs w:val="28"/>
              </w:rPr>
            </w:pPr>
            <w:r>
              <w:rPr>
                <w:rFonts w:cs="Times New Roman" w:ascii="Times New Roman" w:hAnsi="Times New Roman"/>
                <w:color w:val="000000"/>
                <w:sz w:val="28"/>
                <w:szCs w:val="28"/>
              </w:rPr>
              <w:t>61424,0</w:t>
            </w:r>
          </w:p>
        </w:tc>
      </w:tr>
      <w:tr>
        <w:trPr>
          <w:cantSplit w:val="true"/>
        </w:trPr>
        <w:tc>
          <w:tcPr>
            <w:tcW w:w="7713" w:type="dxa"/>
            <w:gridSpan w:val="5"/>
            <w:tcBorders>
              <w:left w:val="single" w:sz="4" w:space="0" w:color="000000"/>
              <w:bottom w:val="single" w:sz="4" w:space="0" w:color="000000"/>
            </w:tcBorders>
            <w:shd w:fill="auto" w:val="clear"/>
            <w:vAlign w:val="center"/>
          </w:tcPr>
          <w:p>
            <w:pPr>
              <w:pStyle w:val="Normal"/>
              <w:widowControl w:val="false"/>
              <w:jc w:val="left"/>
              <w:rPr>
                <w:rFonts w:ascii="Times New Roman" w:hAnsi="Times New Roman" w:cs="Times New Roman"/>
                <w:color w:val="000000"/>
                <w:sz w:val="28"/>
                <w:szCs w:val="28"/>
              </w:rPr>
            </w:pPr>
            <w:r>
              <w:rPr>
                <w:rFonts w:cs="Times New Roman" w:ascii="Times New Roman" w:hAnsi="Times New Roman"/>
                <w:color w:val="000000"/>
                <w:sz w:val="28"/>
                <w:szCs w:val="28"/>
              </w:rPr>
              <w:t>Всього:</w:t>
            </w:r>
          </w:p>
        </w:tc>
        <w:tc>
          <w:tcPr>
            <w:tcW w:w="1751"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ind w:left="-83" w:right="0" w:hanging="0"/>
              <w:jc w:val="center"/>
              <w:rPr>
                <w:rFonts w:ascii="Times New Roman" w:hAnsi="Times New Roman" w:cs="Times New Roman"/>
                <w:color w:val="000000"/>
                <w:sz w:val="28"/>
                <w:szCs w:val="28"/>
              </w:rPr>
            </w:pPr>
            <w:r>
              <w:rPr>
                <w:rFonts w:cs="Times New Roman" w:ascii="Times New Roman" w:hAnsi="Times New Roman"/>
                <w:color w:val="000000"/>
                <w:sz w:val="28"/>
                <w:szCs w:val="28"/>
                <w:lang w:val="uk-UA"/>
              </w:rPr>
              <w:t>89974,0</w:t>
            </w:r>
          </w:p>
        </w:tc>
      </w:tr>
    </w:tbl>
    <w:p>
      <w:pPr>
        <w:pStyle w:val="Normal"/>
        <w:jc w:val="center"/>
        <w:rPr>
          <w:rFonts w:ascii="Times New Roman" w:hAnsi="Times New Roman" w:eastAsia="SimSun;宋体" w:cs="Times New Roman"/>
          <w:color w:val="000000"/>
          <w:sz w:val="28"/>
          <w:szCs w:val="28"/>
        </w:rPr>
      </w:pPr>
      <w:r>
        <w:rPr>
          <w:rFonts w:eastAsia="SimSun;宋体" w:cs="Times New Roman" w:ascii="Times New Roman" w:hAnsi="Times New Roman"/>
          <w:color w:val="000000"/>
          <w:sz w:val="28"/>
          <w:szCs w:val="28"/>
        </w:rPr>
      </w:r>
    </w:p>
    <w:p>
      <w:pPr>
        <w:pStyle w:val="Normal"/>
        <w:tabs>
          <w:tab w:val="clear" w:pos="306"/>
          <w:tab w:val="left" w:pos="1785" w:leader="none"/>
        </w:tabs>
        <w:ind w:left="0" w:right="0" w:firstLine="7020"/>
        <w:rPr>
          <w:rFonts w:ascii="Times New Roman" w:hAnsi="Times New Roman" w:eastAsia="SimSun;宋体" w:cs="Times New Roman"/>
          <w:color w:val="000000"/>
          <w:sz w:val="26"/>
          <w:szCs w:val="28"/>
        </w:rPr>
      </w:pPr>
      <w:r>
        <w:rPr>
          <w:rFonts w:eastAsia="SimSun;宋体" w:cs="Times New Roman" w:ascii="Times New Roman" w:hAnsi="Times New Roman"/>
          <w:color w:val="000000"/>
          <w:sz w:val="26"/>
          <w:szCs w:val="28"/>
        </w:rPr>
      </w:r>
    </w:p>
    <w:p>
      <w:pPr>
        <w:sectPr>
          <w:headerReference w:type="default" r:id="rId2"/>
          <w:type w:val="nextPage"/>
          <w:pgSz w:w="11906" w:h="16838"/>
          <w:pgMar w:left="1985" w:right="567" w:header="709" w:top="766" w:footer="0" w:bottom="1134" w:gutter="0"/>
          <w:pgNumType w:start="2" w:fmt="decimal"/>
          <w:formProt w:val="false"/>
          <w:textDirection w:val="lrTb"/>
          <w:docGrid w:type="default" w:linePitch="100" w:charSpace="4096"/>
        </w:sectPr>
        <w:pStyle w:val="Normal"/>
        <w:rPr/>
      </w:pPr>
      <w:r>
        <w:rPr>
          <w:rFonts w:cs="Times New Roman" w:ascii="Times New Roman" w:hAnsi="Times New Roman"/>
          <w:color w:val="000000"/>
          <w:sz w:val="24"/>
        </w:rPr>
        <w:t>Лисак 724 160</w:t>
      </w:r>
    </w:p>
    <w:p>
      <w:pPr>
        <w:pStyle w:val="Normal"/>
        <w:ind w:left="9072" w:right="0" w:hanging="0"/>
        <w:rPr>
          <w:rFonts w:ascii="Times New Roman" w:hAnsi="Times New Roman" w:cs="Times New Roman"/>
          <w:color w:val="000000"/>
          <w:sz w:val="28"/>
          <w:szCs w:val="28"/>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Додаток 2 </w:t>
      </w:r>
    </w:p>
    <w:p>
      <w:pPr>
        <w:pStyle w:val="Normal"/>
        <w:ind w:right="0" w:hanging="0"/>
        <w:jc w:val="both"/>
        <w:rPr>
          <w:rFonts w:ascii="Times New Roman" w:hAnsi="Times New Roman"/>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до Комплексної програми </w:t>
      </w:r>
      <w:r>
        <w:rPr>
          <w:rFonts w:eastAsia="Times New Roman" w:cs="Times New Roman" w:ascii="Times New Roman" w:hAnsi="Times New Roman"/>
          <w:color w:val="000000"/>
          <w:sz w:val="28"/>
          <w:szCs w:val="28"/>
        </w:rPr>
        <w:t>охорони</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довкілля Луцької міської</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територіальної  громади</w:t>
      </w:r>
    </w:p>
    <w:p>
      <w:pPr>
        <w:pStyle w:val="Normal"/>
        <w:ind w:right="0" w:hanging="0"/>
        <w:jc w:val="both"/>
        <w:rPr>
          <w:rFonts w:ascii="Times New Roman" w:hAnsi="Times New Roman"/>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на 2022–2025 роки</w:t>
      </w:r>
    </w:p>
    <w:p>
      <w:pPr>
        <w:pStyle w:val="Normal"/>
        <w:widowControl/>
        <w:jc w:val="center"/>
        <w:rPr>
          <w:sz w:val="14"/>
          <w:szCs w:val="14"/>
        </w:rPr>
      </w:pPr>
      <w:r>
        <w:rPr>
          <w:sz w:val="14"/>
          <w:szCs w:val="14"/>
        </w:rPr>
      </w:r>
    </w:p>
    <w:p>
      <w:pPr>
        <w:pStyle w:val="Normal"/>
        <w:widowControl/>
        <w:jc w:val="center"/>
        <w:rPr>
          <w:rFonts w:ascii="Times New Roman" w:hAnsi="Times New Roman" w:eastAsia="SimSun;宋体" w:cs="Times New Roman"/>
          <w:b w:val="false"/>
          <w:b w:val="false"/>
          <w:bCs w:val="false"/>
          <w:color w:val="000000"/>
          <w:sz w:val="28"/>
          <w:szCs w:val="28"/>
        </w:rPr>
      </w:pPr>
      <w:r>
        <w:rPr>
          <w:rFonts w:eastAsia="SimSun;宋体" w:cs="Times New Roman" w:ascii="Times New Roman" w:hAnsi="Times New Roman"/>
          <w:b w:val="false"/>
          <w:bCs w:val="false"/>
          <w:color w:val="000000"/>
          <w:sz w:val="28"/>
          <w:szCs w:val="28"/>
        </w:rPr>
        <w:t>Перелік завдань, заходів та результативні показники</w:t>
      </w:r>
    </w:p>
    <w:p>
      <w:pPr>
        <w:pStyle w:val="Normal"/>
        <w:ind w:right="0" w:hanging="0"/>
        <w:jc w:val="center"/>
        <w:rPr>
          <w:rFonts w:ascii="Times New Roman" w:hAnsi="Times New Roman"/>
        </w:rPr>
      </w:pPr>
      <w:r>
        <w:rPr>
          <w:rFonts w:cs="Times New Roman" w:ascii="Times New Roman" w:hAnsi="Times New Roman"/>
          <w:color w:val="000000"/>
          <w:sz w:val="28"/>
          <w:szCs w:val="28"/>
        </w:rPr>
        <w:t xml:space="preserve">Комплексної програми </w:t>
      </w:r>
      <w:r>
        <w:rPr>
          <w:rFonts w:eastAsia="Times New Roman" w:cs="Times New Roman" w:ascii="Times New Roman" w:hAnsi="Times New Roman"/>
          <w:color w:val="000000"/>
          <w:sz w:val="28"/>
          <w:szCs w:val="28"/>
        </w:rPr>
        <w:t xml:space="preserve"> охорони довкілля Луцької міської територіальної</w:t>
      </w:r>
    </w:p>
    <w:p>
      <w:pPr>
        <w:pStyle w:val="Normal"/>
        <w:ind w:right="0" w:hanging="0"/>
        <w:jc w:val="center"/>
        <w:rPr/>
      </w:pPr>
      <w:r>
        <w:rPr>
          <w:rFonts w:eastAsia="Times New Roman" w:cs="Times New Roman" w:ascii="Times New Roman" w:hAnsi="Times New Roman"/>
          <w:color w:val="000000"/>
          <w:sz w:val="28"/>
          <w:szCs w:val="28"/>
          <w:lang w:val="uk-UA" w:eastAsia="zh-CN" w:bidi="hi-IN"/>
        </w:rPr>
        <w:t xml:space="preserve">  </w:t>
      </w:r>
      <w:r>
        <w:rPr>
          <w:rFonts w:eastAsia="Times New Roman" w:cs="Times New Roman" w:ascii="Times New Roman" w:hAnsi="Times New Roman"/>
          <w:color w:val="000000"/>
          <w:sz w:val="28"/>
          <w:szCs w:val="28"/>
          <w:lang w:val="uk-UA" w:eastAsia="zh-CN" w:bidi="hi-IN"/>
        </w:rPr>
        <w:t>громади  на 2022–2025 роки</w:t>
      </w:r>
    </w:p>
    <w:tbl>
      <w:tblPr>
        <w:tblW w:w="15540" w:type="dxa"/>
        <w:jc w:val="left"/>
        <w:tblInd w:w="0" w:type="dxa"/>
        <w:tblCellMar>
          <w:top w:w="0" w:type="dxa"/>
          <w:left w:w="108" w:type="dxa"/>
          <w:bottom w:w="0" w:type="dxa"/>
          <w:right w:w="108" w:type="dxa"/>
        </w:tblCellMar>
      </w:tblPr>
      <w:tblGrid>
        <w:gridCol w:w="2445"/>
        <w:gridCol w:w="5099"/>
        <w:gridCol w:w="1636"/>
        <w:gridCol w:w="975"/>
        <w:gridCol w:w="1410"/>
        <w:gridCol w:w="1470"/>
        <w:gridCol w:w="2504"/>
      </w:tblGrid>
      <w:tr>
        <w:trPr/>
        <w:tc>
          <w:tcPr>
            <w:tcW w:w="2445"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Назва завдання</w:t>
            </w:r>
          </w:p>
        </w:tc>
        <w:tc>
          <w:tcPr>
            <w:tcW w:w="5099"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Назва заходу</w:t>
            </w:r>
          </w:p>
        </w:tc>
        <w:tc>
          <w:tcPr>
            <w:tcW w:w="1636"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Виконавці</w:t>
            </w:r>
          </w:p>
        </w:tc>
        <w:tc>
          <w:tcPr>
            <w:tcW w:w="975"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Терміни виконання</w:t>
            </w:r>
          </w:p>
        </w:tc>
        <w:tc>
          <w:tcPr>
            <w:tcW w:w="2880" w:type="dxa"/>
            <w:gridSpan w:val="2"/>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Фінансування</w:t>
            </w:r>
          </w:p>
        </w:tc>
        <w:tc>
          <w:tcPr>
            <w:tcW w:w="25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pPr>
            <w:r>
              <w:rPr>
                <w:rFonts w:ascii="Times New Roman" w:hAnsi="Times New Roman"/>
                <w:b w:val="false"/>
                <w:bCs w:val="false"/>
                <w:i w:val="false"/>
                <w:iCs w:val="false"/>
                <w:sz w:val="24"/>
                <w:szCs w:val="24"/>
                <w:u w:val="none"/>
              </w:rPr>
              <w:t xml:space="preserve">Результативні показники </w:t>
            </w:r>
          </w:p>
        </w:tc>
      </w:tr>
      <w:tr>
        <w:trPr/>
        <w:tc>
          <w:tcPr>
            <w:tcW w:w="2445" w:type="dxa"/>
            <w:vMerge w:val="continue"/>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vMerge w:val="continue"/>
            <w:tcBorders>
              <w:top w:val="single" w:sz="4" w:space="0" w:color="000000"/>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1636" w:type="dxa"/>
            <w:vMerge w:val="continue"/>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975" w:type="dxa"/>
            <w:vMerge w:val="continue"/>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1410"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Джерела</w:t>
            </w:r>
          </w:p>
        </w:tc>
        <w:tc>
          <w:tcPr>
            <w:tcW w:w="1470"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Обсяги, тис. грн</w:t>
            </w:r>
          </w:p>
        </w:tc>
        <w:tc>
          <w:tcPr>
            <w:tcW w:w="25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r>
      <w:tr>
        <w:trPr/>
        <w:tc>
          <w:tcPr>
            <w:tcW w:w="2445" w:type="dxa"/>
            <w:vMerge w:val="restart"/>
            <w:tcBorders>
              <w:left w:val="single" w:sz="4" w:space="0" w:color="000000"/>
              <w:bottom w:val="single" w:sz="4" w:space="0" w:color="000000"/>
            </w:tcBorders>
            <w:shd w:fill="auto" w:val="clear"/>
          </w:tcPr>
          <w:p>
            <w:pPr>
              <w:pStyle w:val="Style30"/>
              <w:widowControl w:val="false"/>
              <w:jc w:val="center"/>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t>І. Охорона і раціональне використання водних ресурсів</w:t>
            </w:r>
          </w:p>
        </w:tc>
        <w:tc>
          <w:tcPr>
            <w:tcW w:w="5099" w:type="dxa"/>
            <w:tcBorders>
              <w:left w:val="single" w:sz="4" w:space="0" w:color="000000"/>
              <w:bottom w:val="single" w:sz="4" w:space="0" w:color="000000"/>
            </w:tcBorders>
            <w:shd w:fill="auto" w:val="clear"/>
            <w:vAlign w:val="center"/>
          </w:tcPr>
          <w:p>
            <w:pPr>
              <w:pStyle w:val="Style30"/>
              <w:widowControl w:val="false"/>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t>1. Біологічна меліорація водойм (зариблення)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Збереження та примноження  біоресурсів, покращення стану водойм</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before="0" w:after="0"/>
              <w:ind w:left="0" w:right="0" w:hanging="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t>2. Заходи щодо відновлення і підтримання сприятливого гідрологічного режиму, санітарного  стану та благоустрою  річок та водойм, створення водоохоронних зон (в т.ч. розробка проектної документації)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Покращення санітарно-екологічного стану водойм,  встановлення меж природоохоронних територій, забезпечення їх охорони, очищення  каналів в парку</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vMerge w:val="restart"/>
            <w:tcBorders>
              <w:left w:val="single" w:sz="4" w:space="0" w:color="000000"/>
              <w:bottom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pacing w:val="2"/>
                <w:sz w:val="24"/>
                <w:szCs w:val="24"/>
                <w:u w:val="none"/>
                <w:lang w:val="uk-UA"/>
              </w:rPr>
            </w:pPr>
            <w:r>
              <w:rPr>
                <w:rFonts w:ascii="Times New Roman" w:hAnsi="Times New Roman"/>
                <w:b w:val="false"/>
                <w:bCs w:val="false"/>
                <w:i w:val="false"/>
                <w:iCs w:val="false"/>
                <w:spacing w:val="2"/>
                <w:sz w:val="24"/>
                <w:szCs w:val="24"/>
                <w:u w:val="none"/>
                <w:lang w:val="uk-UA"/>
              </w:rPr>
              <w:t>3. Утримання в належному стані прибережних захисних смуг та водоохоронних зон річок та водойм</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left"/>
              <w:rPr/>
            </w:pPr>
            <w:r>
              <w:rPr>
                <w:rFonts w:ascii="Times New Roman" w:hAnsi="Times New Roman"/>
                <w:b w:val="false"/>
                <w:bCs w:val="false"/>
                <w:i w:val="false"/>
                <w:iCs w:val="false"/>
                <w:sz w:val="24"/>
                <w:szCs w:val="24"/>
                <w:u w:val="none"/>
              </w:rPr>
              <w:t xml:space="preserve"> </w:t>
            </w:r>
            <w:r>
              <w:rPr>
                <w:rFonts w:ascii="Times New Roman" w:hAnsi="Times New Roman"/>
                <w:b w:val="false"/>
                <w:bCs w:val="false"/>
                <w:i w:val="false"/>
                <w:iCs w:val="false"/>
                <w:sz w:val="24"/>
                <w:szCs w:val="24"/>
                <w:u w:val="none"/>
              </w:rPr>
              <w:t>Попередження заростання та замулення водних об’єктів</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vMerge w:val="continue"/>
            <w:tcBorders>
              <w:left w:val="single" w:sz="4" w:space="0" w:color="000000"/>
              <w:bottom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pacing w:val="2"/>
                <w:sz w:val="24"/>
                <w:szCs w:val="24"/>
                <w:u w:val="none"/>
                <w:lang w:val="uk-UA"/>
              </w:rPr>
            </w:pPr>
            <w:r>
              <w:rPr>
                <w:rFonts w:ascii="Times New Roman" w:hAnsi="Times New Roman"/>
                <w:b w:val="false"/>
                <w:bCs w:val="false"/>
                <w:i w:val="false"/>
                <w:iCs w:val="false"/>
                <w:spacing w:val="2"/>
                <w:sz w:val="24"/>
                <w:szCs w:val="24"/>
                <w:u w:val="none"/>
                <w:lang w:val="uk-UA"/>
              </w:rPr>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Санітарне прибирання, покращення рекреаційних можливостей використання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pacing w:val="2"/>
                <w:sz w:val="24"/>
                <w:szCs w:val="24"/>
                <w:u w:val="none"/>
                <w:lang w:val="uk-UA"/>
              </w:rPr>
              <w:t>4. Очищення русел річок від повалених дерев, догляд за прибережними захисними смугами та водоохоронними зонами  (видалення аварійних, сухостійних, вітровальних, фаутних дерев) з метою покращення гідрологічного режиму та санітарного стану водних об'єктів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tc>
        <w:tc>
          <w:tcPr>
            <w:tcW w:w="2504" w:type="dxa"/>
            <w:tcBorders>
              <w:left w:val="single" w:sz="4" w:space="0" w:color="000000"/>
              <w:bottom w:val="single" w:sz="4" w:space="0" w:color="000000"/>
              <w:right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pacing w:val="2"/>
                <w:sz w:val="24"/>
                <w:szCs w:val="24"/>
                <w:u w:val="none"/>
                <w:lang w:val="uk-UA"/>
              </w:rPr>
              <w:t>Покращення гідрологічного режиму та санітарного стану водних об'єктів, відновлення судноплавства на р. Стир</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pacing w:val="2"/>
                <w:sz w:val="24"/>
                <w:szCs w:val="24"/>
                <w:u w:val="none"/>
                <w:lang w:val="uk-UA"/>
              </w:rPr>
              <w:t>5. Відновлення гідрологічного режиму та санітарного стану заплави р. Стир в районі вул. Гнідавська — вул. Ковельська в м. Луцьку (в т.ч. розробка/коригування проєкту)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Інші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Відповідно до ПКД</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Очищення заплави від мулових осадів, поглиблення водойми, відновлення водообміну в гідрологічній системі р. Стир</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2"/>
              <w:widowControl w:val="false"/>
              <w:spacing w:before="0" w:after="0"/>
              <w:jc w:val="both"/>
              <w:rPr>
                <w:rFonts w:ascii="Times New Roman" w:hAnsi="Times New Roman"/>
              </w:rPr>
            </w:pPr>
            <w:r>
              <w:rPr>
                <w:rFonts w:cs="Times New Roman" w:ascii="Times New Roman" w:hAnsi="Times New Roman"/>
                <w:color w:val="000000"/>
                <w:spacing w:val="2"/>
                <w:sz w:val="24"/>
                <w:szCs w:val="24"/>
                <w:lang w:val="uk-UA"/>
              </w:rPr>
              <w:t>6. Реконструкція та відновлення водойми на території</w:t>
            </w:r>
            <w:r>
              <w:rPr>
                <w:rFonts w:eastAsia="Times New Roman" w:cs="Times New Roman" w:ascii="Times New Roman" w:hAnsi="Times New Roman"/>
                <w:b w:val="false"/>
                <w:bCs w:val="false"/>
                <w:i w:val="false"/>
                <w:iCs w:val="false"/>
                <w:color w:val="000000"/>
                <w:spacing w:val="2"/>
                <w:sz w:val="24"/>
                <w:szCs w:val="24"/>
                <w:u w:val="none"/>
                <w:lang w:val="uk-UA"/>
              </w:rPr>
              <w:t xml:space="preserve"> </w:t>
            </w:r>
            <w:r>
              <w:rPr>
                <w:rFonts w:cs="Times New Roman" w:ascii="Times New Roman" w:hAnsi="Times New Roman"/>
                <w:b w:val="false"/>
                <w:bCs w:val="false"/>
                <w:i w:val="false"/>
                <w:iCs w:val="false"/>
                <w:color w:val="000000"/>
                <w:spacing w:val="2"/>
                <w:sz w:val="24"/>
                <w:szCs w:val="24"/>
                <w:u w:val="none"/>
                <w:lang w:val="uk-UA"/>
              </w:rPr>
              <w:t>с. Прилуцьке</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Обласний бюджет</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1300,0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Відновлення  водойми, розвиток рекреаційного потенціалу території, адаптація до кліматичних змін</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2"/>
              <w:widowControl w:val="false"/>
              <w:spacing w:before="0" w:after="0"/>
              <w:ind w:left="0" w:right="0" w:hanging="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pacing w:val="2"/>
                <w:sz w:val="24"/>
                <w:szCs w:val="24"/>
                <w:u w:val="none"/>
                <w:lang w:val="uk-UA"/>
              </w:rPr>
              <w:t>7. Будівництво локальних очисних споруд дощової каналізації на основних скидах у відкриті водойми міста (в т.ч. розробка проєкту)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Покращить якість води у поверхневих водних об’єктах, зменшить руйнування місць скидів на випусках</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rPr>
            </w:pPr>
            <w:r>
              <w:rPr>
                <w:rFonts w:eastAsia="Segoe UI" w:cs="Tahoma" w:ascii="Times New Roman" w:hAnsi="Times New Roman"/>
                <w:b w:val="false"/>
                <w:bCs w:val="false"/>
                <w:i w:val="false"/>
                <w:iCs w:val="false"/>
                <w:color w:val="000000"/>
                <w:kern w:val="0"/>
                <w:sz w:val="24"/>
                <w:szCs w:val="24"/>
                <w:u w:val="none"/>
                <w:lang w:val="uk-UA" w:eastAsia="zh-CN" w:bidi="hi-IN"/>
              </w:rPr>
              <w:t>8. Р</w:t>
            </w:r>
            <w:r>
              <w:rPr>
                <w:rFonts w:ascii="Times New Roman" w:hAnsi="Times New Roman"/>
                <w:b w:val="false"/>
                <w:bCs w:val="false"/>
                <w:i w:val="false"/>
                <w:iCs w:val="false"/>
                <w:sz w:val="24"/>
                <w:szCs w:val="24"/>
                <w:u w:val="none"/>
              </w:rPr>
              <w:t>еконструкція гідротехнічних споруд (дамби, греблі, шлюзи тощо)</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Забезпечення стійкості штучно створених водних систем, можливість при потребі регулювати рівень води у об’єктах </w:t>
            </w:r>
            <w:r>
              <w:rPr>
                <w:rFonts w:ascii="Times New Roman" w:hAnsi="Times New Roman"/>
                <w:b w:val="false"/>
                <w:bCs w:val="false"/>
                <w:i w:val="false"/>
                <w:iCs w:val="false"/>
                <w:sz w:val="24"/>
                <w:szCs w:val="24"/>
                <w:u w:val="none"/>
                <w:lang w:val="uk-UA"/>
              </w:rPr>
              <w:t xml:space="preserve">при настанні несприятливих явищ </w:t>
            </w:r>
            <w:r>
              <w:rPr>
                <w:rFonts w:ascii="Times New Roman" w:hAnsi="Times New Roman"/>
                <w:b w:val="false"/>
                <w:bCs w:val="false"/>
                <w:i w:val="false"/>
                <w:iCs w:val="false"/>
                <w:sz w:val="24"/>
                <w:szCs w:val="24"/>
                <w:u w:val="none"/>
                <w:lang w:val="en-US"/>
              </w:rPr>
              <w:t>(</w:t>
            </w:r>
            <w:r>
              <w:rPr>
                <w:rFonts w:ascii="Times New Roman" w:hAnsi="Times New Roman"/>
                <w:b w:val="false"/>
                <w:bCs w:val="false"/>
                <w:i w:val="false"/>
                <w:iCs w:val="false"/>
                <w:sz w:val="24"/>
                <w:szCs w:val="24"/>
                <w:u w:val="none"/>
                <w:lang w:val="uk-UA"/>
              </w:rPr>
              <w:t xml:space="preserve">повені, засухи </w:t>
            </w:r>
            <w:r>
              <w:rPr>
                <w:rFonts w:ascii="Times New Roman" w:hAnsi="Times New Roman"/>
                <w:b w:val="false"/>
                <w:bCs w:val="false"/>
                <w:i w:val="false"/>
                <w:iCs w:val="false"/>
                <w:sz w:val="24"/>
                <w:szCs w:val="24"/>
                <w:u w:val="none"/>
                <w:lang w:val="en-US"/>
              </w:rPr>
              <w:t>)</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caps w:val="false"/>
                <w:smallCaps w:val="false"/>
                <w:color w:val="212529"/>
                <w:spacing w:val="0"/>
                <w:sz w:val="24"/>
                <w:szCs w:val="24"/>
                <w:u w:val="none"/>
              </w:rPr>
              <w:t>9. Роботи, пов'язані з поліпшенням технічного стану та благоустрою водойм</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Підвищить рекреаційний потенціал території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b w:val="false"/>
                <w:bCs w:val="false"/>
                <w:i w:val="false"/>
                <w:iCs w:val="false"/>
                <w:caps w:val="false"/>
                <w:smallCaps w:val="false"/>
                <w:color w:val="212529"/>
                <w:spacing w:val="0"/>
                <w:sz w:val="24"/>
                <w:szCs w:val="24"/>
                <w:u w:val="none"/>
              </w:rPr>
              <w:t>10. Паспортизація малих річок і водойм</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80,0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Створення передумов для збереження, захисту, надання в оренду ставів</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11. Паспортизація гідротехнічних споруд</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Створення передумов для збереження, захисту, надання в оренду</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12. Реконструкція маслобензовловлювача</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1"/>
                <w:szCs w:val="21"/>
                <w:u w:val="none"/>
                <w:lang w:val="uk-UA" w:eastAsia="zh-CN" w:bidi="hi-IN"/>
              </w:rPr>
            </w:pPr>
            <w:r>
              <w:rPr>
                <w:rFonts w:eastAsia="Segoe UI" w:cs="Tahoma" w:ascii="Times New Roman" w:hAnsi="Times New Roman"/>
                <w:b w:val="false"/>
                <w:bCs w:val="false"/>
                <w:i w:val="false"/>
                <w:iCs w:val="false"/>
                <w:color w:val="000000"/>
                <w:kern w:val="0"/>
                <w:sz w:val="21"/>
                <w:szCs w:val="21"/>
                <w:u w:val="none"/>
                <w:lang w:val="uk-UA" w:eastAsia="zh-CN" w:bidi="hi-IN"/>
              </w:rPr>
              <w:t>ПрАТ “Теремно Хліб”</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стічних вод</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13. Проведення лабораторного контролю за якісним складом стічних вод</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Покращення якості стічних вод</w:t>
            </w:r>
          </w:p>
          <w:p>
            <w:pPr>
              <w:pStyle w:val="Normal"/>
              <w:widowControl w:val="false"/>
              <w:jc w:val="both"/>
              <w:rPr>
                <w:rFonts w:ascii="Times New Roman" w:hAnsi="Times New Roman"/>
                <w:b w:val="false"/>
                <w:b w:val="false"/>
                <w:bCs w:val="false"/>
                <w:i w:val="false"/>
                <w:i w:val="false"/>
                <w:iCs w:val="false"/>
                <w:sz w:val="24"/>
                <w:szCs w:val="24"/>
                <w:u w:val="none"/>
              </w:rPr>
            </w:pPr>
            <w:r>
              <w:rPr/>
            </w:r>
          </w:p>
          <w:p>
            <w:pPr>
              <w:pStyle w:val="Normal"/>
              <w:widowControl w:val="false"/>
              <w:jc w:val="both"/>
              <w:rPr>
                <w:rFonts w:ascii="Times New Roman" w:hAnsi="Times New Roman"/>
                <w:b w:val="false"/>
                <w:b w:val="false"/>
                <w:bCs w:val="false"/>
                <w:i w:val="false"/>
                <w:i w:val="false"/>
                <w:iCs w:val="false"/>
                <w:sz w:val="24"/>
                <w:szCs w:val="24"/>
                <w:u w:val="none"/>
              </w:rPr>
            </w:pPr>
            <w:r>
              <w:rPr/>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14. Реконструкція радіального відстійника очисних споруд промислової каналізації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ТзОВ “Луцька картонно-паперова фабрика”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стічних вод</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 Встановлення  ротаційного сепаратора для очищення води після установки з виготовлення картону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ТзОВ “Луцька картонно-паперова фабрика”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стічних вод</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16. Будівництво локальних очисних споруд стічних вод на дільниці галтування ролика</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5500,0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стічних вод</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17. Реконструкція системи очищення дощових вод та розробка концепції повторного використання дощових  стоків для технічних потреб</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зливових стоків, раціональне використання природних ресурсів</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sz w:val="24"/>
                <w:szCs w:val="24"/>
                <w:u w:val="none"/>
              </w:rPr>
              <w:t>18. Розчищення русла та укріплення берегів</w:t>
            </w:r>
          </w:p>
          <w:p>
            <w:pPr>
              <w:pStyle w:val="Normal"/>
              <w:widowControl w:val="false"/>
              <w:jc w:val="both"/>
              <w:rPr/>
            </w:pPr>
            <w:r>
              <w:rPr>
                <w:rFonts w:ascii="Times New Roman" w:hAnsi="Times New Roman"/>
                <w:b w:val="false"/>
                <w:bCs w:val="false"/>
                <w:i w:val="false"/>
                <w:iCs w:val="false"/>
                <w:sz w:val="24"/>
                <w:szCs w:val="24"/>
                <w:u w:val="none"/>
              </w:rPr>
              <w:t>р. Сапалаївка в місці скиду зливових вод з очисних споруд підприємства</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pPr>
            <w:r>
              <w:rPr>
                <w:rFonts w:ascii="Times New Roman" w:hAnsi="Times New Roman"/>
                <w:b w:val="false"/>
                <w:bCs w:val="false"/>
                <w:i w:val="false"/>
                <w:iCs w:val="false"/>
                <w:sz w:val="24"/>
                <w:szCs w:val="24"/>
                <w:u w:val="none"/>
              </w:rPr>
              <w:t>2025</w:t>
            </w:r>
          </w:p>
          <w:p>
            <w:pPr>
              <w:pStyle w:val="Normal"/>
              <w:widowControl w:val="false"/>
              <w:jc w:val="center"/>
              <w:rPr>
                <w:rFonts w:ascii="Times New Roman" w:hAnsi="Times New Roman"/>
                <w:b w:val="false"/>
                <w:b w:val="false"/>
                <w:bCs w:val="false"/>
                <w:i w:val="false"/>
                <w:i w:val="false"/>
                <w:iCs w:val="false"/>
                <w:sz w:val="24"/>
                <w:szCs w:val="24"/>
                <w:u w:val="none"/>
              </w:rPr>
            </w:pPr>
            <w:r>
              <w:rPr/>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Попередження руйнування берегів річки, замулення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19. Проведення лабораторного контролю за якісним складом стічних вод</w:t>
            </w:r>
          </w:p>
        </w:tc>
        <w:tc>
          <w:tcPr>
            <w:tcW w:w="1636" w:type="dxa"/>
            <w:tcBorders>
              <w:left w:val="single" w:sz="4" w:space="0" w:color="000000"/>
              <w:bottom w:val="single" w:sz="4" w:space="0" w:color="000000"/>
            </w:tcBorders>
            <w:shd w:fill="auto" w:val="clear"/>
            <w:vAlign w:val="center"/>
          </w:tcPr>
          <w:p>
            <w:pPr>
              <w:pStyle w:val="Normal"/>
              <w:widowControl w:val="false"/>
              <w:jc w:val="center"/>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стічних вод</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 Реконструкція насосного обладнання на очисних спорудах зливових вод</w:t>
            </w:r>
          </w:p>
        </w:tc>
        <w:tc>
          <w:tcPr>
            <w:tcW w:w="1636" w:type="dxa"/>
            <w:tcBorders>
              <w:left w:val="single" w:sz="4" w:space="0" w:color="000000"/>
              <w:bottom w:val="single" w:sz="4" w:space="0" w:color="000000"/>
            </w:tcBorders>
            <w:shd w:fill="auto" w:val="clear"/>
            <w:vAlign w:val="center"/>
          </w:tcPr>
          <w:p>
            <w:pPr>
              <w:pStyle w:val="Normal"/>
              <w:widowControl w:val="false"/>
              <w:jc w:val="center"/>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Забезпечення безперебійної роботи та очищення стоків</w:t>
            </w:r>
          </w:p>
        </w:tc>
      </w:tr>
      <w:tr>
        <w:trPr/>
        <w:tc>
          <w:tcPr>
            <w:tcW w:w="2445" w:type="dxa"/>
            <w:vMerge w:val="restart"/>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sz w:val="24"/>
                <w:szCs w:val="24"/>
                <w:u w:val="none"/>
              </w:rPr>
            </w:pPr>
            <w:r>
              <w:rPr/>
            </w:r>
          </w:p>
          <w:p>
            <w:pPr>
              <w:pStyle w:val="Normal"/>
              <w:widowControl w:val="false"/>
              <w:jc w:val="center"/>
              <w:rPr>
                <w:rFonts w:ascii="Times New Roman" w:hAnsi="Times New Roman"/>
                <w:b w:val="false"/>
                <w:b w:val="false"/>
                <w:bCs w:val="false"/>
                <w:i w:val="false"/>
                <w:i w:val="false"/>
                <w:iCs w:val="false"/>
                <w:sz w:val="24"/>
                <w:szCs w:val="24"/>
                <w:u w:val="none"/>
              </w:rPr>
            </w:pPr>
            <w:r>
              <w:rPr/>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ІІ. Охорона атмосферного повітря</w:t>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 Обслуговування системи моніторингу атмосферного повітря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 xml:space="preserve">Створення </w:t>
            </w:r>
            <w:r>
              <w:rPr>
                <w:rFonts w:ascii="Times New Roman" w:hAnsi="Times New Roman"/>
                <w:b w:val="false"/>
                <w:i w:val="false"/>
                <w:caps w:val="false"/>
                <w:smallCaps w:val="false"/>
                <w:color w:val="333333"/>
                <w:spacing w:val="0"/>
                <w:sz w:val="24"/>
              </w:rPr>
              <w:t>та забезпечення функціонування місцевих екологічних автоматизованих інформаційно-аналітичних систем, які є складовою мережі загальнодержавної екологічної автоматизованої інформаційно-аналітичної системи забезпечення доступу до екологічної інформації.</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2. Реконструкція вентиляційної системи від деревообробного обладнання столярної майстерні</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ПрАТ “Теремно Хліб”</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pPr>
            <w:r>
              <w:rPr>
                <w:rFonts w:ascii="Times New Roman" w:hAnsi="Times New Roman"/>
                <w:b w:val="false"/>
                <w:bCs w:val="false"/>
                <w:i w:val="false"/>
                <w:iCs w:val="false"/>
                <w:sz w:val="24"/>
                <w:szCs w:val="24"/>
                <w:u w:val="none"/>
              </w:rPr>
              <w:t>Покращення  якості очищення атмосферного повітря</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 Проведення режимно-налагоджувальних робіт на котлоагрегатах</w:t>
            </w:r>
          </w:p>
        </w:tc>
        <w:tc>
          <w:tcPr>
            <w:tcW w:w="1636" w:type="dxa"/>
            <w:tcBorders>
              <w:left w:val="single" w:sz="4" w:space="0" w:color="000000"/>
              <w:bottom w:val="single" w:sz="4" w:space="0" w:color="000000"/>
            </w:tcBorders>
            <w:shd w:fill="auto" w:val="clear"/>
            <w:vAlign w:val="center"/>
          </w:tcPr>
          <w:p>
            <w:pPr>
              <w:pStyle w:val="Normal"/>
              <w:widowControl w:val="false"/>
              <w:jc w:val="center"/>
              <w:rPr/>
            </w:pPr>
            <w:r>
              <w:rPr>
                <w:rFonts w:ascii="Times New Roman" w:hAnsi="Times New Roman"/>
                <w:b w:val="false"/>
                <w:bCs w:val="false"/>
                <w:i w:val="false"/>
                <w:iCs w:val="false"/>
                <w:sz w:val="24"/>
                <w:szCs w:val="24"/>
                <w:u w:val="none"/>
              </w:rPr>
              <w:t>ДКП “Луцьктепло”</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245,0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270,0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360,0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360,0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sz w:val="24"/>
                <w:szCs w:val="24"/>
                <w:u w:val="none"/>
              </w:rPr>
              <w:t>4. Проведення лабораторного контролю викидів забруднювальних речовин в атмосферне повітря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sz w:val="24"/>
                <w:szCs w:val="24"/>
                <w:u w:val="none"/>
              </w:rPr>
              <w:t>5. Проведення інвентаризації джерел викидів забруднювальних речовин в атмосферне повітря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 Організація виробництва для очищення газопилового потоку (реконструкція ПГОУ)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 Організація виробництва для очищення газопилового потоку (реконструкція ПГОУ)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8. Проведення лабораторного контролю викидів забруднюючих речовин в атмосферне повітря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pPr>
            <w:r>
              <w:rPr>
                <w:rFonts w:ascii="Times New Roman" w:hAnsi="Times New Roman"/>
                <w:b w:val="false"/>
                <w:bCs w:val="false"/>
                <w:i w:val="false"/>
                <w:iCs w:val="false"/>
                <w:sz w:val="24"/>
                <w:szCs w:val="24"/>
                <w:u w:val="none"/>
              </w:rPr>
              <w:t>2025</w:t>
            </w:r>
          </w:p>
          <w:p>
            <w:pPr>
              <w:pStyle w:val="Normal"/>
              <w:widowControl w:val="false"/>
              <w:jc w:val="center"/>
              <w:rPr>
                <w:rFonts w:ascii="Times New Roman" w:hAnsi="Times New Roman"/>
                <w:b w:val="false"/>
                <w:b w:val="false"/>
                <w:bCs w:val="false"/>
                <w:i w:val="false"/>
                <w:i w:val="false"/>
                <w:iCs w:val="false"/>
                <w:sz w:val="24"/>
                <w:szCs w:val="24"/>
                <w:u w:val="none"/>
              </w:rPr>
            </w:pPr>
            <w:r>
              <w:rPr/>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9. Проведення режимно-налагоджувальних робіт на котлоагрегатах</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pPr>
            <w:r>
              <w:rPr>
                <w:rFonts w:ascii="Times New Roman" w:hAnsi="Times New Roman"/>
                <w:b w:val="false"/>
                <w:bCs w:val="false"/>
                <w:i w:val="false"/>
                <w:iCs w:val="false"/>
                <w:sz w:val="24"/>
                <w:szCs w:val="24"/>
                <w:u w:val="none"/>
              </w:rPr>
              <w:t>2025</w:t>
            </w:r>
          </w:p>
          <w:p>
            <w:pPr>
              <w:pStyle w:val="Normal"/>
              <w:widowControl w:val="false"/>
              <w:jc w:val="center"/>
              <w:rPr>
                <w:rFonts w:ascii="Times New Roman" w:hAnsi="Times New Roman"/>
                <w:b w:val="false"/>
                <w:b w:val="false"/>
                <w:bCs w:val="false"/>
                <w:i w:val="false"/>
                <w:i w:val="false"/>
                <w:iCs w:val="false"/>
                <w:sz w:val="24"/>
                <w:szCs w:val="24"/>
                <w:u w:val="none"/>
              </w:rPr>
            </w:pPr>
            <w:r>
              <w:rPr/>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Покращення  якості очищення атмосферного повітря</w:t>
            </w:r>
          </w:p>
        </w:tc>
      </w:tr>
      <w:tr>
        <w:trPr/>
        <w:tc>
          <w:tcPr>
            <w:tcW w:w="244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t>ІІІ. Охорона і раціональне використання земель</w:t>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lang w:val="uk-UA"/>
              </w:rPr>
              <w:t>1. Моніторинг стану забруднення ґрунтів</w:t>
            </w:r>
          </w:p>
          <w:p>
            <w:pPr>
              <w:pStyle w:val="Normal"/>
              <w:widowControl w:val="false"/>
              <w:spacing w:lineRule="atLeast" w:line="24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lang w:val="uk-UA"/>
              </w:rPr>
              <w:t>Луцької міської територіальної громади</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Не потребує коштів</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caps w:val="false"/>
                <w:smallCaps w:val="false"/>
                <w:color w:val="333333"/>
                <w:spacing w:val="0"/>
                <w:sz w:val="24"/>
                <w:szCs w:val="24"/>
                <w:u w:val="none"/>
              </w:rPr>
              <w:t>Забезпечення доступу до екологічної інформації</w:t>
            </w:r>
          </w:p>
        </w:tc>
      </w:tr>
      <w:tr>
        <w:trPr/>
        <w:tc>
          <w:tcPr>
            <w:tcW w:w="2445" w:type="dxa"/>
            <w:vMerge w:val="restart"/>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lang w:val="uk-UA" w:eastAsia="zh-CN" w:bidi="hi-IN"/>
              </w:rPr>
              <w:t xml:space="preserve">ІV. Охорона і раціональне використання </w:t>
              <w:br/>
              <w:t>природних рослинних ресурсів</w:t>
            </w:r>
          </w:p>
        </w:tc>
        <w:tc>
          <w:tcPr>
            <w:tcW w:w="5099" w:type="dxa"/>
            <w:vMerge w:val="restart"/>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rPr>
            </w:pPr>
            <w:r>
              <w:rPr>
                <w:rFonts w:ascii="Times New Roman" w:hAnsi="Times New Roman"/>
                <w:b w:val="false"/>
                <w:bCs w:val="false"/>
                <w:i w:val="false"/>
                <w:iCs w:val="false"/>
                <w:sz w:val="24"/>
                <w:szCs w:val="24"/>
                <w:u w:val="none"/>
                <w:lang w:val="uk-UA"/>
              </w:rPr>
              <w:t xml:space="preserve">1. Заходи з озеленення </w:t>
            </w:r>
            <w:r>
              <w:rPr>
                <w:rFonts w:eastAsia="Segoe UI" w:cs="Tahoma" w:ascii="Times New Roman" w:hAnsi="Times New Roman"/>
                <w:b w:val="false"/>
                <w:bCs w:val="false"/>
                <w:i w:val="false"/>
                <w:iCs w:val="false"/>
                <w:color w:val="000000"/>
                <w:kern w:val="0"/>
                <w:sz w:val="24"/>
                <w:szCs w:val="24"/>
                <w:u w:val="none"/>
                <w:lang w:val="uk-UA" w:eastAsia="zh-CN" w:bidi="hi-IN"/>
              </w:rPr>
              <w:t>населених пунктів Луцької міської територіальної громади</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vMerge w:val="restart"/>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Збільшення кількості зелених насаджень, адаптація до змін клімату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r>
          </w:p>
        </w:tc>
        <w:tc>
          <w:tcPr>
            <w:tcW w:w="5099" w:type="dxa"/>
            <w:vMerge w:val="continue"/>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vMerge w:val="continue"/>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tcPr>
          <w:p>
            <w:pPr>
              <w:pStyle w:val="Normal"/>
              <w:widowControl w:val="false"/>
              <w:jc w:val="both"/>
              <w:rPr/>
            </w:pPr>
            <w:r>
              <w:rPr>
                <w:rFonts w:ascii="Times New Roman" w:hAnsi="Times New Roman"/>
                <w:b w:val="false"/>
                <w:bCs w:val="false"/>
                <w:i w:val="false"/>
                <w:iCs w:val="false"/>
                <w:caps w:val="false"/>
                <w:smallCaps w:val="false"/>
                <w:color w:val="212529"/>
                <w:spacing w:val="0"/>
                <w:sz w:val="24"/>
                <w:szCs w:val="24"/>
                <w:u w:val="none"/>
              </w:rPr>
              <w:t>2. Ліквідація наслідків буреломів, сніголомів, вітровалів</w:t>
            </w:r>
          </w:p>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1636" w:type="dxa"/>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Забезпечення безпеки життя та здоров’я мешканців громади</w:t>
            </w:r>
          </w:p>
        </w:tc>
      </w:tr>
      <w:tr>
        <w:trPr>
          <w:trHeight w:val="1341" w:hRule="atLeast"/>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caps w:val="false"/>
                <w:smallCaps w:val="false"/>
                <w:color w:val="212529"/>
                <w:spacing w:val="0"/>
                <w:sz w:val="24"/>
                <w:szCs w:val="24"/>
                <w:u w:val="none"/>
              </w:rPr>
              <w:t>3. Заходи щодо запобігання інтродукції та поширення чужорідних видів рослин, які загрожують природним екосистемам</w:t>
            </w:r>
            <w:r>
              <w:rPr>
                <w:rFonts w:ascii="Times New Roman" w:hAnsi="Times New Roman"/>
                <w:b w:val="false"/>
                <w:bCs w:val="false"/>
                <w:i w:val="false"/>
                <w:iCs w:val="false"/>
                <w:sz w:val="24"/>
                <w:szCs w:val="24"/>
                <w:u w:val="none"/>
              </w:rPr>
              <w:t xml:space="preserve"> (знищення борщівника Сосновського та амброзії </w:t>
            </w:r>
            <w:r>
              <w:rPr>
                <w:rFonts w:ascii="Times New Roman" w:hAnsi="Times New Roman"/>
                <w:b w:val="false"/>
                <w:bCs w:val="false"/>
                <w:i w:val="false"/>
                <w:iCs w:val="false"/>
                <w:sz w:val="24"/>
                <w:szCs w:val="24"/>
                <w:u w:val="none"/>
              </w:rPr>
              <w:t>полинолистої)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Захист та збереження природних екосистем, захист здоров’</w:t>
            </w:r>
            <w:r>
              <w:rPr>
                <w:rFonts w:ascii="Times New Roman" w:hAnsi="Times New Roman"/>
                <w:b w:val="false"/>
                <w:bCs w:val="false"/>
                <w:i w:val="false"/>
                <w:iCs w:val="false"/>
                <w:sz w:val="24"/>
                <w:szCs w:val="24"/>
                <w:u w:val="none"/>
                <w:lang w:val="uk-UA"/>
              </w:rPr>
              <w:t xml:space="preserve">я мешканці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 Проведення інвентаризації зелених насаджень, виготовлення документації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Захист та збереження природних екосистем</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0"/>
              <w:widowControl w:val="false"/>
              <w:spacing w:lineRule="atLeast" w:line="240"/>
              <w:jc w:val="both"/>
              <w:rPr>
                <w:rFonts w:ascii="Times New Roman" w:hAnsi="Times New Roman" w:cs="Times New Roman"/>
                <w:b w:val="false"/>
                <w:b w:val="false"/>
                <w:bCs w:val="false"/>
                <w:i w:val="false"/>
                <w:i w:val="false"/>
                <w:iCs w:val="false"/>
                <w:color w:val="000000"/>
                <w:sz w:val="24"/>
                <w:szCs w:val="24"/>
                <w:u w:val="none"/>
                <w:lang w:val="uk-UA"/>
              </w:rPr>
            </w:pPr>
            <w:r>
              <w:rPr>
                <w:rFonts w:cs="Times New Roman" w:ascii="Times New Roman" w:hAnsi="Times New Roman"/>
                <w:b w:val="false"/>
                <w:bCs w:val="false"/>
                <w:i w:val="false"/>
                <w:iCs w:val="false"/>
                <w:color w:val="000000"/>
                <w:sz w:val="24"/>
                <w:szCs w:val="24"/>
                <w:u w:val="none"/>
                <w:lang w:val="uk-UA"/>
              </w:rPr>
              <w:t>5. Обробка зелених насаджень від кліщів, комарів, білого американського метелика та ін.</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Департамент ЖКГ</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Захист та збереження природних екосистем від інвазійних видів, захист здоров’</w:t>
            </w:r>
            <w:r>
              <w:rPr>
                <w:rFonts w:ascii="Times New Roman" w:hAnsi="Times New Roman"/>
                <w:b w:val="false"/>
                <w:bCs w:val="false"/>
                <w:i w:val="false"/>
                <w:iCs w:val="false"/>
                <w:sz w:val="24"/>
                <w:szCs w:val="24"/>
                <w:u w:val="none"/>
                <w:lang w:val="uk-UA"/>
              </w:rPr>
              <w:t xml:space="preserve">я мешканці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 Заходи з озеленення території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200,0</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200,0</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200,0</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200,0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Збільшення кількості зелених насаджень, адаптація до змін клімату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 Заходи з озеленення території</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11,0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11,0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11,0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11,0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Збільшення кількості зелених насаджень, адаптація до змін клімату </w:t>
            </w:r>
          </w:p>
        </w:tc>
      </w:tr>
      <w:tr>
        <w:trPr/>
        <w:tc>
          <w:tcPr>
            <w:tcW w:w="2445" w:type="dxa"/>
            <w:vMerge w:val="restart"/>
            <w:tcBorders>
              <w:left w:val="single" w:sz="4" w:space="0" w:color="000000"/>
              <w:bottom w:val="single" w:sz="4" w:space="0" w:color="000000"/>
            </w:tcBorders>
            <w:shd w:fill="auto" w:val="clear"/>
          </w:tcPr>
          <w:p>
            <w:pPr>
              <w:pStyle w:val="Normal"/>
              <w:widowControl w:val="false"/>
              <w:jc w:val="left"/>
              <w:rPr>
                <w:rFonts w:ascii="Times New Roman" w:hAnsi="Times New Roman"/>
                <w:b w:val="false"/>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lang w:val="en-US"/>
              </w:rPr>
              <w:t xml:space="preserve">V. </w:t>
            </w:r>
            <w:r>
              <w:rPr>
                <w:rFonts w:ascii="Times New Roman" w:hAnsi="Times New Roman"/>
                <w:b w:val="false"/>
                <w:bCs w:val="false"/>
                <w:i w:val="false"/>
                <w:iCs w:val="false"/>
                <w:caps w:val="false"/>
                <w:smallCaps w:val="false"/>
                <w:color w:val="212529"/>
                <w:spacing w:val="0"/>
                <w:sz w:val="24"/>
                <w:szCs w:val="24"/>
                <w:u w:val="none"/>
              </w:rPr>
              <w:t xml:space="preserve">Охорона і раціональне використання </w:t>
              <w:br/>
              <w:t>ресурсів тваринного світу</w:t>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b w:val="false"/>
                <w:bCs w:val="false"/>
                <w:i w:val="false"/>
                <w:iCs w:val="false"/>
                <w:caps w:val="false"/>
                <w:smallCaps w:val="false"/>
                <w:color w:val="212529"/>
                <w:spacing w:val="0"/>
                <w:sz w:val="24"/>
                <w:szCs w:val="24"/>
                <w:u w:val="none"/>
              </w:rPr>
              <w:t>1. Будівництво та облаштування притулку для утримання безпритульних тварин</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Збереження біорізноманіття,  охорона ресурсів тваринного світу</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p>
            <w:pPr>
              <w:pStyle w:val="Normal"/>
              <w:widowControl w:val="false"/>
              <w:jc w:val="both"/>
              <w:rPr/>
            </w:pPr>
            <w:r>
              <w:rPr>
                <w:rFonts w:ascii="Times New Roman" w:hAnsi="Times New Roman"/>
                <w:b w:val="false"/>
                <w:bCs w:val="false"/>
                <w:i w:val="false"/>
                <w:iCs w:val="false"/>
                <w:caps w:val="false"/>
                <w:smallCaps w:val="false"/>
                <w:color w:val="212529"/>
                <w:spacing w:val="0"/>
                <w:sz w:val="24"/>
                <w:szCs w:val="24"/>
                <w:u w:val="none"/>
              </w:rPr>
              <w:t>2. Заходи щодо охорони тваринного світу та боротьби з браконьєрством (придбання матеріально-технічних засобів тощо)</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120,0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Збереження біорізноманіття,  охорона ресурсів тваринного світу</w:t>
            </w:r>
          </w:p>
        </w:tc>
      </w:tr>
      <w:tr>
        <w:trPr/>
        <w:tc>
          <w:tcPr>
            <w:tcW w:w="2445" w:type="dxa"/>
            <w:vMerge w:val="restart"/>
            <w:tcBorders>
              <w:left w:val="single" w:sz="4" w:space="0" w:color="000000"/>
              <w:bottom w:val="single" w:sz="4" w:space="0" w:color="000000"/>
            </w:tcBorders>
            <w:shd w:fill="auto" w:val="clear"/>
          </w:tcPr>
          <w:p>
            <w:pPr>
              <w:pStyle w:val="Normal"/>
              <w:widowControl w:val="false"/>
              <w:jc w:val="center"/>
              <w:rPr>
                <w:rFonts w:ascii="Times New Roman" w:hAnsi="Times New Roman"/>
                <w:sz w:val="24"/>
                <w:szCs w:val="24"/>
              </w:rPr>
            </w:pPr>
            <w:r>
              <w:rPr>
                <w:rFonts w:ascii="Times New Roman" w:hAnsi="Times New Roman"/>
                <w:b w:val="false"/>
                <w:bCs w:val="false"/>
                <w:i w:val="false"/>
                <w:iCs w:val="false"/>
                <w:caps w:val="false"/>
                <w:smallCaps w:val="false"/>
                <w:color w:val="212529"/>
                <w:spacing w:val="0"/>
                <w:sz w:val="24"/>
                <w:szCs w:val="24"/>
                <w:u w:val="none"/>
                <w:lang w:val="uk-UA"/>
              </w:rPr>
              <w:t>VІ. Збереження</w:t>
            </w:r>
            <w:r>
              <w:rPr>
                <w:rFonts w:ascii="Times New Roman" w:hAnsi="Times New Roman"/>
                <w:b w:val="false"/>
                <w:bCs w:val="false"/>
                <w:i w:val="false"/>
                <w:iCs w:val="false"/>
                <w:caps w:val="false"/>
                <w:smallCaps w:val="false"/>
                <w:color w:val="212529"/>
                <w:spacing w:val="0"/>
                <w:sz w:val="24"/>
                <w:szCs w:val="24"/>
                <w:u w:val="none"/>
              </w:rPr>
              <w:t xml:space="preserve"> природно-заповідного фонду</w:t>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t>1. Утримання територій та об’єктів природно-заповідного фонду міської громади</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Збереження біорізноманіття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b w:val="false"/>
                <w:bCs w:val="false"/>
                <w:i w:val="false"/>
                <w:iCs w:val="false"/>
                <w:caps w:val="false"/>
                <w:smallCaps w:val="false"/>
                <w:color w:val="212529"/>
                <w:spacing w:val="0"/>
                <w:sz w:val="24"/>
                <w:szCs w:val="24"/>
                <w:u w:val="none"/>
                <w:lang w:val="uk-UA"/>
              </w:rPr>
              <w:t>2. Розроблення проєктів створення територій і об'єктів природно-заповідного фонду та організації їх територій</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Захист  територій природо-заповідного фонду , їх раціональне не виснажливе використання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b w:val="false"/>
                <w:bCs w:val="false"/>
                <w:i w:val="false"/>
                <w:iCs w:val="false"/>
                <w:caps w:val="false"/>
                <w:smallCaps w:val="false"/>
                <w:color w:val="212529"/>
                <w:spacing w:val="0"/>
                <w:sz w:val="24"/>
                <w:szCs w:val="24"/>
                <w:u w:val="none"/>
              </w:rPr>
              <w:t>3. Розроблення документації із землеустрою для територій та об’єктів природно-заповідного фонду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80,0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Захист  територій природо-заповідного фонду </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b w:val="false"/>
                <w:b w:val="false"/>
                <w:bCs w:val="false"/>
                <w:i w:val="false"/>
                <w:i w:val="false"/>
                <w:iCs w:val="false"/>
                <w:sz w:val="24"/>
                <w:szCs w:val="24"/>
                <w:u w:val="none"/>
                <w:lang w:val="uk-UA"/>
              </w:rPr>
            </w:pPr>
            <w:r>
              <w:rPr>
                <w:rFonts w:ascii="Times New Roman" w:hAnsi="Times New Roman"/>
                <w:b w:val="false"/>
                <w:bCs w:val="false"/>
                <w:i w:val="false"/>
                <w:iCs w:val="false"/>
                <w:sz w:val="24"/>
                <w:szCs w:val="24"/>
                <w:u w:val="none"/>
                <w:lang w:val="uk-UA"/>
              </w:rPr>
              <w:t>4. Діяльність щодо збереження видів тварин, занесених до Червоної книги України (придбання кормів)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Збереження біорізноманіття та тварин занесених до Червоної книги</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 Створення Ботанічного саду на вул. Потебні в м. Луцьку</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ВНУ ім. Лесі Українки</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    </w:t>
            </w:r>
            <w:r>
              <w:rPr>
                <w:rFonts w:ascii="Times New Roman" w:hAnsi="Times New Roman"/>
                <w:b w:val="false"/>
                <w:bCs w:val="false"/>
                <w:i w:val="false"/>
                <w:iCs w:val="false"/>
                <w:sz w:val="24"/>
                <w:szCs w:val="24"/>
                <w:u w:val="none"/>
              </w:rPr>
              <w:t>2023 — 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Інші кошти</w:t>
            </w:r>
          </w:p>
        </w:tc>
        <w:tc>
          <w:tcPr>
            <w:tcW w:w="1470" w:type="dxa"/>
            <w:tcBorders>
              <w:left w:val="single" w:sz="4" w:space="0" w:color="000000"/>
              <w:bottom w:val="single" w:sz="4" w:space="0" w:color="000000"/>
            </w:tcBorders>
            <w:shd w:fill="auto" w:val="clear"/>
            <w:vAlign w:val="center"/>
          </w:tcPr>
          <w:p>
            <w:pPr>
              <w:pStyle w:val="Normal"/>
              <w:widowControl w:val="false"/>
              <w:suppressAutoHyphens w:val="true"/>
              <w:overflowPunct w:val="true"/>
              <w:bidi w:val="0"/>
              <w:spacing w:before="0" w:after="0"/>
              <w:ind w:left="0" w:right="0" w:hanging="0"/>
              <w:jc w:val="both"/>
              <w:rPr/>
            </w:pPr>
            <w:r>
              <w:rPr>
                <w:rFonts w:ascii="Times New Roman" w:hAnsi="Times New Roman"/>
                <w:b w:val="false"/>
                <w:bCs w:val="false"/>
                <w:i w:val="false"/>
                <w:iCs w:val="false"/>
                <w:sz w:val="22"/>
                <w:szCs w:val="22"/>
                <w:u w:val="none"/>
              </w:rPr>
              <w:t>Відповідно до проєктної документації</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Збереження біорізноманіття</w:t>
            </w:r>
          </w:p>
        </w:tc>
      </w:tr>
      <w:tr>
        <w:trPr/>
        <w:tc>
          <w:tcPr>
            <w:tcW w:w="2445" w:type="dxa"/>
            <w:vMerge w:val="restart"/>
            <w:tcBorders>
              <w:left w:val="single" w:sz="4" w:space="0" w:color="000000"/>
              <w:bottom w:val="single" w:sz="4" w:space="0" w:color="000000"/>
            </w:tcBorders>
            <w:shd w:fill="auto" w:val="clear"/>
          </w:tcPr>
          <w:p>
            <w:pPr>
              <w:pStyle w:val="Normal"/>
              <w:widowControl w:val="false"/>
              <w:jc w:val="center"/>
              <w:rPr>
                <w:rFonts w:ascii="Times New Roman" w:hAnsi="Times New Roman"/>
                <w:b w:val="false"/>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lang w:val="uk-UA"/>
              </w:rPr>
              <w:t>VІІ. Раціональне</w:t>
            </w:r>
            <w:r>
              <w:rPr>
                <w:rFonts w:ascii="Times New Roman" w:hAnsi="Times New Roman"/>
                <w:b w:val="false"/>
                <w:bCs w:val="false"/>
                <w:i w:val="false"/>
                <w:iCs w:val="false"/>
                <w:caps w:val="false"/>
                <w:smallCaps w:val="false"/>
                <w:color w:val="212529"/>
                <w:spacing w:val="0"/>
                <w:sz w:val="24"/>
                <w:szCs w:val="24"/>
                <w:u w:val="none"/>
              </w:rPr>
              <w:t xml:space="preserve"> використання і зберігання </w:t>
              <w:br/>
              <w:t>відходів виробництва і побутових відходів</w:t>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rPr>
            </w:pPr>
            <w:r>
              <w:rPr>
                <w:rFonts w:ascii="Times New Roman" w:hAnsi="Times New Roman"/>
                <w:sz w:val="24"/>
                <w:szCs w:val="24"/>
                <w:lang w:val="uk-UA"/>
              </w:rPr>
              <w:t>1. Заходи щодо екологічно безпечного збирання, перевезення, зберігання, утилізації і знешкодження відходів (відпрацьовані люмінесцентні лампи, ртутні термометри, побутові хімічні джерела струму,</w:t>
            </w:r>
            <w:r>
              <w:rPr>
                <w:rFonts w:ascii="Times New Roman" w:hAnsi="Times New Roman"/>
                <w:b w:val="false"/>
                <w:bCs w:val="false"/>
                <w:i w:val="false"/>
                <w:iCs w:val="false"/>
                <w:sz w:val="24"/>
                <w:szCs w:val="24"/>
                <w:u w:val="none"/>
                <w:lang w:val="uk-UA"/>
              </w:rPr>
              <w:t xml:space="preserve"> зношені шини та ін.)</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Вилучення небезпечних відходів із загального потоку ТПВ, зменшення забруднення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 Придбання обладнання для збору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Впровадження компостування в громаді</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Style30"/>
              <w:widowControl w:val="false"/>
              <w:jc w:val="both"/>
              <w:rPr>
                <w:rFonts w:ascii="Times New Roman" w:hAnsi="Times New Roman" w:cs="Times New Roman"/>
                <w:b w:val="false"/>
                <w:b w:val="false"/>
                <w:bCs w:val="false"/>
                <w:i w:val="false"/>
                <w:i w:val="false"/>
                <w:iCs w:val="false"/>
                <w:color w:val="000000"/>
                <w:sz w:val="24"/>
                <w:szCs w:val="24"/>
                <w:u w:val="none"/>
                <w:lang w:val="uk-UA"/>
              </w:rPr>
            </w:pPr>
            <w:r>
              <w:rPr>
                <w:rFonts w:cs="Times New Roman" w:ascii="Times New Roman" w:hAnsi="Times New Roman"/>
                <w:b w:val="false"/>
                <w:bCs w:val="false"/>
                <w:i w:val="false"/>
                <w:iCs w:val="false"/>
                <w:color w:val="000000"/>
                <w:sz w:val="24"/>
                <w:szCs w:val="24"/>
                <w:u w:val="none"/>
                <w:lang w:val="uk-UA"/>
              </w:rPr>
              <w:t>3. Забезпечення екологічно безпечного видалення відходів (вивезення мулу з міських каналізаційно-очисних споруд)</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eastAsia="Segoe UI" w:cs="Tahoma"/>
                <w:b w:val="false"/>
                <w:b w:val="false"/>
                <w:bCs w:val="false"/>
                <w:i w:val="false"/>
                <w:i w:val="false"/>
                <w:iCs w:val="false"/>
                <w:color w:val="000000"/>
                <w:kern w:val="0"/>
                <w:sz w:val="24"/>
                <w:szCs w:val="24"/>
                <w:u w:val="none"/>
                <w:lang w:val="uk-UA" w:eastAsia="zh-CN" w:bidi="hi-IN"/>
              </w:rPr>
            </w:pPr>
            <w:r>
              <w:rPr>
                <w:rFonts w:eastAsia="Segoe UI" w:cs="Tahoma" w:ascii="Times New Roman" w:hAnsi="Times New Roman"/>
                <w:b w:val="false"/>
                <w:bCs w:val="false"/>
                <w:i w:val="false"/>
                <w:iCs w:val="false"/>
                <w:color w:val="000000"/>
                <w:kern w:val="0"/>
                <w:sz w:val="24"/>
                <w:szCs w:val="24"/>
                <w:u w:val="none"/>
                <w:lang w:val="uk-UA" w:eastAsia="zh-CN" w:bidi="hi-IN"/>
              </w:rPr>
              <w:t>КП “Луцькводоканал”</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Зменшення негативного впливу фізичних та біологічних факторів забруднення атмосферного повітря, ґрунтів</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 Реконструкція місця зберігання небезпечних відходів (АКБ)</w:t>
            </w:r>
          </w:p>
        </w:tc>
        <w:tc>
          <w:tcPr>
            <w:tcW w:w="1636" w:type="dxa"/>
            <w:tcBorders>
              <w:left w:val="single" w:sz="4" w:space="0" w:color="000000"/>
              <w:bottom w:val="single" w:sz="4" w:space="0" w:color="000000"/>
            </w:tcBorders>
            <w:shd w:fill="auto" w:val="clear"/>
            <w:vAlign w:val="center"/>
          </w:tcPr>
          <w:p>
            <w:pPr>
              <w:pStyle w:val="Normal"/>
              <w:widowControl w:val="false"/>
              <w:suppressAutoHyphens w:val="true"/>
              <w:overflowPunct w:val="true"/>
              <w:bidi w:val="0"/>
              <w:spacing w:before="0" w:after="0"/>
              <w:ind w:left="-57" w:right="-57" w:hanging="0"/>
              <w:jc w:val="both"/>
              <w:rPr/>
            </w:pPr>
            <w:r>
              <w:rPr>
                <w:rFonts w:ascii="Times New Roman" w:hAnsi="Times New Roman"/>
                <w:b w:val="false"/>
                <w:bCs w:val="false"/>
                <w:i w:val="false"/>
                <w:iCs w:val="false"/>
                <w:sz w:val="24"/>
                <w:szCs w:val="24"/>
                <w:u w:val="none"/>
              </w:rPr>
              <w:t>ПрАТ “ТеремноХліб</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 Проєктування та встановлення системи для утилізації полімерних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“Луцька картонно-паперова фабрика”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Раціональне використання відходів виробництва</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lang w:val="uk-UA"/>
              </w:rPr>
              <w:t>6. Утилізація промислових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7. Придбання обладнання для тимчасового зберігання небезпечних відходів (відпрацьовані люмінесцентні лампи)</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8. Реконструкція (модернізація) місця зберігання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1500,0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rPr>
            </w:pPr>
            <w:r>
              <w:rPr>
                <w:rFonts w:eastAsia="Segoe UI" w:cs="Tahoma" w:ascii="Times New Roman" w:hAnsi="Times New Roman"/>
                <w:b w:val="false"/>
                <w:bCs w:val="false"/>
                <w:i w:val="false"/>
                <w:iCs w:val="false"/>
                <w:caps w:val="false"/>
                <w:smallCaps w:val="false"/>
                <w:color w:val="212529"/>
                <w:spacing w:val="0"/>
                <w:kern w:val="0"/>
                <w:sz w:val="24"/>
                <w:szCs w:val="24"/>
                <w:u w:val="none"/>
                <w:lang w:val="uk-UA" w:eastAsia="zh-CN" w:bidi="hi-IN"/>
              </w:rPr>
              <w:t>9. Р</w:t>
            </w:r>
            <w:r>
              <w:rPr>
                <w:rFonts w:ascii="Times New Roman" w:hAnsi="Times New Roman"/>
                <w:b w:val="false"/>
                <w:bCs w:val="false"/>
                <w:i w:val="false"/>
                <w:iCs w:val="false"/>
                <w:caps w:val="false"/>
                <w:smallCaps w:val="false"/>
                <w:color w:val="212529"/>
                <w:spacing w:val="0"/>
                <w:sz w:val="24"/>
                <w:szCs w:val="24"/>
                <w:u w:val="none"/>
              </w:rPr>
              <w:t>озширення та реконструкція споруд, придбання та встановлення обладнання для збору, складування та утилізації промислових відходів виробництва (модернізація процесу поводження зі шламом шліфувальним)</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 Вдосконалення процесу сортування промислових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Раціональне використання відходів виробництва</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spacing w:lineRule="atLeast" w:line="24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lang w:val="uk-UA"/>
              </w:rPr>
              <w:t>11. Утилізація промислових відходів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Запобігання  забрудненню довкілля</w:t>
            </w:r>
          </w:p>
        </w:tc>
      </w:tr>
      <w:tr>
        <w:trPr/>
        <w:tc>
          <w:tcPr>
            <w:tcW w:w="2445" w:type="dxa"/>
            <w:vMerge w:val="restart"/>
            <w:tcBorders>
              <w:left w:val="single" w:sz="4" w:space="0" w:color="000000"/>
              <w:bottom w:val="single" w:sz="4" w:space="0" w:color="000000"/>
            </w:tcBorders>
            <w:shd w:fill="auto" w:val="clear"/>
          </w:tcPr>
          <w:p>
            <w:pPr>
              <w:pStyle w:val="Normal"/>
              <w:widowControl w:val="false"/>
              <w:jc w:val="center"/>
              <w:rPr/>
            </w:pPr>
            <w:r>
              <w:rPr>
                <w:rFonts w:ascii="Times New Roman" w:hAnsi="Times New Roman"/>
                <w:b w:val="false"/>
                <w:bCs w:val="false"/>
                <w:i w:val="false"/>
                <w:iCs w:val="false"/>
                <w:caps w:val="false"/>
                <w:smallCaps w:val="false"/>
                <w:color w:val="000000"/>
                <w:spacing w:val="0"/>
                <w:sz w:val="24"/>
                <w:szCs w:val="24"/>
                <w:u w:val="none"/>
                <w:lang w:val="uk-UA"/>
              </w:rPr>
              <w:t>VІІІ. Наука</w:t>
            </w:r>
            <w:r>
              <w:rPr>
                <w:rFonts w:ascii="Times New Roman" w:hAnsi="Times New Roman"/>
                <w:b w:val="false"/>
                <w:bCs w:val="false"/>
                <w:i w:val="false"/>
                <w:iCs w:val="false"/>
                <w:caps w:val="false"/>
                <w:smallCaps w:val="false"/>
                <w:color w:val="000000"/>
                <w:spacing w:val="0"/>
                <w:sz w:val="24"/>
                <w:szCs w:val="24"/>
                <w:u w:val="none"/>
              </w:rPr>
              <w:t xml:space="preserve">, інформація і освіта, забезпечення участі у діяльності </w:t>
              <w:br/>
              <w:t>міжнародних організацій природоохоронного спрямування</w:t>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 Придбання обладнання для оснащення ним природоохоронних організацій</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Організація належного контролю за  порушеннями  природоохоронного законодавства</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 Проведення наукових досліджень (моніторинг якості атмосферного повітря, поверхневих вод тощо)</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Забезпечення рівноваги природних систем</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 Заходи зі збереження біорізноманіття</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40,0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sz w:val="24"/>
                <w:szCs w:val="24"/>
                <w:u w:val="none"/>
              </w:rPr>
              <w:t>Покращення обізнаності  дітей та молоді  з  питань  біорізноманіття</w:t>
            </w:r>
          </w:p>
          <w:p>
            <w:pPr>
              <w:pStyle w:val="Normal"/>
              <w:widowControl w:val="false"/>
              <w:jc w:val="both"/>
              <w:rPr>
                <w:rFonts w:ascii="Times New Roman" w:hAnsi="Times New Roman"/>
                <w:b w:val="false"/>
                <w:b w:val="false"/>
                <w:bCs w:val="false"/>
                <w:i w:val="false"/>
                <w:i w:val="false"/>
                <w:iCs w:val="false"/>
                <w:sz w:val="24"/>
                <w:szCs w:val="24"/>
                <w:u w:val="none"/>
              </w:rPr>
            </w:pPr>
            <w:r>
              <w:rPr/>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sz w:val="24"/>
                <w:szCs w:val="24"/>
                <w:u w:val="none"/>
              </w:rPr>
              <w:t xml:space="preserve">4. Створення та обслуговування  </w:t>
            </w:r>
            <w:r>
              <w:rPr>
                <w:rFonts w:ascii="Times New Roman" w:hAnsi="Times New Roman"/>
                <w:b w:val="false"/>
                <w:i w:val="false"/>
                <w:caps w:val="false"/>
                <w:smallCaps w:val="false"/>
                <w:color w:val="212529"/>
                <w:spacing w:val="0"/>
                <w:sz w:val="24"/>
                <w:szCs w:val="24"/>
              </w:rPr>
              <w:t>автоматизованих геоінформаційних систем та приладів</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Бюджет громади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50,0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100,0</w:t>
            </w:r>
          </w:p>
        </w:tc>
        <w:tc>
          <w:tcPr>
            <w:tcW w:w="2504" w:type="dxa"/>
            <w:tcBorders>
              <w:left w:val="single" w:sz="4" w:space="0" w:color="000000"/>
              <w:bottom w:val="single" w:sz="4" w:space="0" w:color="000000"/>
              <w:right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color w:val="000000"/>
                <w:sz w:val="24"/>
                <w:szCs w:val="24"/>
                <w:u w:val="none"/>
              </w:rPr>
            </w:pPr>
            <w:r>
              <w:rPr>
                <w:rFonts w:ascii="Times New Roman" w:hAnsi="Times New Roman"/>
                <w:b w:val="false"/>
                <w:bCs w:val="false"/>
                <w:i w:val="false"/>
                <w:iCs w:val="false"/>
                <w:color w:val="000000"/>
                <w:sz w:val="24"/>
                <w:szCs w:val="24"/>
                <w:u w:val="none"/>
              </w:rPr>
              <w:t xml:space="preserve">Створення </w:t>
            </w:r>
            <w:r>
              <w:rPr>
                <w:rFonts w:ascii="Times New Roman" w:hAnsi="Times New Roman"/>
                <w:b w:val="false"/>
                <w:bCs w:val="false"/>
                <w:i w:val="false"/>
                <w:iCs w:val="false"/>
                <w:caps w:val="false"/>
                <w:smallCaps w:val="false"/>
                <w:color w:val="000000"/>
                <w:spacing w:val="0"/>
                <w:sz w:val="24"/>
                <w:szCs w:val="24"/>
                <w:u w:val="none"/>
              </w:rPr>
              <w:t>та забезпечення функціонування місцевих екологічних автоматизованих інформаційно-аналітичних систем, які є складовою мережі загальнодержавної екологічної автоматизованої інформаційно-аналітичної системи забезпечення доступу до екологічної інформації.</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rPr>
            </w:pPr>
            <w:r>
              <w:rPr>
                <w:rFonts w:ascii="Times New Roman" w:hAnsi="Times New Roman"/>
                <w:b w:val="false"/>
                <w:bCs w:val="false"/>
                <w:i w:val="false"/>
                <w:iCs w:val="false"/>
                <w:caps w:val="false"/>
                <w:smallCaps w:val="false"/>
                <w:color w:val="212529"/>
                <w:spacing w:val="0"/>
                <w:sz w:val="24"/>
                <w:szCs w:val="24"/>
                <w:u w:val="none"/>
              </w:rPr>
              <w:t>5. Проведення науково-технічних конференцій і семінарів, організація виставок, фестивалів та інших заходів щодо пропаганди охорони навколишнього природного середовища, видання поліграфічної продукції з екологічної тематики, створення бібліотек, відеотек, фонотек тощо</w:t>
            </w:r>
            <w:r>
              <w:rPr>
                <w:rFonts w:ascii="Times New Roman" w:hAnsi="Times New Roman"/>
                <w:b w:val="false"/>
                <w:bCs w:val="false"/>
                <w:i w:val="false"/>
                <w:iCs w:val="false"/>
                <w:sz w:val="24"/>
                <w:szCs w:val="24"/>
                <w:u w:val="none"/>
              </w:rPr>
              <w:t xml:space="preserve"> </w:t>
            </w:r>
            <w:r>
              <w:rPr>
                <w:rFonts w:ascii="Times New Roman" w:hAnsi="Times New Roman"/>
                <w:b w:val="false"/>
                <w:bCs w:val="false"/>
                <w:i w:val="false"/>
                <w:iCs w:val="false"/>
                <w:sz w:val="24"/>
                <w:szCs w:val="24"/>
                <w:u w:val="none"/>
                <w:lang w:val="uk-UA"/>
              </w:rPr>
              <w:t>(в т.ч. придбання одноразових рукавиць та пакетів для сміття в рамках проведення міських екологічних акцій)</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uppressAutoHyphens w:val="true"/>
              <w:overflowPunct w:val="true"/>
              <w:bidi w:val="0"/>
              <w:spacing w:before="0" w:after="0"/>
              <w:ind w:left="0" w:right="0" w:hanging="0"/>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Очищення довкілля в ході  загальноміських  акцій, популяризація природоохоронної діяльності</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pPr>
            <w:r>
              <w:rPr>
                <w:rFonts w:ascii="Times New Roman" w:hAnsi="Times New Roman"/>
                <w:b w:val="false"/>
                <w:bCs w:val="false"/>
                <w:i w:val="false"/>
                <w:iCs w:val="false"/>
                <w:caps w:val="false"/>
                <w:smallCaps w:val="false"/>
                <w:color w:val="212529"/>
                <w:spacing w:val="0"/>
                <w:sz w:val="24"/>
                <w:szCs w:val="24"/>
                <w:u w:val="none"/>
              </w:rPr>
              <w:t>6. Організація і здійснення робіт з екологічної освіти, підготовки кадрів, підвищення кваліфікації та обміну досвідом роботи працівників природоохоронних органів</w:t>
            </w:r>
          </w:p>
          <w:p>
            <w:pPr>
              <w:pStyle w:val="Normal"/>
              <w:widowControl w:val="false"/>
              <w:jc w:val="both"/>
              <w:rPr>
                <w:rFonts w:ascii="Times New Roman" w:hAnsi="Times New Roman"/>
                <w:b w:val="false"/>
                <w:b w:val="false"/>
                <w:bCs w:val="false"/>
                <w:i w:val="false"/>
                <w:i w:val="false"/>
                <w:iCs w:val="false"/>
                <w:caps w:val="false"/>
                <w:smallCaps w:val="false"/>
                <w:color w:val="212529"/>
                <w:spacing w:val="0"/>
                <w:sz w:val="24"/>
                <w:szCs w:val="24"/>
                <w:u w:val="none"/>
              </w:rPr>
            </w:pPr>
            <w:r>
              <w:rPr/>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Виконавчий комітет</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Бюджет громади/ в т.ч. спецфонд</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bookmarkStart w:id="2" w:name="__DdeLink__2169_771351238"/>
            <w:r>
              <w:rPr>
                <w:rFonts w:ascii="Times New Roman" w:hAnsi="Times New Roman"/>
                <w:b w:val="false"/>
                <w:bCs w:val="false"/>
                <w:i w:val="false"/>
                <w:iCs w:val="false"/>
                <w:sz w:val="24"/>
                <w:szCs w:val="24"/>
                <w:u w:val="none"/>
              </w:rPr>
              <w:t>Поширення екологічний знань</w:t>
            </w:r>
            <w:bookmarkEnd w:id="2"/>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sz w:val="24"/>
                <w:szCs w:val="24"/>
              </w:rPr>
              <w:t>7. Проведення семінарів, круглих столів, конференцій з питань сучасних екологічних проблем, видання поліграфічної продукції екологічної тематики</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ВНУ ім. Лесі Українки</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Популяризація природоохоронної діяльності, підвищення поінформованості мешканців громади щодо питань охорони довкілля</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sz w:val="24"/>
                <w:szCs w:val="24"/>
              </w:rPr>
              <w:t>8. Підвищення кваліфікації працівників  у сфері охорони навколишнього природного середовища</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ПрАТ “СКФ Україна”</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10,0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Поширення екологічний знань</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sz w:val="24"/>
                <w:szCs w:val="24"/>
              </w:rPr>
              <w:t>9. Підвищення кваліфікації працівників  у сфері охорони навколишнього природного середовища</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2022</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w:t>
            </w:r>
          </w:p>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6,0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Поширення екологічний знань</w:t>
            </w:r>
          </w:p>
        </w:tc>
      </w:tr>
      <w:tr>
        <w:trPr/>
        <w:tc>
          <w:tcPr>
            <w:tcW w:w="2445" w:type="dxa"/>
            <w:vMerge w:val="continue"/>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r>
          </w:p>
        </w:tc>
        <w:tc>
          <w:tcPr>
            <w:tcW w:w="5099" w:type="dxa"/>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sz w:val="24"/>
                <w:szCs w:val="24"/>
              </w:rPr>
            </w:pPr>
            <w:r>
              <w:rPr>
                <w:rFonts w:ascii="Times New Roman" w:hAnsi="Times New Roman"/>
                <w:sz w:val="24"/>
                <w:szCs w:val="24"/>
              </w:rPr>
              <w:t>10. Атестація лабораторії  підприємства  для здійснення моніторингу атмосферного повітря та стічних вод</w:t>
            </w:r>
          </w:p>
        </w:tc>
        <w:tc>
          <w:tcPr>
            <w:tcW w:w="1636"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eastAsia="Segoe UI" w:cs="Tahoma" w:ascii="Times New Roman" w:hAnsi="Times New Roman"/>
                <w:b w:val="false"/>
                <w:bCs w:val="false"/>
                <w:i w:val="false"/>
                <w:iCs w:val="false"/>
                <w:color w:val="000000"/>
                <w:kern w:val="0"/>
                <w:sz w:val="24"/>
                <w:szCs w:val="24"/>
                <w:u w:val="none"/>
                <w:lang w:val="uk-UA" w:eastAsia="zh-CN" w:bidi="hi-IN"/>
              </w:rPr>
              <w:t>ДП “АСЗ №1” ПАТ “АК “Богдан Моторс”</w:t>
            </w:r>
          </w:p>
        </w:tc>
        <w:tc>
          <w:tcPr>
            <w:tcW w:w="975"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tc>
        <w:tc>
          <w:tcPr>
            <w:tcW w:w="141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Власні кошти</w:t>
            </w:r>
          </w:p>
        </w:tc>
        <w:tc>
          <w:tcPr>
            <w:tcW w:w="1470" w:type="dxa"/>
            <w:tcBorders>
              <w:left w:val="single" w:sz="4" w:space="0" w:color="000000"/>
              <w:bottom w:val="single" w:sz="4" w:space="0" w:color="000000"/>
            </w:tcBorders>
            <w:shd w:fill="auto" w:val="clear"/>
            <w:vAlign w:val="center"/>
          </w:tcPr>
          <w:p>
            <w:pPr>
              <w:pStyle w:val="Normal"/>
              <w:widowControl w:val="false"/>
              <w:jc w:val="center"/>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35,0</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Забезпечення  контролю за станом довкілля</w:t>
            </w:r>
          </w:p>
        </w:tc>
      </w:tr>
      <w:tr>
        <w:trPr>
          <w:trHeight w:val="619" w:hRule="atLeast"/>
        </w:trPr>
        <w:tc>
          <w:tcPr>
            <w:tcW w:w="13035" w:type="dxa"/>
            <w:gridSpan w:val="6"/>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Всього за роками,</w:t>
            </w:r>
          </w:p>
          <w:p>
            <w:pPr>
              <w:pStyle w:val="Normal"/>
              <w:widowControl w:val="false"/>
              <w:jc w:val="left"/>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 </w:t>
            </w:r>
            <w:r>
              <w:rPr>
                <w:rFonts w:ascii="Times New Roman" w:hAnsi="Times New Roman"/>
                <w:b w:val="false"/>
                <w:bCs w:val="false"/>
                <w:i w:val="false"/>
                <w:iCs w:val="false"/>
                <w:sz w:val="24"/>
                <w:szCs w:val="24"/>
                <w:u w:val="none"/>
              </w:rPr>
              <w:t xml:space="preserve">в тому числі:                   </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left="-83" w:right="0" w:hanging="0"/>
              <w:jc w:val="center"/>
              <w:rPr>
                <w:rFonts w:ascii="Times New Roman" w:hAnsi="Times New Roman" w:cs="Times New Roman"/>
                <w:b/>
                <w:b/>
                <w:bCs/>
                <w:color w:val="000000"/>
                <w:lang w:val="uk-UA"/>
              </w:rPr>
            </w:pPr>
            <w:r>
              <w:rPr>
                <w:rFonts w:cs="Times New Roman" w:ascii="Times New Roman" w:hAnsi="Times New Roman"/>
                <w:b/>
                <w:bCs/>
                <w:color w:val="000000"/>
                <w:lang w:val="uk-UA"/>
              </w:rPr>
            </w:r>
          </w:p>
          <w:p>
            <w:pPr>
              <w:pStyle w:val="Normal"/>
              <w:widowControl w:val="false"/>
              <w:snapToGrid w:val="false"/>
              <w:ind w:left="-83" w:right="0" w:hanging="0"/>
              <w:jc w:val="center"/>
              <w:rPr>
                <w:sz w:val="24"/>
                <w:szCs w:val="24"/>
              </w:rPr>
            </w:pPr>
            <w:r>
              <w:rPr>
                <w:rFonts w:cs="Times New Roman" w:ascii="Times New Roman" w:hAnsi="Times New Roman"/>
                <w:b/>
                <w:bCs/>
                <w:color w:val="000000"/>
                <w:sz w:val="24"/>
                <w:szCs w:val="24"/>
                <w:lang w:val="uk-UA"/>
              </w:rPr>
              <w:t>89 974,0   млн. грн</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right"/>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  </w:t>
            </w:r>
            <w:r>
              <w:rPr>
                <w:rFonts w:ascii="Times New Roman" w:hAnsi="Times New Roman"/>
                <w:b w:val="false"/>
                <w:bCs w:val="false"/>
                <w:i w:val="false"/>
                <w:iCs w:val="false"/>
                <w:sz w:val="24"/>
                <w:szCs w:val="24"/>
                <w:u w:val="none"/>
              </w:rPr>
              <w:t>2022</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left="-83" w:right="0" w:hanging="0"/>
              <w:jc w:val="center"/>
              <w:rPr>
                <w:sz w:val="24"/>
                <w:szCs w:val="24"/>
              </w:rPr>
            </w:pPr>
            <w:r>
              <w:rPr>
                <w:rFonts w:cs="Times New Roman" w:ascii="Times New Roman" w:hAnsi="Times New Roman"/>
                <w:color w:val="000000"/>
                <w:sz w:val="24"/>
                <w:szCs w:val="24"/>
                <w:lang w:val="uk-UA"/>
              </w:rPr>
              <w:t>21 701,0</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right"/>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2023</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left="-83" w:right="0" w:hanging="0"/>
              <w:jc w:val="center"/>
              <w:rPr>
                <w:sz w:val="24"/>
                <w:szCs w:val="24"/>
              </w:rPr>
            </w:pPr>
            <w:r>
              <w:rPr>
                <w:rFonts w:cs="Times New Roman" w:ascii="Times New Roman" w:hAnsi="Times New Roman"/>
                <w:color w:val="000000"/>
                <w:sz w:val="24"/>
                <w:szCs w:val="24"/>
                <w:lang w:val="uk-UA"/>
              </w:rPr>
              <w:t>31 246,0</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right"/>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2024</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left="-83" w:right="0" w:hanging="0"/>
              <w:jc w:val="center"/>
              <w:rPr>
                <w:sz w:val="24"/>
                <w:szCs w:val="24"/>
              </w:rPr>
            </w:pPr>
            <w:r>
              <w:rPr>
                <w:rFonts w:cs="Times New Roman" w:ascii="Times New Roman" w:hAnsi="Times New Roman"/>
                <w:color w:val="000000"/>
                <w:sz w:val="24"/>
                <w:szCs w:val="24"/>
                <w:lang w:val="uk-UA"/>
              </w:rPr>
              <w:t>19 946,0</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right"/>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2025</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left="-83" w:right="0" w:hanging="0"/>
              <w:jc w:val="center"/>
              <w:rPr>
                <w:sz w:val="24"/>
                <w:szCs w:val="24"/>
              </w:rPr>
            </w:pPr>
            <w:r>
              <w:rPr>
                <w:rFonts w:cs="Times New Roman" w:ascii="Times New Roman" w:hAnsi="Times New Roman"/>
                <w:color w:val="000000"/>
                <w:sz w:val="24"/>
                <w:szCs w:val="24"/>
                <w:lang w:val="uk-UA"/>
              </w:rPr>
              <w:t>17 081,0</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both"/>
              <w:rPr>
                <w:rFonts w:ascii="Times New Roman" w:hAnsi="Times New Roman"/>
                <w:b w:val="false"/>
                <w:b w:val="false"/>
                <w:bCs w:val="false"/>
                <w:i w:val="false"/>
                <w:i w:val="false"/>
                <w:iCs w:val="false"/>
                <w:sz w:val="24"/>
                <w:szCs w:val="24"/>
                <w:u w:val="none"/>
              </w:rPr>
            </w:pPr>
            <w:r>
              <w:rPr>
                <w:rFonts w:ascii="Times New Roman" w:hAnsi="Times New Roman"/>
                <w:b w:val="false"/>
                <w:bCs w:val="false"/>
                <w:i w:val="false"/>
                <w:iCs w:val="false"/>
                <w:sz w:val="24"/>
                <w:szCs w:val="24"/>
                <w:u w:val="none"/>
              </w:rPr>
              <w:t xml:space="preserve">Всього за джерелами фінансування,у тому числі:                                                                                           </w:t>
            </w:r>
            <w:r>
              <w:rPr>
                <w:rFonts w:eastAsia="Times New Roman" w:cs="Times New Roman" w:ascii="Times New Roman" w:hAnsi="Times New Roman"/>
                <w:b w:val="false"/>
                <w:bCs w:val="false"/>
                <w:i w:val="false"/>
                <w:iCs w:val="false"/>
                <w:color w:val="000000"/>
                <w:sz w:val="24"/>
                <w:szCs w:val="24"/>
                <w:u w:val="none"/>
              </w:rPr>
              <w:t>коштів бюджету громади</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ind w:right="0" w:hanging="0"/>
              <w:jc w:val="center"/>
              <w:rPr>
                <w:sz w:val="24"/>
                <w:szCs w:val="24"/>
              </w:rPr>
            </w:pPr>
            <w:r>
              <w:rPr>
                <w:rFonts w:eastAsia="Calibri" w:cs="Times New Roman" w:ascii="Times New Roman" w:hAnsi="Times New Roman"/>
                <w:color w:val="000000"/>
                <w:sz w:val="24"/>
                <w:szCs w:val="24"/>
              </w:rPr>
              <w:t>25 950,0</w:t>
            </w:r>
          </w:p>
        </w:tc>
      </w:tr>
      <w:tr>
        <w:trPr/>
        <w:tc>
          <w:tcPr>
            <w:tcW w:w="13035" w:type="dxa"/>
            <w:gridSpan w:val="6"/>
            <w:tcBorders>
              <w:left w:val="single" w:sz="4" w:space="0" w:color="000000"/>
              <w:bottom w:val="single" w:sz="4" w:space="0" w:color="000000"/>
            </w:tcBorders>
            <w:shd w:fill="auto" w:val="clear"/>
            <w:vAlign w:val="center"/>
          </w:tcPr>
          <w:p>
            <w:pPr>
              <w:pStyle w:val="Normal"/>
              <w:widowControl w:val="false"/>
              <w:jc w:val="right"/>
              <w:rPr>
                <w:rFonts w:ascii="Times New Roman" w:hAnsi="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color w:val="000000"/>
                <w:sz w:val="24"/>
                <w:szCs w:val="24"/>
                <w:u w:val="none"/>
              </w:rPr>
              <w:t>коштів інших джерел</w:t>
            </w:r>
          </w:p>
        </w:tc>
        <w:tc>
          <w:tcPr>
            <w:tcW w:w="2504"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sz w:val="24"/>
                <w:szCs w:val="24"/>
              </w:rPr>
            </w:pPr>
            <w:r>
              <w:rPr>
                <w:rFonts w:eastAsia="Calibri" w:cs="Times New Roman" w:ascii="Times New Roman" w:hAnsi="Times New Roman"/>
                <w:color w:val="000000"/>
                <w:sz w:val="24"/>
                <w:szCs w:val="24"/>
              </w:rPr>
              <w:t>64 024,0</w:t>
            </w:r>
          </w:p>
        </w:tc>
      </w:tr>
    </w:tbl>
    <w:p>
      <w:pPr>
        <w:pStyle w:val="Normal"/>
        <w:widowControl/>
        <w:snapToGrid w:val="false"/>
        <w:jc w:val="both"/>
        <w:rPr/>
      </w:pPr>
      <w:r>
        <w:rPr>
          <w:rFonts w:eastAsia="Times New Roman" w:cs="Times New Roman" w:ascii="Times New Roman" w:hAnsi="Times New Roman"/>
          <w:color w:val="000000"/>
          <w:sz w:val="28"/>
          <w:szCs w:val="28"/>
        </w:rPr>
        <w:t xml:space="preserve">                                                                                                                                 </w:t>
      </w:r>
    </w:p>
    <w:p>
      <w:pPr>
        <w:pStyle w:val="Normal"/>
        <w:widowControl/>
        <w:snapToGrid w:val="false"/>
        <w:jc w:val="both"/>
        <w:rPr/>
      </w:pPr>
      <w:r>
        <w:rPr>
          <w:rFonts w:eastAsia="Times New Roman" w:cs="Times New Roman" w:ascii="Times New Roman" w:hAnsi="Times New Roman"/>
          <w:color w:val="000000"/>
          <w:sz w:val="24"/>
          <w:szCs w:val="24"/>
        </w:rPr>
        <w:t>Лисак 724 160</w:t>
      </w:r>
    </w:p>
    <w:sectPr>
      <w:headerReference w:type="default" r:id="rId3"/>
      <w:type w:val="nextPage"/>
      <w:pgSz w:orient="landscape" w:w="16838" w:h="11906"/>
      <w:pgMar w:left="850" w:right="850" w:header="708" w:top="198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CYR">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rFonts w:cs="Times New Roman"/>
        <w:sz w:val="28"/>
        <w:szCs w:val="28"/>
      </w:rPr>
      <w:fldChar w:fldCharType="begin"/>
    </w:r>
    <w:r>
      <w:rPr>
        <w:sz w:val="28"/>
        <w:szCs w:val="28"/>
        <w:rFonts w:cs="Times New Roman"/>
      </w:rPr>
      <w:instrText> PAGE </w:instrText>
    </w:r>
    <w:r>
      <w:rPr>
        <w:sz w:val="28"/>
        <w:szCs w:val="28"/>
        <w:rFonts w:cs="Times New Roman"/>
      </w:rPr>
      <w:fldChar w:fldCharType="separate"/>
    </w:r>
    <w:r>
      <w:rPr>
        <w:sz w:val="28"/>
        <w:szCs w:val="28"/>
        <w:rFonts w:cs="Times New Roman"/>
      </w:rPr>
      <w:t>2</w:t>
    </w:r>
    <w:r>
      <w:rPr>
        <w:sz w:val="28"/>
        <w:szCs w:val="28"/>
        <w:rFonts w:cs="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rFonts w:cs="Times New Roman"/>
        <w:sz w:val="28"/>
        <w:szCs w:val="28"/>
      </w:rPr>
      <w:fldChar w:fldCharType="begin"/>
    </w:r>
    <w:r>
      <w:rPr>
        <w:sz w:val="28"/>
        <w:szCs w:val="28"/>
        <w:rFonts w:cs="Times New Roman"/>
      </w:rPr>
      <w:instrText> PAGE </w:instrText>
    </w:r>
    <w:r>
      <w:rPr>
        <w:sz w:val="28"/>
        <w:szCs w:val="28"/>
        <w:rFonts w:cs="Times New Roman"/>
      </w:rPr>
      <w:fldChar w:fldCharType="separate"/>
    </w:r>
    <w:r>
      <w:rPr>
        <w:sz w:val="28"/>
        <w:szCs w:val="28"/>
        <w:rFonts w:cs="Times New Roman"/>
      </w:rPr>
      <w:t>27</w:t>
    </w:r>
    <w:r>
      <w:rPr>
        <w:sz w:val="28"/>
        <w:szCs w:val="28"/>
        <w:rFonts w:cs="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306"/>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val="false"/>
      <w:suppressAutoHyphens w:val="true"/>
      <w:overflowPunct w:val="true"/>
      <w:bidi w:val="0"/>
      <w:spacing w:before="0" w:after="0"/>
      <w:jc w:val="left"/>
    </w:pPr>
    <w:rPr>
      <w:rFonts w:ascii="Calibri" w:hAnsi="Calibri" w:eastAsia="NSimSun" w:cs="Mangal;Liberation Mono"/>
      <w:color w:val="auto"/>
      <w:kern w:val="2"/>
      <w:sz w:val="22"/>
      <w:szCs w:val="24"/>
      <w:lang w:val="uk-UA" w:eastAsia="zh-CN" w:bidi="hi-IN"/>
    </w:rPr>
  </w:style>
  <w:style w:type="paragraph" w:styleId="1">
    <w:name w:val="Heading 1"/>
    <w:basedOn w:val="Normal"/>
    <w:next w:val="Normal"/>
    <w:qFormat/>
    <w:pPr>
      <w:keepNext w:val="true"/>
      <w:widowControl/>
      <w:numPr>
        <w:ilvl w:val="0"/>
        <w:numId w:val="1"/>
      </w:numPr>
      <w:jc w:val="center"/>
      <w:outlineLvl w:val="0"/>
    </w:pPr>
    <w:rPr>
      <w:rFonts w:ascii="Liberation Serif;Times New Roman" w:hAnsi="Liberation Serif;Times New Roman" w:eastAsia="SimSun;宋体" w:cs="Liberation Serif;Times New Roman"/>
      <w:b/>
      <w:sz w:val="32"/>
    </w:rPr>
  </w:style>
  <w:style w:type="paragraph" w:styleId="2">
    <w:name w:val="Heading 2"/>
    <w:basedOn w:val="Normal"/>
    <w:next w:val="Normal"/>
    <w:qFormat/>
    <w:pPr>
      <w:keepNext w:val="true"/>
      <w:widowControl/>
      <w:numPr>
        <w:ilvl w:val="1"/>
        <w:numId w:val="1"/>
      </w:numPr>
      <w:spacing w:before="240" w:after="60"/>
      <w:outlineLvl w:val="1"/>
    </w:pPr>
    <w:rPr>
      <w:rFonts w:ascii="Arial" w:hAnsi="Arial" w:eastAsia="SimSun;宋体" w:cs="Arial"/>
      <w:b/>
      <w:i/>
      <w:iCs/>
      <w:sz w:val="24"/>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ерхний колонтитул Знак"/>
    <w:qFormat/>
    <w:rPr>
      <w:rFonts w:ascii="Calibri" w:hAnsi="Calibri" w:eastAsia="NSimSun" w:cs="Mangal;Liberation Mono"/>
      <w:kern w:val="2"/>
      <w:sz w:val="22"/>
      <w:szCs w:val="24"/>
      <w:lang w:eastAsia="zh-CN" w:bidi="hi-IN"/>
    </w:rPr>
  </w:style>
  <w:style w:type="character" w:styleId="Style14">
    <w:name w:val="Нижний колонтитул Знак"/>
    <w:qFormat/>
    <w:rPr>
      <w:rFonts w:ascii="Calibri" w:hAnsi="Calibri" w:eastAsia="NSimSun" w:cs="Mangal;Liberation Mono"/>
      <w:kern w:val="2"/>
      <w:sz w:val="22"/>
      <w:szCs w:val="24"/>
      <w:lang w:eastAsia="zh-CN" w:bidi="hi-IN"/>
    </w:rPr>
  </w:style>
  <w:style w:type="character" w:styleId="12">
    <w:name w:val="Заголовок 1 Знак"/>
    <w:qFormat/>
    <w:rPr>
      <w:rFonts w:ascii="Liberation Serif;Times New Roman" w:hAnsi="Liberation Serif;Times New Roman" w:eastAsia="SimSun;宋体" w:cs="Mangal;Liberation Mono"/>
      <w:b/>
      <w:kern w:val="2"/>
      <w:sz w:val="32"/>
      <w:szCs w:val="24"/>
      <w:lang w:eastAsia="zh-CN" w:bidi="hi-IN"/>
    </w:rPr>
  </w:style>
  <w:style w:type="character" w:styleId="22">
    <w:name w:val="Заголовок 2 Знак"/>
    <w:qFormat/>
    <w:rPr>
      <w:rFonts w:ascii="Arial" w:hAnsi="Arial" w:eastAsia="SimSun;宋体" w:cs="Arial"/>
      <w:b/>
      <w:i/>
      <w:iCs/>
      <w:kern w:val="2"/>
      <w:sz w:val="24"/>
      <w:szCs w:val="28"/>
      <w:lang w:eastAsia="zh-CN" w:bidi="hi-IN"/>
    </w:rPr>
  </w:style>
  <w:style w:type="character" w:styleId="Style15">
    <w:name w:val="Маркери списку"/>
    <w:qFormat/>
    <w:rPr>
      <w:rFonts w:ascii="OpenSymbol" w:hAnsi="OpenSymbol" w:eastAsia="OpenSymbol" w:cs="OpenSymbol"/>
    </w:rPr>
  </w:style>
  <w:style w:type="character" w:styleId="Style16">
    <w:name w:val="Гіперпосилання"/>
    <w:rPr>
      <w:color w:val="000080"/>
      <w:u w:val="single"/>
      <w:lang w:val="zxx" w:eastAsia="zxx" w:bidi="zxx"/>
    </w:rPr>
  </w:style>
  <w:style w:type="paragraph" w:styleId="Style17">
    <w:name w:val="Заголовок"/>
    <w:basedOn w:val="Normal"/>
    <w:next w:val="Style18"/>
    <w:qFormat/>
    <w:pPr>
      <w:keepNext w:val="true"/>
      <w:spacing w:before="240" w:after="120"/>
    </w:pPr>
    <w:rPr>
      <w:rFonts w:ascii="Liberation Sans;Arial" w:hAnsi="Liberation Sans;Arial" w:eastAsia="Microsoft YaHei" w:cs="Mangal;Liberation Mono"/>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Mangal;Liberation Mono"/>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Style22">
    <w:name w:val="Название"/>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Style24">
    <w:name w:val="Название объекта"/>
    <w:basedOn w:val="Normal"/>
    <w:qFormat/>
    <w:pPr>
      <w:suppressLineNumbers/>
      <w:spacing w:before="120" w:after="120"/>
    </w:pPr>
    <w:rPr>
      <w:rFonts w:cs="Mangal;Liberation Mono"/>
      <w:i/>
      <w:iCs/>
      <w:sz w:val="24"/>
      <w:szCs w:val="24"/>
    </w:rPr>
  </w:style>
  <w:style w:type="paragraph" w:styleId="3">
    <w:name w:val="Указатель3"/>
    <w:basedOn w:val="Normal"/>
    <w:qFormat/>
    <w:pPr>
      <w:suppressLineNumbers/>
    </w:pPr>
    <w:rPr>
      <w:rFonts w:cs="Mangal;Liberation Mono"/>
    </w:rPr>
  </w:style>
  <w:style w:type="paragraph" w:styleId="23">
    <w:name w:val="Название объекта2"/>
    <w:basedOn w:val="Normal"/>
    <w:qFormat/>
    <w:pPr>
      <w:suppressLineNumbers/>
      <w:spacing w:before="120" w:after="120"/>
    </w:pPr>
    <w:rPr>
      <w:rFonts w:cs="Mangal;Liberation Mono"/>
      <w:i/>
      <w:iCs/>
      <w:sz w:val="24"/>
      <w:szCs w:val="24"/>
    </w:rPr>
  </w:style>
  <w:style w:type="paragraph" w:styleId="24">
    <w:name w:val="Указатель2"/>
    <w:basedOn w:val="Normal"/>
    <w:qFormat/>
    <w:pPr>
      <w:suppressLineNumbers/>
    </w:pPr>
    <w:rPr>
      <w:rFonts w:cs="Mangal;Liberation Mono"/>
    </w:rPr>
  </w:style>
  <w:style w:type="paragraph" w:styleId="13">
    <w:name w:val="Название объекта1"/>
    <w:basedOn w:val="Normal"/>
    <w:qFormat/>
    <w:pPr>
      <w:suppressLineNumbers/>
      <w:spacing w:before="120" w:after="120"/>
    </w:pPr>
    <w:rPr>
      <w:rFonts w:cs="Mangal;Liberation Mono"/>
      <w:i/>
      <w:iCs/>
      <w:sz w:val="24"/>
      <w:szCs w:val="24"/>
    </w:rPr>
  </w:style>
  <w:style w:type="paragraph" w:styleId="14">
    <w:name w:val="Указатель1"/>
    <w:basedOn w:val="Normal"/>
    <w:qFormat/>
    <w:pPr>
      <w:suppressLineNumbers/>
    </w:pPr>
    <w:rPr>
      <w:rFonts w:cs="Mangal;Liberation Mono"/>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paragraph" w:styleId="Style27">
    <w:name w:val="Верхній і нижній колонтитули"/>
    <w:basedOn w:val="Normal"/>
    <w:qFormat/>
    <w:pPr>
      <w:suppressLineNumbers/>
      <w:tabs>
        <w:tab w:val="clear" w:pos="306"/>
        <w:tab w:val="center" w:pos="4819" w:leader="none"/>
        <w:tab w:val="right" w:pos="9638" w:leader="none"/>
      </w:tabs>
    </w:pPr>
    <w:rPr/>
  </w:style>
  <w:style w:type="paragraph" w:styleId="Style28">
    <w:name w:val="Header"/>
    <w:basedOn w:val="Normal"/>
    <w:qFormat/>
    <w:pPr>
      <w:tabs>
        <w:tab w:val="clear" w:pos="306"/>
        <w:tab w:val="center" w:pos="4153" w:leader="none"/>
        <w:tab w:val="right" w:pos="8306" w:leader="none"/>
      </w:tabs>
      <w:suppressAutoHyphens w:val="false"/>
    </w:pPr>
    <w:rPr>
      <w:rFonts w:ascii="Times New Roman" w:hAnsi="Times New Roman" w:eastAsia="Times New Roman" w:cs="Times New Roman"/>
      <w:kern w:val="0"/>
      <w:sz w:val="20"/>
      <w:szCs w:val="20"/>
      <w:lang w:val="ru-RU" w:bidi="ar-SA"/>
    </w:rPr>
  </w:style>
  <w:style w:type="paragraph" w:styleId="Style29">
    <w:name w:val="Footer"/>
    <w:basedOn w:val="Normal"/>
    <w:pPr>
      <w:tabs>
        <w:tab w:val="clear" w:pos="306"/>
        <w:tab w:val="center" w:pos="4819" w:leader="none"/>
        <w:tab w:val="right" w:pos="9639" w:leader="none"/>
      </w:tabs>
    </w:pPr>
    <w:rPr/>
  </w:style>
  <w:style w:type="paragraph" w:styleId="Style30">
    <w:name w:val="Вміст таблиці"/>
    <w:basedOn w:val="Normal"/>
    <w:qFormat/>
    <w:pPr>
      <w:suppressLineNumbers/>
    </w:pPr>
    <w:rPr/>
  </w:style>
  <w:style w:type="paragraph" w:styleId="Style31">
    <w:name w:val="Заголовок таблиці"/>
    <w:basedOn w:val="Style30"/>
    <w:qFormat/>
    <w:pPr>
      <w:suppressLineNumbers/>
      <w:jc w:val="center"/>
    </w:pPr>
    <w:rPr>
      <w:b/>
      <w:bCs/>
    </w:rPr>
  </w:style>
  <w:style w:type="paragraph" w:styleId="Style32">
    <w:name w:val="Обычный (веб)"/>
    <w:basedOn w:val="Normal"/>
    <w:qFormat/>
    <w:pPr>
      <w:suppressAutoHyphens w:val="false"/>
      <w:spacing w:before="280" w:after="119"/>
    </w:pPr>
    <w:rPr>
      <w:bCs w:val="false"/>
      <w:sz w:val="24"/>
      <w:lang w:val="ru-RU"/>
    </w:rPr>
  </w:style>
  <w:style w:type="paragraph" w:styleId="Style33">
    <w:name w:val="Абзац списка"/>
    <w:basedOn w:val="Normal"/>
    <w:qFormat/>
    <w:pPr>
      <w:spacing w:before="0" w:after="0"/>
      <w:ind w:left="720" w:right="0" w:hanging="0"/>
      <w:contextualSpacing/>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888</TotalTime>
  <Application>LibreOffice/6.3.4.2$Windows_X86_64 LibreOffice_project/60da17e045e08f1793c57c00ba83cdfce946d0aa</Application>
  <Pages>27</Pages>
  <Words>6034</Words>
  <Characters>40369</Characters>
  <CharactersWithSpaces>46952</CharactersWithSpaces>
  <Paragraphs>1369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1995-11-21T16:41:00Z</dcterms:created>
  <dc:creator/>
  <dc:description/>
  <dc:language>uk-UA</dc:language>
  <cp:lastModifiedBy/>
  <cp:lastPrinted>2021-11-19T14:07:20Z</cp:lastPrinted>
  <dcterms:modified xsi:type="dcterms:W3CDTF">2021-12-01T15:57:24Z</dcterms:modified>
  <cp:revision>150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