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ind w:firstLine="567"/>
        <w:jc w:val="right"/>
        <w:rPr>
          <w:rFonts w:ascii="Times New Roman" w:hAnsi="Times New Roman" w:eastAsia="Arial Unicode MS" w:cs="Arial Unicode MS"/>
          <w:color w:val="000000"/>
          <w:kern w:val="0"/>
          <w:sz w:val="28"/>
          <w:szCs w:val="28"/>
          <w:u w:val="none" w:color="000000"/>
          <w:lang w:val="uk-UA" w:eastAsia="ru-RU" w:bidi="ar-SA"/>
        </w:rPr>
      </w:pPr>
      <w:r>
        <w:rPr>
          <w:rFonts w:eastAsia="Arial Unicode MS" w:cs="Arial Unicode MS" w:ascii="Times New Roman" w:hAnsi="Times New Roman"/>
          <w:color w:val="000000"/>
          <w:kern w:val="0"/>
          <w:sz w:val="28"/>
          <w:szCs w:val="28"/>
          <w:u w:val="none" w:color="000000"/>
          <w:lang w:val="uk-UA" w:eastAsia="ru-RU" w:bidi="ar-SA"/>
        </w:rPr>
        <w:t>Додаток</w:t>
      </w:r>
    </w:p>
    <w:p>
      <w:pPr>
        <w:pStyle w:val="Normal"/>
        <w:spacing w:lineRule="auto" w:line="276"/>
        <w:ind w:firstLine="567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 </w:t>
      </w:r>
      <w:r>
        <w:rPr>
          <w:rFonts w:ascii="Times New Roman" w:hAnsi="Times New Roman"/>
          <w:sz w:val="28"/>
          <w:szCs w:val="28"/>
          <w:lang w:val="uk-UA"/>
        </w:rPr>
        <w:t>рішення міської ради</w:t>
      </w:r>
    </w:p>
    <w:p>
      <w:pPr>
        <w:pStyle w:val="Normal"/>
        <w:spacing w:lineRule="auto" w:line="276"/>
        <w:ind w:firstLine="567"/>
        <w:jc w:val="right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_____________№______</w:t>
      </w:r>
    </w:p>
    <w:p>
      <w:pPr>
        <w:pStyle w:val="Normal"/>
        <w:spacing w:lineRule="auto" w:line="276"/>
        <w:ind w:firstLine="567"/>
        <w:jc w:val="right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sz w:val="52"/>
          <w:szCs w:val="52"/>
          <w:lang w:val="uk-UA"/>
        </w:rPr>
      </w:pPr>
      <w:r>
        <w:rPr>
          <w:rFonts w:eastAsia="Times New Roman" w:cs="Times New Roman" w:ascii="Times New Roman" w:hAnsi="Times New Roman"/>
          <w:sz w:val="52"/>
          <w:szCs w:val="52"/>
          <w:lang w:val="uk-U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sz w:val="52"/>
          <w:szCs w:val="52"/>
          <w:lang w:val="uk-UA"/>
        </w:rPr>
      </w:pPr>
      <w:r>
        <w:rPr>
          <w:rFonts w:eastAsia="Times New Roman" w:cs="Times New Roman" w:ascii="Times New Roman" w:hAnsi="Times New Roman"/>
          <w:sz w:val="52"/>
          <w:szCs w:val="52"/>
          <w:lang w:val="uk-U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sz w:val="52"/>
          <w:szCs w:val="52"/>
          <w:lang w:val="uk-UA"/>
        </w:rPr>
      </w:pPr>
      <w:r>
        <w:rPr>
          <w:rFonts w:eastAsia="Times New Roman" w:cs="Times New Roman" w:ascii="Times New Roman" w:hAnsi="Times New Roman"/>
          <w:sz w:val="52"/>
          <w:szCs w:val="52"/>
          <w:lang w:val="uk-U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sz w:val="52"/>
          <w:szCs w:val="52"/>
          <w:lang w:val="uk-UA"/>
        </w:rPr>
      </w:pPr>
      <w:r>
        <w:rPr>
          <w:rFonts w:eastAsia="Times New Roman" w:cs="Times New Roman" w:ascii="Times New Roman" w:hAnsi="Times New Roman"/>
          <w:sz w:val="52"/>
          <w:szCs w:val="52"/>
          <w:lang w:val="uk-U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sz w:val="72"/>
          <w:szCs w:val="72"/>
          <w:lang w:val="uk-UA"/>
        </w:rPr>
      </w:pPr>
      <w:r>
        <w:rPr>
          <w:rFonts w:ascii="Times New Roman" w:hAnsi="Times New Roman"/>
          <w:b/>
          <w:bCs/>
          <w:sz w:val="72"/>
          <w:szCs w:val="72"/>
          <w:lang w:val="uk-UA"/>
        </w:rPr>
        <w:t>СТАТУТ</w:t>
      </w:r>
    </w:p>
    <w:p>
      <w:pPr>
        <w:pStyle w:val="Normal"/>
        <w:spacing w:lineRule="auto" w:line="276"/>
        <w:ind w:left="57" w:right="0" w:hanging="0"/>
        <w:jc w:val="center"/>
        <w:rPr>
          <w:rFonts w:ascii="Times New Roman" w:hAnsi="Times New Roman" w:eastAsia="Times New Roman" w:cs="Times New Roman"/>
          <w:b/>
          <w:b/>
          <w:bCs/>
          <w:sz w:val="52"/>
          <w:szCs w:val="52"/>
          <w:lang w:val="uk-UA"/>
        </w:rPr>
      </w:pPr>
      <w:r>
        <w:rPr>
          <w:rFonts w:ascii="Times New Roman" w:hAnsi="Times New Roman"/>
          <w:b/>
          <w:bCs/>
          <w:sz w:val="52"/>
          <w:szCs w:val="52"/>
          <w:lang w:val="uk-UA"/>
        </w:rPr>
        <w:t>Музею історії сільського господарства</w:t>
      </w:r>
    </w:p>
    <w:p>
      <w:pPr>
        <w:pStyle w:val="Normal"/>
        <w:spacing w:lineRule="auto" w:line="276"/>
        <w:ind w:left="57" w:right="0" w:hanging="0"/>
        <w:jc w:val="center"/>
        <w:rPr/>
      </w:pPr>
      <w:r>
        <w:rPr>
          <w:rFonts w:ascii="Times New Roman" w:hAnsi="Times New Roman"/>
          <w:b/>
          <w:bCs/>
          <w:sz w:val="52"/>
          <w:szCs w:val="52"/>
          <w:lang w:val="uk-UA"/>
        </w:rPr>
        <w:t>Волині - скансен</w:t>
      </w:r>
    </w:p>
    <w:p>
      <w:pPr>
        <w:pStyle w:val="Normal"/>
        <w:spacing w:lineRule="auto" w:line="276"/>
        <w:ind w:left="57" w:right="0" w:hanging="0"/>
        <w:jc w:val="center"/>
        <w:rPr/>
      </w:pPr>
      <w:r>
        <w:rPr>
          <w:rFonts w:ascii="Times New Roman" w:hAnsi="Times New Roman"/>
          <w:b/>
          <w:bCs/>
          <w:sz w:val="40"/>
          <w:szCs w:val="40"/>
          <w:lang w:val="uk-UA"/>
        </w:rPr>
        <w:t>(нова редакція)</w:t>
      </w:r>
    </w:p>
    <w:p>
      <w:pPr>
        <w:pStyle w:val="Normal"/>
        <w:spacing w:lineRule="auto" w:line="276"/>
        <w:ind w:left="57" w:right="0" w:hanging="0"/>
        <w:jc w:val="center"/>
        <w:rPr>
          <w:rFonts w:ascii="Times New Roman" w:hAnsi="Times New Roman" w:eastAsia="Times New Roman" w:cs="Times New Roman"/>
          <w:sz w:val="40"/>
          <w:szCs w:val="40"/>
          <w:lang w:val="uk-UA"/>
        </w:rPr>
      </w:pPr>
      <w:r>
        <w:rPr>
          <w:rFonts w:eastAsia="Times New Roman" w:cs="Times New Roman" w:ascii="Times New Roman" w:hAnsi="Times New Roman"/>
          <w:sz w:val="40"/>
          <w:szCs w:val="40"/>
          <w:lang w:val="uk-U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sz w:val="40"/>
          <w:szCs w:val="40"/>
          <w:lang w:val="uk-UA"/>
        </w:rPr>
      </w:pPr>
      <w:r>
        <w:rPr>
          <w:rFonts w:eastAsia="Times New Roman" w:cs="Times New Roman" w:ascii="Times New Roman" w:hAnsi="Times New Roman"/>
          <w:sz w:val="40"/>
          <w:szCs w:val="40"/>
          <w:lang w:val="uk-U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sz w:val="40"/>
          <w:szCs w:val="40"/>
          <w:lang w:val="uk-UA"/>
        </w:rPr>
      </w:pPr>
      <w:r>
        <w:rPr>
          <w:rFonts w:eastAsia="Times New Roman" w:cs="Times New Roman" w:ascii="Times New Roman" w:hAnsi="Times New Roman"/>
          <w:sz w:val="40"/>
          <w:szCs w:val="40"/>
          <w:lang w:val="uk-U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sz w:val="40"/>
          <w:szCs w:val="40"/>
          <w:lang w:val="uk-UA"/>
        </w:rPr>
      </w:pPr>
      <w:r>
        <w:rPr>
          <w:rFonts w:eastAsia="Times New Roman" w:cs="Times New Roman" w:ascii="Times New Roman" w:hAnsi="Times New Roman"/>
          <w:sz w:val="40"/>
          <w:szCs w:val="40"/>
          <w:lang w:val="uk-U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sz w:val="40"/>
          <w:szCs w:val="40"/>
          <w:lang w:val="uk-UA"/>
        </w:rPr>
      </w:pPr>
      <w:r>
        <w:rPr>
          <w:rFonts w:eastAsia="Times New Roman" w:cs="Times New Roman" w:ascii="Times New Roman" w:hAnsi="Times New Roman"/>
          <w:sz w:val="40"/>
          <w:szCs w:val="40"/>
          <w:lang w:val="uk-U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sz w:val="40"/>
          <w:szCs w:val="40"/>
          <w:lang w:val="uk-UA"/>
        </w:rPr>
      </w:pPr>
      <w:r>
        <w:rPr>
          <w:rFonts w:eastAsia="Times New Roman" w:cs="Times New Roman" w:ascii="Times New Roman" w:hAnsi="Times New Roman"/>
          <w:b/>
          <w:bCs/>
          <w:sz w:val="40"/>
          <w:szCs w:val="40"/>
          <w:lang w:val="uk-U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sz w:val="40"/>
          <w:szCs w:val="40"/>
          <w:lang w:val="uk-UA"/>
        </w:rPr>
      </w:pPr>
      <w:r>
        <w:rPr>
          <w:rFonts w:eastAsia="Times New Roman" w:cs="Times New Roman" w:ascii="Times New Roman" w:hAnsi="Times New Roman"/>
          <w:b/>
          <w:bCs/>
          <w:sz w:val="40"/>
          <w:szCs w:val="40"/>
          <w:lang w:val="uk-U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sz w:val="40"/>
          <w:szCs w:val="40"/>
          <w:lang w:val="uk-UA"/>
        </w:rPr>
      </w:pPr>
      <w:r>
        <w:rPr>
          <w:rFonts w:eastAsia="Times New Roman" w:cs="Times New Roman" w:ascii="Times New Roman" w:hAnsi="Times New Roman"/>
          <w:b/>
          <w:bCs/>
          <w:sz w:val="40"/>
          <w:szCs w:val="40"/>
          <w:lang w:val="uk-U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sz w:val="40"/>
          <w:szCs w:val="40"/>
          <w:lang w:val="uk-UA"/>
        </w:rPr>
      </w:pPr>
      <w:r>
        <w:rPr>
          <w:rFonts w:eastAsia="Times New Roman" w:cs="Times New Roman" w:ascii="Times New Roman" w:hAnsi="Times New Roman"/>
          <w:b/>
          <w:bCs/>
          <w:sz w:val="40"/>
          <w:szCs w:val="40"/>
          <w:lang w:val="uk-U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sz w:val="40"/>
          <w:szCs w:val="40"/>
          <w:lang w:val="uk-UA"/>
        </w:rPr>
      </w:pPr>
      <w:r>
        <w:rPr>
          <w:rFonts w:eastAsia="Times New Roman" w:cs="Times New Roman" w:ascii="Times New Roman" w:hAnsi="Times New Roman"/>
          <w:b/>
          <w:bCs/>
          <w:sz w:val="40"/>
          <w:szCs w:val="40"/>
          <w:lang w:val="uk-U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sz w:val="36"/>
          <w:szCs w:val="36"/>
          <w:lang w:val="uk-UA"/>
        </w:rPr>
      </w:pPr>
      <w:r>
        <w:rPr>
          <w:rFonts w:eastAsia="Times New Roman" w:cs="Times New Roman" w:ascii="Times New Roman" w:hAnsi="Times New Roman"/>
          <w:b/>
          <w:bCs/>
          <w:sz w:val="36"/>
          <w:szCs w:val="36"/>
          <w:lang w:val="uk-U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sz w:val="36"/>
          <w:szCs w:val="36"/>
          <w:lang w:val="uk-UA"/>
        </w:rPr>
      </w:pPr>
      <w:r>
        <w:rPr>
          <w:rFonts w:eastAsia="Times New Roman" w:cs="Times New Roman" w:ascii="Times New Roman" w:hAnsi="Times New Roman"/>
          <w:b/>
          <w:bCs/>
          <w:sz w:val="36"/>
          <w:szCs w:val="36"/>
          <w:lang w:val="uk-U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sz w:val="36"/>
          <w:szCs w:val="36"/>
          <w:lang w:val="uk-UA"/>
        </w:rPr>
      </w:pPr>
      <w:r>
        <w:rPr>
          <w:rFonts w:eastAsia="Times New Roman" w:cs="Times New Roman" w:ascii="Times New Roman" w:hAnsi="Times New Roman"/>
          <w:b/>
          <w:bCs/>
          <w:sz w:val="36"/>
          <w:szCs w:val="36"/>
          <w:lang w:val="uk-U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sz w:val="36"/>
          <w:szCs w:val="36"/>
          <w:lang w:val="uk-UA"/>
        </w:rPr>
      </w:pPr>
      <w:r>
        <w:rPr>
          <w:rFonts w:eastAsia="Times New Roman" w:cs="Times New Roman" w:ascii="Times New Roman" w:hAnsi="Times New Roman"/>
          <w:b/>
          <w:bCs/>
          <w:sz w:val="36"/>
          <w:szCs w:val="36"/>
          <w:lang w:val="uk-UA"/>
        </w:rPr>
        <w:t>2021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1. ЗАГАЛЬНІ ПОЛОЖЕННЯ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1.1. Музей історії сільського господарства Волині – скансен (далі – Музей) є комунальною організацією, засновником якої є Луцька міська рада (далі - Засновник).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1.2. Музей є правонаступником Міжгосподарського музею історії сільською господарства Волині.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1.3. Музей є культурно-освітньою та науково-дослідницькою організацією, призначеною для вивчення, збереження та використання пам’яток природи, історії, матеріальної та духовної культури, залучення громадян до надбань місцевої, національної і світової історико-культурної спадщини.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1.4. Музей має статус комунальної неприбуткової організації, безпосередньо підпорядкований департаменту культури Луцької міської ради.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fr-FR"/>
          <w14:textOutline w14:w="12700" w14:cap="flat" w14:cmpd="sng" w14:algn="ctr">
            <w14:noFill/>
            <w14:prstDash w14:val="solid"/>
            <w14:miter w14:lim="400000"/>
          </w14:textOutline>
        </w:rPr>
        <w:t>1.</w:t>
      </w:r>
      <w:r>
        <w:rPr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5. </w:t>
      </w:r>
      <w:r>
        <w:rPr>
          <w:sz w:val="28"/>
          <w:szCs w:val="28"/>
          <w:lang w:val="fr-F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Музей фінансується за рахунок коштів бюджету </w:t>
      </w:r>
      <w:r>
        <w:rPr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Луцької міської територіальної громади</w:t>
      </w:r>
      <w:r>
        <w:rPr>
          <w:sz w:val="28"/>
          <w:szCs w:val="28"/>
          <w:lang w:val="fr-FR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та за рахунок інших </w:t>
      </w:r>
      <w:r>
        <w:rPr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коштів, не заборонених чинним законодавством</w:t>
      </w:r>
      <w:r>
        <w:rPr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  <w:t>.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1.6. </w:t>
      </w:r>
      <w:r>
        <w:rPr>
          <w:sz w:val="28"/>
          <w:szCs w:val="28"/>
          <w:lang w:val="fr-FR"/>
        </w:rPr>
        <w:t xml:space="preserve">У своїй діяльності Музей керується Конституцією України, Законами України «Про музеї та музейну справу», «Про охорону культурної спадщини», «Про культуру» та іншими </w:t>
      </w:r>
      <w:r>
        <w:rPr>
          <w:sz w:val="28"/>
          <w:szCs w:val="28"/>
          <w:lang w:val="uk-UA"/>
        </w:rPr>
        <w:t>з</w:t>
      </w:r>
      <w:r>
        <w:rPr>
          <w:sz w:val="28"/>
          <w:szCs w:val="28"/>
          <w:lang w:val="fr-FR"/>
        </w:rPr>
        <w:t xml:space="preserve">аконами України, </w:t>
      </w:r>
      <w:r>
        <w:rPr>
          <w:sz w:val="28"/>
          <w:szCs w:val="28"/>
          <w:lang w:val="uk-UA"/>
        </w:rPr>
        <w:t>правовими актами органів державної влади та місцевого самоврядування</w:t>
      </w:r>
      <w:r>
        <w:rPr>
          <w:sz w:val="28"/>
          <w:szCs w:val="28"/>
          <w:lang w:val="fr-FR"/>
        </w:rPr>
        <w:t>, іншими нормативно-правовими актами, а також цим Статутом.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1.7. Музей є юридичною особою з моменту його державної реєстрації з відповідними правами та обов’язками,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може бути стороною, третьої особою в суді, має самостійний баланс та розрахункові рахунки в </w:t>
      </w:r>
      <w:r>
        <w:rPr>
          <w:rFonts w:eastAsia="Arial Unicode MS" w:cs="Arial Unicode MS"/>
          <w:color w:val="000000"/>
          <w:kern w:val="0"/>
          <w:sz w:val="28"/>
          <w:szCs w:val="28"/>
          <w:u w:val="none" w:color="000000"/>
          <w:lang w:val="uk-UA" w:eastAsia="ru-RU" w:bidi="ar-SA"/>
        </w:rPr>
        <w:t>органах Державної казначейської служби</w:t>
      </w:r>
      <w:r>
        <w:rPr>
          <w:sz w:val="28"/>
          <w:szCs w:val="28"/>
          <w:lang w:val="uk-UA"/>
        </w:rPr>
        <w:t>, круглу печатку, штамп встановленого зразка зі своїм найменуванням та інші атрибути, необхідні юридичній особі.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fr-FR"/>
          <w14:textOutline w14:w="12700" w14:cap="flat" w14:cmpd="sng" w14:algn="ctr">
            <w14:noFill/>
            <w14:prstDash w14:val="solid"/>
            <w14:miter w14:lim="400000"/>
          </w14:textOutline>
        </w:rPr>
        <w:t>1.</w:t>
      </w:r>
      <w:r>
        <w:rPr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8. Найменування Музею: Музей історії сільського господарства Волині - скансен.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1.9. </w:t>
      </w:r>
      <w:r>
        <w:rPr>
          <w:sz w:val="28"/>
          <w:szCs w:val="28"/>
          <w:lang w:val="uk-UA"/>
        </w:rPr>
        <w:t>Місцезнаходження Музею: 45626, Луцький район, смт  Рокині, вул. Шкільна, 1.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hanging="0"/>
        <w:jc w:val="center"/>
        <w:outlineLvl w:val="0"/>
        <w:rPr>
          <w:lang w:val="uk-UA"/>
        </w:rPr>
      </w:pPr>
      <w:bookmarkStart w:id="0" w:name="bookmark1"/>
      <w:r>
        <w:rPr>
          <w:rFonts w:ascii="Times New Roman" w:hAnsi="Times New Roman"/>
          <w:b/>
          <w:bCs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2. 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МЕТА, ОСНОВНІ НАПРЯМИ ТА ВИДИ ДІЯЛЬНОСТІ</w:t>
      </w:r>
      <w:bookmarkEnd w:id="0"/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2.1. Метою створення та діяльності Музею є всебічне вивчення розвитку Волинської сільськогосподарської культури, збір пов’язаних з цим матеріалів, зберігання, експонування, використання пам’яток природи, матеріальної та духовної культури краю, відродження та збереження історико-культурної та природничої спадщини. Сприяння відродженню національної свідомості українського народу, вихованню гармонійно розвиненої людини, розвитку національних традицій без мети отримання прибутку. 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2.2. Основними напрямками діяльності Музею є науково-дослідницька, культурно-освітня, фондова, експозиційна, видавнича, реставраційна, комплектування музейних зібрань, робота по збереженню пам’яток історії та культури.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2.3. Для досягнення мети організація здійснює такі види діяльності.</w:t>
      </w:r>
    </w:p>
    <w:p>
      <w:pPr>
        <w:pStyle w:val="21"/>
        <w:shd w:val="clear" w:color="auto" w:fill="auto"/>
        <w:spacing w:lineRule="auto" w:line="240"/>
        <w:ind w:firstLine="426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2.3.1. В галузі науково-дослідницької роботи: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вивчає історію розвитку сільського господарства Волині, соціально-економічний, політичний і культурний розвиток краю з найдавніших часів і до наших днів, природу краю;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здійснює і веде облік волинських історичних сільськогосподарських і культурних пам’яток, організовує їх збереження, захист і знайомство з ними;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вивчає і пропагує науково-практичні, досягнення сучасного агропромислового комплексу з метою всебічного вивчення краю і створення експозиції, здійснюється наукове комплектування фондів для чого:</w:t>
      </w:r>
    </w:p>
    <w:p>
      <w:pPr>
        <w:pStyle w:val="21"/>
        <w:shd w:val="clear" w:color="auto" w:fill="auto"/>
        <w:tabs>
          <w:tab w:val="clear" w:pos="708"/>
          <w:tab w:val="left" w:pos="1099" w:leader="none"/>
        </w:tabs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 проводить в плановому порядку експедиції, розвідки, наукові відрядження;</w:t>
      </w:r>
    </w:p>
    <w:p>
      <w:pPr>
        <w:pStyle w:val="21"/>
        <w:shd w:val="clear" w:color="auto" w:fill="auto"/>
        <w:tabs>
          <w:tab w:val="clear" w:pos="708"/>
          <w:tab w:val="left" w:pos="1054" w:leader="none"/>
        </w:tabs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 вивчає, відповідно до профілю Музею, матеріали бібліотек, фондів інших музеїв і установ, тощо;</w:t>
      </w:r>
    </w:p>
    <w:p>
      <w:pPr>
        <w:pStyle w:val="21"/>
        <w:shd w:val="clear" w:color="auto" w:fill="auto"/>
        <w:tabs>
          <w:tab w:val="clear" w:pos="708"/>
          <w:tab w:val="left" w:pos="1074" w:leader="none"/>
        </w:tabs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 організовує збір матеріалів серед населення, встановлюючи зв’язок з учасниками історичних подій, з установами, партіями, підприємствами і т.д. Музейні предмети, що поступають в Музей, приймаються в дар, або закуповуються через фондово-закупівельну комісію;</w:t>
      </w:r>
    </w:p>
    <w:p>
      <w:pPr>
        <w:pStyle w:val="21"/>
        <w:shd w:val="clear" w:color="auto" w:fill="auto"/>
        <w:tabs>
          <w:tab w:val="clear" w:pos="708"/>
          <w:tab w:val="left" w:pos="1064" w:leader="none"/>
        </w:tabs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</w:t>
      </w:r>
      <w:r>
        <w:rPr>
          <w:lang w:val="uk-UA"/>
        </w:rPr>
        <w:t> </w:t>
      </w:r>
      <w:r>
        <w:rPr>
          <w:sz w:val="28"/>
          <w:szCs w:val="28"/>
          <w:lang w:val="uk-UA"/>
        </w:rPr>
        <w:t>документує зібрані матеріали у відповідності з існуючими інструкціями і методичними посібниками.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використовує підсумки науково-дослідної роботи для підвищення наукового рівня експозиції і наукових досліджень Музею, а також для поліпшення змісту масової науково-освітньої роботи;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оформляє науково-дослідну роботу у вигляді тематико-експозиційних планів, наукових звітів, експозицій, виставок, каталогів, бібліографічних робіт, пов’язаних із вивченням краю, монографій і статей, науково-методичних робіт в галузі музеєзнавства, у вигляді розробок науково-допоміжних матеріалів (карт, схем, тощо);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організовує науково-дослідницьку роботу з іншими науковими закладами і може залучати, при наявності коштів, до науково-дослідницької роботи по договорах, спеціалістів, у відповідності з профілем Музею.</w:t>
      </w:r>
    </w:p>
    <w:p>
      <w:pPr>
        <w:pStyle w:val="21"/>
        <w:shd w:val="clear" w:color="auto" w:fill="auto"/>
        <w:spacing w:lineRule="auto" w:line="240"/>
        <w:ind w:firstLine="426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2.3.2. В галузі науково-експозиційної роботи: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організовує експозиції. У відповідності з цим експозиція повинна відповідати об’єктивному та науковому підходу до показу історичних подій, бути доступною різним категоріям відвідувачів, а також відповідати естетичним вимогам сучасності.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Експозиція Музею створюється на основі наявних фондових колекцій, з врахуванням методичних принципів музеєзнавства, і включає в себе розділи:</w:t>
      </w:r>
    </w:p>
    <w:p>
      <w:pPr>
        <w:pStyle w:val="21"/>
        <w:shd w:val="clear" w:color="auto" w:fill="auto"/>
        <w:tabs>
          <w:tab w:val="clear" w:pos="708"/>
          <w:tab w:val="left" w:pos="1099" w:leader="none"/>
        </w:tabs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 історії української державності;</w:t>
      </w:r>
    </w:p>
    <w:p>
      <w:pPr>
        <w:pStyle w:val="21"/>
        <w:shd w:val="clear" w:color="auto" w:fill="auto"/>
        <w:tabs>
          <w:tab w:val="clear" w:pos="708"/>
          <w:tab w:val="left" w:pos="1109" w:leader="none"/>
        </w:tabs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 розділ природи Волині та екології;</w:t>
      </w:r>
    </w:p>
    <w:p>
      <w:pPr>
        <w:pStyle w:val="21"/>
        <w:shd w:val="clear" w:color="auto" w:fill="auto"/>
        <w:tabs>
          <w:tab w:val="clear" w:pos="708"/>
          <w:tab w:val="left" w:pos="1109" w:leader="none"/>
        </w:tabs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 розділ історії с/г краю (з найдавніших часів до поч. XX ст.);</w:t>
      </w:r>
    </w:p>
    <w:p>
      <w:pPr>
        <w:pStyle w:val="21"/>
        <w:shd w:val="clear" w:color="auto" w:fill="auto"/>
        <w:tabs>
          <w:tab w:val="clear" w:pos="708"/>
          <w:tab w:val="left" w:pos="1109" w:leader="none"/>
        </w:tabs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 історії дослідної станції та смт Рокині;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д) ткацтва Волині;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є) «Козацький зимівник» (експозиція просто неба);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ж) зал історії сільського господарства за радянських часів.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Експозиції кожного відділу Музею мають свої особливі цілі та завдання.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використовує розташовані в Будинку культури смт Рокині, експозиційні та виробничі приміщення, територію дендропарку;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створює при наявності музейних матеріалів художні, літературно-меморіальні, побутово-етнографічні експозиції;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розробляє перспективний план експозиції Музею в цілому, тематико-експозиційні плани і проекти художнього оформлення чергових експозицій, які обговорюються і затверджуються науково-методичною радою, рецензуються науково-дослідними інститутами і вузами (при потребі);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організовує проведення реставраційних і консерваційних робіт;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організовує та проводить заходи, для реалізації затверджених планів.</w:t>
      </w:r>
    </w:p>
    <w:p>
      <w:pPr>
        <w:pStyle w:val="21"/>
        <w:shd w:val="clear" w:color="auto" w:fill="auto"/>
        <w:spacing w:lineRule="auto" w:line="240"/>
        <w:ind w:firstLine="426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2.3.3. В галузі масової культурно-освітньої роботи: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веде на базі своїх експозицій, виставок і фондових колекцій масову культурно-освітню роботу, зміст і форми якої визначаються профілем і специфікою Музею. Культурно-освітня робота Музею спрямована на пропагування історії та культури Волині, виховання інтересу до минулого свого народу, його звичаїв, обрядів і традицій, матеріальної і духовної культури, сприяння становленню національної самосвідомості;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організовує і проводить екскурсії по експозиціях (оглядові, тематичні, комплексні, тощо);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організовує і проводить науково-довідкові консультації, науково-методичні конференції і наукові дні;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організовує і проводить пропагандистську і культурно-освітню роботу серед населення, особливо серед молоді, уроки, лекції, тематичні вечори, статті, заходи та фестивалі;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інформує громадськість через засоби масової інформації і свої публікації про свою діяльність, цінні знахідки, наукову роботу і хід реалізації перспективного плану;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надає можливість дослідникам знайомитись з фондами Музею, у відповідності з існуючим порядком використання фондів;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організовує тимчасові і пересувні виставки;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створює при учбових закладах наглядну учбову базу по історії с/г, згідно з комплексними програми «Музей – школі», «Музей – вузу»;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бере участь у міжнародному культурному співробітництві в галузі музейної справи;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здійснює взаємний обмін музейною інформацією, виставками, досвідом в організації музейної справи;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проводить і приймає участь у конференціях, конгресах, симпозіумах, виставках;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веде для забезпечення високої якості науково-освітньої роботи спостереження за сприйняттям відвідувачами музейної експозиції і розробляє питання методики і техніки екскурсійної роботи.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вивчення складу відвідувачів, їх запитів і інтересів, Музей має книгу відгуків, журнали обліку відвідувачів, екскурсій. В кінці кожного місяця, кварталу, року підводяться підсумки, що оформляються у звітну довідку, яка подається в Департамент культури Луцької міської ради, Головне управління статистики у Волинській області та Волинський краєзнавчий музей.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метою популяризації своєї діяльності Музей поширює оголошення про зміст та розпорядок роботи Музею, запрошення на різноманітні заходи, програми, видає буклети, виступає в місцевій пресі, по радіо і телебаченню.</w:t>
      </w:r>
    </w:p>
    <w:p>
      <w:pPr>
        <w:pStyle w:val="21"/>
        <w:shd w:val="clear" w:color="auto" w:fill="auto"/>
        <w:spacing w:lineRule="auto" w:line="240"/>
        <w:ind w:firstLine="426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2.3.4. В галузі фондово-хранительської роботи: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організовує необхідну роботу по збереженню культурних цінностей, створюючи для цього майстерні, реставраційні роботи;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веде фондовий облік у відповідності з діючими положеннями та інструкціями: всі предмети-оригінали, які знаходяться під охороною Музею, складають його основний фонд, що входить до складу Музейного фонду України. Крім того обліковується науково-допоміжний фонд;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зберігає наявні фонди відповідно до вимог сучасної музеєзнавства.</w:t>
      </w:r>
    </w:p>
    <w:p>
      <w:pPr>
        <w:pStyle w:val="21"/>
        <w:shd w:val="clear" w:color="auto" w:fill="auto"/>
        <w:spacing w:lineRule="auto" w:line="240"/>
        <w:ind w:firstLine="426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2.3.5. В галузі видавничої діяльності: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готує до видання наукові праці і популярні видання, які висвітлюють всі сторони діяльності Музею та історії Волинського краю, зокрема: путівники по залах Музею, по історичних місцях і унікальних пам’ятках природи Волині, звіти експедицій, а також інформаційні матеріали, що сприяють популяризації Музею: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організовує обмін музейними публікаціями, науковими матеріалами з українськими та закордонними науковими закладами, музеями, організаціями та громадянами.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21"/>
        <w:shd w:val="clear" w:color="auto" w:fill="auto"/>
        <w:spacing w:lineRule="auto" w:line="240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3. ФІНАНСОВО-ГОСПОДАРСЬКА ДІЯЛЬНІСТЬ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3.1. Фінан</w:t>
      </w:r>
      <w:r>
        <w:rPr>
          <w:sz w:val="28"/>
          <w:szCs w:val="28"/>
          <w:lang w:val="fr-FR"/>
        </w:rPr>
        <w:t>сово-господарська діяльність Музею</w:t>
      </w:r>
      <w:r>
        <w:rPr>
          <w:sz w:val="28"/>
          <w:szCs w:val="28"/>
          <w:lang w:val="uk-UA"/>
        </w:rPr>
        <w:t xml:space="preserve"> проводиться відповідно до законодавства України та цього Статуту.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3.2. Фінансування здійснюється за рахунок коштів Луцької міської територіальної громади та додаткових джерел фінансування, не заборонених законодавством.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3.3. </w:t>
      </w:r>
      <w:r>
        <w:rPr>
          <w:sz w:val="28"/>
          <w:szCs w:val="28"/>
          <w:lang w:val="fr-FR"/>
        </w:rPr>
        <w:t>Додатковими джерелами формування коштів Музею є: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</w:t>
      </w:r>
      <w:r>
        <w:rPr>
          <w:sz w:val="28"/>
          <w:szCs w:val="28"/>
          <w:lang w:val="fr-FR"/>
        </w:rPr>
        <w:t>кошти, що надходять від господарської діяльності, надання платних послуг, у тому числі за відвідування Музею;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fr-FR"/>
        </w:rPr>
        <w:t>-</w:t>
      </w:r>
      <w:r>
        <w:rPr>
          <w:sz w:val="28"/>
          <w:szCs w:val="28"/>
          <w:lang w:val="uk-UA"/>
        </w:rPr>
        <w:t> </w:t>
      </w:r>
      <w:r>
        <w:rPr>
          <w:sz w:val="28"/>
          <w:szCs w:val="28"/>
          <w:lang w:val="fr-FR"/>
        </w:rPr>
        <w:t>кошти, одержувані за науково-дослідні та інші види робіт;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fr-FR"/>
        </w:rPr>
        <w:t>-</w:t>
      </w:r>
      <w:r>
        <w:rPr>
          <w:sz w:val="28"/>
          <w:szCs w:val="28"/>
          <w:lang w:val="uk-UA"/>
        </w:rPr>
        <w:t> кошти</w:t>
      </w:r>
      <w:r>
        <w:rPr>
          <w:sz w:val="28"/>
          <w:szCs w:val="28"/>
          <w:lang w:val="fr-FR"/>
        </w:rPr>
        <w:t xml:space="preserve"> від реалізації сувенірної продукції, предметів народних художніх промислів, видавничої діяльності, від надання в оренду приміщень, споруд, обладнання;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fr-FR"/>
        </w:rPr>
        <w:t>-</w:t>
      </w:r>
      <w:r>
        <w:rPr>
          <w:sz w:val="28"/>
          <w:szCs w:val="28"/>
          <w:lang w:val="uk-UA"/>
        </w:rPr>
        <w:t> </w:t>
      </w:r>
      <w:r>
        <w:rPr>
          <w:sz w:val="28"/>
          <w:szCs w:val="28"/>
          <w:lang w:val="fr-FR"/>
        </w:rPr>
        <w:t>плата за кіно- і фотозйомки;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fr-FR"/>
        </w:rPr>
        <w:t>-</w:t>
      </w:r>
      <w:r>
        <w:rPr>
          <w:sz w:val="28"/>
          <w:szCs w:val="28"/>
          <w:lang w:val="uk-UA"/>
        </w:rPr>
        <w:t> </w:t>
      </w:r>
      <w:r>
        <w:rPr>
          <w:sz w:val="28"/>
          <w:szCs w:val="28"/>
          <w:lang w:val="fr-FR"/>
        </w:rPr>
        <w:t>гранти, благодійні внески, добровільні пожертвування, грошові внески, матеріальні цінності, одержані від фізичних і юридичних осіб, у тому числі іноземних;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fr-FR"/>
        </w:rPr>
        <w:t>-</w:t>
      </w:r>
      <w:r>
        <w:rPr>
          <w:sz w:val="28"/>
          <w:szCs w:val="28"/>
          <w:lang w:val="uk-UA"/>
        </w:rPr>
        <w:t> </w:t>
      </w:r>
      <w:r>
        <w:rPr>
          <w:sz w:val="28"/>
          <w:szCs w:val="28"/>
          <w:lang w:val="fr-FR"/>
        </w:rPr>
        <w:t>інші джерела, відповідно до законодавства України.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3.4. Кошти, отримані з додаткових джерел фінансування, не можуть бути розподілені серед працівників, а використовуються виключно для оплати їхньої праці, нарахування єдиного соціального внеску, а також для фінансування видатків на утримання Музею, реалізації цілей, завдань та напрямів діяльності, визначених Статутом.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3.5. Музей у процесі провадження фінансово-господарської діяльності має право: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- самостійно розпоряджатися коштами від господарської та іншої діяльності;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- користуватися земельними ділянками, на яких він розташований;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-</w:t>
      </w:r>
      <w:r>
        <w:rPr>
          <w:rFonts w:eastAsia="Times New Roman" w:cs="Times New Roman" w:ascii="Times New Roman" w:hAnsi="Times New Roman"/>
          <w:color w:val="auto"/>
          <w:lang w:val="uk-UA" w:eastAsia="zh-CN"/>
        </w:rPr>
        <w:t> 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розвивати власну матеріальну базу;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- володіти, користуватися і розпоряджатися майном відповідно до законодавства та Статуту;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/>
        </w:rPr>
        <w:t>- виконувати інші дії, що не суперечать законодавству України.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21"/>
        <w:shd w:val="clear" w:color="auto" w:fill="auto"/>
        <w:spacing w:lineRule="auto" w:line="240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4. МАЙНО МУЗЕЮ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4.1. Забезпечення Музею будівлями, спорудами або іншими упорядкованими приміщеннями, що відповідають вимогам функціонування музеїв, іншим обладнанням здійснюється Засновником та департаментом культури.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Вилучення державою у Музею його фондів та іншого закріпленого за ним майна, може здійснюватись лише у випадках, передбачених законом України.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4.2. Майно Музею становлять основні засоби та оборотні кошти, а також інші цінності, вартість яких відображається у самостійному балансі Музею, основний і науково-допоміжний фонд.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4.3. За Музеєм з метою забезпечення діяльності, передбаченої цим Статутом, закріплюється на праві оперативного управління майно, що є власністю територіальної громади міста.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 xml:space="preserve">Відчуження, передача в оренду, списання майна, переданого в управління, здійснюється з дозволу Луцької міської ради в порядку встановленому законодавством. 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4.4. Земельні ділянки, на яких розташовані будівлі і споруди Музею, використовуються в порядку, визначеному чинним законодавством.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 xml:space="preserve">4.5. Рухомі та нерухомі пам’ятки природи, матеріальної і духовної культури, які мають наукову, історичну, художню, культурну чи іншу цінність, особливі ознаки яких є підставою для набуття статусу музейного предмета,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none" w:color="000000"/>
          <w:lang w:val="uk-UA" w:eastAsia="zh-CN" w:bidi="ar-SA"/>
        </w:rPr>
        <w:t>підлягають внесенню до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 xml:space="preserve"> Музейного фонду України з метою збереження, вивчення і публічного представлення.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4.6. Фондові зібрання, їх склад, облік, зберігання і використання здійснюється відповідно до вимог законодавства України.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4.7. Формування музейних колекцій (фондів) здійснюється шляхом: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- придбання пам’яток за рахунок бюджетних, власних та благодійних коштів;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- передачі Музею, у встановленому порядку, пам’яток, виявлених під час археологічних, етнографічних, науково-природничих та інших експедицій, будівельних, ремонтних або реставраційних робіт;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- безоплатної передачі Музею пам’яток підприємствами, установами, організаціями і громадянами;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- передачі Музею пам’яток, конфіскованих, згідно з чинним законодавством, вилучених на митниці;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- поповнення музейних зібрань іншими способами, що не суперечать чинному законодавству.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hanging="0"/>
        <w:jc w:val="center"/>
        <w:outlineLvl w:val="0"/>
        <w:rPr>
          <w:rFonts w:ascii="Times New Roman" w:hAnsi="Times New Roman"/>
          <w:b/>
          <w:b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b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5. ПОРЯДОК УПРАВЛІННЯ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5.1. Управління Музеєм здійснюється на основі поєднання прав засновника і принципів самоврядування трудового колективу.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5.2. Міська рада здійснює свої права з управління через департамент культури Луцької міської ради.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5.3. Музей функціонує як єдиний комплекс, забезпечуючи органічне поєднання інтересів усіх підрозділів.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bookmarkStart w:id="1" w:name="_GoBack"/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 xml:space="preserve">5.4. Директор Музею призначається на посаду шляхом укладення з ним </w:t>
      </w:r>
      <w:bookmarkEnd w:id="1"/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контракту за результатами конкурсу відповідно до Законів України «Про культуру» та «Про музеї та музейну справу».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bookmarkStart w:id="2" w:name="n306"/>
      <w:bookmarkStart w:id="3" w:name="n305"/>
      <w:bookmarkEnd w:id="2"/>
      <w:bookmarkEnd w:id="3"/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5.5. Директор Музею організовує роботу закладу та несе персональну відповідальність за його діяльність.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5.6. Заступник директора, головний бухгалтер, завідувачі відділів та інші працівники Музею призначаються і звільняються з посад директором відповідно до чинного законодавства, несуть повну відповідальність за доручену їм роботу.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5.7. Директор: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- здійснює керівництво колективом Музею;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- розпоряджається в установленому порядку майном і коштами Музею;</w:t>
      </w:r>
    </w:p>
    <w:p>
      <w:pPr>
        <w:pStyle w:val="Normal"/>
        <w:widowControl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szCs w:val="20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- забезпечує добір і розстановку кадрів, створює належні умови для підвищення їх фахового рівня;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- затверджує та погоджує структуру, формує штатний розпис Музею та затверджує його в департаменті культури Луцької міської ради;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- організовує виконання кошторису доходів і видатків Музею, укладає угоди з юридичними та фізичними особами в установленому порядку, відкриває рахунки в органах Державної казначейсь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none" w:color="000000"/>
          <w:lang w:val="uk-UA" w:eastAsia="zh-CN" w:bidi="ar-SA"/>
        </w:rPr>
        <w:t>кої служби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;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- видає у межах своєї компетенції накази і контролює їх виконання;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- затверджує посадові інструкції працівників Музею;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- встановлює надбавки, доплати, премії працівникам Музею, застосовує заходи заохочення та дисциплінарні стягнення відповідно до чинного законодавства;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- здійснює іншу діяльність, в т.ч. на договірній основі, яка не суперечить чинному законодавству;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- діяльність директора регламентується контрактом.</w:t>
      </w:r>
    </w:p>
    <w:p>
      <w:pPr>
        <w:pStyle w:val="5"/>
        <w:shd w:val="clear" w:color="auto" w:fill="auto"/>
        <w:spacing w:lineRule="auto" w:line="240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hanging="0"/>
        <w:jc w:val="center"/>
        <w:outlineLvl w:val="0"/>
        <w:rPr>
          <w:rFonts w:ascii="Times New Roman" w:hAnsi="Times New Roman"/>
          <w:b/>
          <w:b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b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6. ПРАВА ТА ОБОВ’ЯЗКИ ЗАСНОВНИКА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6.1. Власником Музею є Луцька міська територіальна громада, управління від її імені здійснює Луцька міська рада.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6.2. Луцька міська рада здійснює від імені територіальної громади міста повноваження по управлінню Музею, в межах своєї компетенції: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- затверджує Статут, зміни і доповнення до Статуту Музею;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- вирішує питання ліквідації або реорганізації Музею;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- здійснює інші повноваження, передбачені нормативно-правовими актами.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6.3. Засновник має право присвоювати видатним особам, державним громадським діячам, організаторам музейної справи, діяльність і здобутки яких мають вагоме значення для розвитку Музею історії сільського господарства Волині - скансен звання «Почесний директор» на підставі положення «Про почесного директора музею - скансен».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center"/>
        <w:outlineLvl w:val="0"/>
        <w:rPr>
          <w:rFonts w:ascii="Times New Roman" w:hAnsi="Times New Roman"/>
          <w:b/>
          <w:b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b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hanging="0"/>
        <w:jc w:val="center"/>
        <w:outlineLvl w:val="0"/>
        <w:rPr>
          <w:rFonts w:ascii="Times New Roman" w:hAnsi="Times New Roman"/>
          <w:b/>
          <w:b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b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7. ПРАВА ТА ОБОВ’ЯЗКИ МУЗЕЮ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7.1. Музей має право: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- самостійно планувати, організовувати та здійснювати свою статутну діяльність, визначати основні напрямки свого розвитку відповідно до своїх завдань і цілей;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- надавати платні послуги, згідно з переліком платних послуг, затверджених Кабінетом Міністрів України;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- </w:t>
      </w:r>
      <w:r>
        <w:rPr>
          <w:rFonts w:ascii="Times New Roman" w:hAnsi="Times New Roman"/>
          <w:bCs/>
          <w:sz w:val="28"/>
          <w:szCs w:val="28"/>
          <w:u w:val="none" w:color="0000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укладати договори (контракти) з </w:t>
      </w:r>
      <w:r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фізичними і</w:t>
      </w:r>
      <w:r>
        <w:rPr>
          <w:rFonts w:ascii="Times New Roman" w:hAnsi="Times New Roman"/>
          <w:bCs/>
          <w:sz w:val="28"/>
          <w:szCs w:val="28"/>
          <w:u w:val="none" w:color="0000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юридичними особами з метою співробітництва у сфері культури, освіти і науки, брати участь у діяльності відповідних організацій і фондів, </w:t>
      </w:r>
      <w:r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брати участь у міжнародному культурному співробітництві</w:t>
      </w:r>
      <w:r>
        <w:rPr>
          <w:rFonts w:ascii="Times New Roman" w:hAnsi="Times New Roman"/>
          <w:bCs/>
          <w:sz w:val="28"/>
          <w:szCs w:val="28"/>
          <w:u w:val="none" w:color="0000FF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згідно з чинним законодавство</w:t>
      </w:r>
      <w:r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;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- здійснювати співробітництво з музеями та іншими установами і організаціями, бути членом міжнародних та всеукраїнських організацій, брати участь у реалізації державних, регіональних, місцевих програм у межах своєї компетенції;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- створювати в межах наявних коштів та штатних одиниць майстерні спеціального призначення: реставраційні, оформлюванні та ін.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- здійснювати іншу діяльність, спрямовану на виконання статутних завдань, що не суперечить законодавству України за згодою Засновника та департаменту культури.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7.2. Обов’язки Музею: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- дотримуватись вимог законодавства щодо здійснення діяльності у сфері культури;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- проводити культурно-освітньої, науково-дослідної, науково - експозиційної, науково-фондової та інших видів робіт відповідно до діючого законодавства; 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- створювати належні умови відвідувачам Музею та дослідникам для роботи з музейними колекціями;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- створювати належні умови для високопродуктивної праці співробітників Музею, додержуватись законодавства про працю, правил і норм з охорони праці та техніки безпеки;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- забезпечувати своєчасну сплату податкових та інших обов’язкових платежів відповідно до чинного законодавства.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/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/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hanging="0"/>
        <w:jc w:val="center"/>
        <w:outlineLvl w:val="0"/>
        <w:rPr>
          <w:rFonts w:ascii="Times New Roman" w:hAnsi="Times New Roman"/>
          <w:b/>
          <w:b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b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8. ТРУДОВИЙ КОЛЕКТИВ ТА САМОВРЯДУВАННЯ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8.1. Повноваження трудового колективу реалізується загальними зборами колективу.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8.2. Рішення з соціально-економічних питань, що стосуються діяльності Музею відображаються у колективному договорі. Колективним</w:t>
      </w:r>
      <w:r>
        <w:rPr>
          <w:rFonts w:eastAsia="Times New Roman" w:cs="Arial" w:ascii="Arial" w:hAnsi="Arial"/>
          <w:color w:val="auto"/>
          <w:lang w:val="uk-UA" w:eastAsia="zh-CN"/>
        </w:rPr>
        <w:t xml:space="preserve"> 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договором також регулюються питання охорони праці, виробничі та трудові відносини трудового колективу з адміністрацією.</w:t>
      </w:r>
    </w:p>
    <w:p>
      <w:pPr>
        <w:pStyle w:val="Normal"/>
        <w:widowControl/>
        <w:shd w:val="clear" w:color="auto" w:fill="FFFFFF"/>
        <w:suppressAutoHyphens w:val="true"/>
        <w:ind w:firstLine="426"/>
        <w:jc w:val="both"/>
        <w:rPr>
          <w:rFonts w:ascii="Times New Roman" w:hAnsi="Times New Roman" w:eastAsia="Times New Roman" w:cs="Times New Roman"/>
          <w:color w:val="auto"/>
          <w:lang w:val="uk-UA" w:eastAsia="zh-C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8.3. Право укладання колективного договору від імені засновника надається директору Музею, а від імені трудового колективу - уповноваженим органам.</w:t>
      </w:r>
    </w:p>
    <w:p>
      <w:pPr>
        <w:pStyle w:val="Normal"/>
        <w:widowControl/>
        <w:suppressAutoHyphens w:val="true"/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/>
        </w:rPr>
        <w:t>8.4. </w:t>
      </w:r>
      <w:r>
        <w:rPr>
          <w:rFonts w:ascii="Times New Roman" w:hAnsi="Times New Roman"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Для реалізації наукової і виробничої діяльності у Музеї можуть створюватись зі складу працівників Музею та спеціалістів інших установ колегіальні органи з дорадчим правом: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 w:eastAsia="Times New Roman" w:cs="Times New Roman"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- вчена рада;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 w:eastAsia="Times New Roman" w:cs="Times New Roman"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- науково-методична рада, покликану сприяти керівництву Музею у вирішенні питань науково-методичної та музейної роботи;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 w:eastAsia="Times New Roman" w:cs="Times New Roman"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- фондово-закупівельна комісія для розгляду питань обліку, збереження, охорони збірок Музею, поповнення колекцій Музею мистецькими та історичними пам’ятками;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 w:eastAsia="Times New Roman" w:cs="Times New Roman"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- атестаційна комісія, яка сприяє поліпшенню підбору, розстановці, вихованню музейних кадрів, підвищенню рівня їхньої професійної майстерності, ділової кваліфікації.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 w:eastAsia="Times New Roman" w:cs="Times New Roman"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8.5. При необхідності Музей може створювати інші колегіальні органи.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hanging="0"/>
        <w:jc w:val="center"/>
        <w:outlineLvl w:val="0"/>
        <w:rPr>
          <w:rFonts w:ascii="Times New Roman" w:hAnsi="Times New Roman"/>
          <w:b/>
          <w:b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bookmarkStart w:id="4" w:name="bookmark5"/>
      <w:r>
        <w:rPr>
          <w:rFonts w:ascii="Times New Roman" w:hAnsi="Times New Roman"/>
          <w:b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9. МІЖНАРОДНА ДІЯЛЬНІСТЬ</w:t>
      </w:r>
      <w:bookmarkEnd w:id="4"/>
      <w:r>
        <w:rPr>
          <w:rFonts w:ascii="Times New Roman" w:hAnsi="Times New Roman"/>
          <w:b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МУЗЕЮ</w:t>
      </w:r>
    </w:p>
    <w:p>
      <w:pPr>
        <w:pStyle w:val="21"/>
        <w:shd w:val="clear" w:color="auto" w:fill="auto"/>
        <w:tabs>
          <w:tab w:val="clear" w:pos="708"/>
          <w:tab w:val="left" w:pos="567" w:leader="none"/>
        </w:tabs>
        <w:spacing w:lineRule="auto" w:line="240"/>
        <w:ind w:firstLine="426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9.1</w:t>
      </w:r>
      <w:r>
        <w:rPr>
          <w:sz w:val="28"/>
          <w:szCs w:val="28"/>
          <w:lang w:val="uk-UA"/>
        </w:rPr>
        <w:t>. Музей історії сільського господарства Волині - скансен бере участь у міжнародному культурному співробітництві в галузі музейної справи на основі багатосторонніх та двосторонніх угод.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9.2. Участь Музею у міжнародному культурному співробітництві здійснюється у встановленому порядку шляхом: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проведення спільних наукових досліджень на основі розробки і реалізації міжнародних наукових програм;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здійснення взаємного обміну музейною інформацією, виставками, вивченням міжнародного досвіду організації музейної справи;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проведенням міжнародних конференцій, конгресів, симпозіумів, виставок та участі у них;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організації спільної підготовки музейних працівників, розвитку видавничої діяльності;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здійснення іншої спільної діяльності, відповідно до угод, якщо вона не суперечить законодавству України та міжнародним договорам України.</w:t>
      </w:r>
    </w:p>
    <w:p>
      <w:pPr>
        <w:pStyle w:val="21"/>
        <w:shd w:val="clear" w:color="auto" w:fill="auto"/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hanging="0"/>
        <w:jc w:val="center"/>
        <w:outlineLvl w:val="0"/>
        <w:rPr>
          <w:rFonts w:ascii="Times New Roman" w:hAnsi="Times New Roman"/>
          <w:b/>
          <w:b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b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10. ПОРЯДОК ЗВІТНОСТІ, КОНТРОЛЮ ЗА ЗДІЙСНЕННЯМ ФІНАНСОВО-ГОСПОДАРСЬКОЇ ДІЯЛЬНОСТІ</w:t>
      </w:r>
    </w:p>
    <w:p>
      <w:pPr>
        <w:pStyle w:val="21"/>
        <w:shd w:val="clear" w:fill="FFFFFF"/>
        <w:tabs>
          <w:tab w:val="clear" w:pos="708"/>
          <w:tab w:val="left" w:pos="1395" w:leader="none"/>
        </w:tabs>
        <w:spacing w:lineRule="auto" w:line="240"/>
        <w:ind w:firstLine="426"/>
        <w:rPr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10.1. Музей </w:t>
      </w:r>
      <w:r>
        <w:rPr>
          <w:sz w:val="28"/>
          <w:szCs w:val="28"/>
          <w:lang w:val="uk-UA"/>
        </w:rPr>
        <w:t>відповідно до Бюджетного кодексу України, Закону України «Про бухгалтерський облік та фінансову звітність в Україні» та інших нормативно-правових актів складає затверджені форми місячної, квартальної, річної звітності та подає їх до органів Державної казначейської служби, а також до інших органів, Засновнику.</w:t>
      </w:r>
    </w:p>
    <w:p>
      <w:pPr>
        <w:pStyle w:val="21"/>
        <w:shd w:val="clear" w:fill="FFFFFF"/>
        <w:tabs>
          <w:tab w:val="clear" w:pos="708"/>
          <w:tab w:val="left" w:pos="1395" w:leader="none"/>
        </w:tabs>
        <w:spacing w:lineRule="auto" w:line="240"/>
        <w:ind w:firstLine="426"/>
        <w:rPr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10.2. Музей здійснює оперативний та бухгалтерський облік результатів своєї діяльності, надає статистичну звітність у порядку, встановленому законодавством України та є відповідальним за їх достовірність.</w:t>
      </w:r>
    </w:p>
    <w:p>
      <w:pPr>
        <w:pStyle w:val="21"/>
        <w:shd w:val="clear" w:fill="FFFFFF"/>
        <w:tabs>
          <w:tab w:val="clear" w:pos="708"/>
          <w:tab w:val="left" w:pos="1395" w:leader="none"/>
        </w:tabs>
        <w:spacing w:lineRule="auto" w:line="240"/>
        <w:ind w:firstLine="426"/>
        <w:rPr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10.3. Ревізія та перевірка діяльності Музею проводиться Засновником або уповноваженим ним органом у разі потреби, а також іншими органами відповідно до законодавства України.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center"/>
        <w:outlineLvl w:val="0"/>
        <w:rPr>
          <w:rFonts w:ascii="Times New Roman" w:hAnsi="Times New Roman"/>
          <w:b/>
          <w:b/>
          <w:bCs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b/>
          <w:bCs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hanging="0"/>
        <w:jc w:val="center"/>
        <w:outlineLvl w:val="0"/>
        <w:rPr>
          <w:rFonts w:ascii="Times New Roman" w:hAnsi="Times New Roman"/>
          <w:b/>
          <w:b/>
          <w:bCs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b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11</w:t>
      </w:r>
      <w:r>
        <w:rPr>
          <w:rFonts w:ascii="Times New Roman" w:hAnsi="Times New Roman"/>
          <w:b/>
          <w:bCs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. ПОРЯДОК ВНЕСЕННЯ ЗМІН ДО СТАТУТУ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11.1. Зміни до Статуту Музею затверджуються міською радою шляхом викладення Статуту в новій редакції і реєструються згідно з чинним законодавством.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11.2. Статут в новій редакції набуває юридичної сили з моменту державної реєстрації.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firstLine="426"/>
        <w:jc w:val="both"/>
        <w:outlineLvl w:val="0"/>
        <w:rPr>
          <w:rFonts w:ascii="Times New Roman" w:hAnsi="Times New Roman"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uppressAutoHyphens w:val="true"/>
        <w:ind w:left="0" w:hanging="0"/>
        <w:jc w:val="center"/>
        <w:outlineLvl w:val="0"/>
        <w:rPr>
          <w:rFonts w:ascii="Times New Roman" w:hAnsi="Times New Roman"/>
          <w:b/>
          <w:b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Times New Roman" w:hAnsi="Times New Roman"/>
          <w:b/>
          <w:bCs/>
          <w:sz w:val="28"/>
          <w:szCs w:val="28"/>
          <w:u w:val="none" w:color="0000FF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12. ЛІКВІДАЦІЯ ТА РЕОРГАНІЗАЦІЯ МУЗЕЮ</w:t>
      </w:r>
    </w:p>
    <w:p>
      <w:pPr>
        <w:pStyle w:val="21"/>
        <w:shd w:val="clear" w:fill="FFFFFF"/>
        <w:tabs>
          <w:tab w:val="clear" w:pos="708"/>
          <w:tab w:val="left" w:pos="1395" w:leader="none"/>
        </w:tabs>
        <w:spacing w:lineRule="auto" w:line="240"/>
        <w:ind w:firstLine="426"/>
        <w:rPr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12.1. Припинення діяльності Музею здійснюється шляхом його реорганізації (злиття, приєднання, поділу, перетворення) або ліквідації за рішенням Засновника у відповідності з діючим законодавством, а також за рішенням суду у випадках, передбачених чинним законодавством.</w:t>
      </w:r>
    </w:p>
    <w:p>
      <w:pPr>
        <w:pStyle w:val="21"/>
        <w:shd w:val="clear" w:fill="FFFFFF"/>
        <w:tabs>
          <w:tab w:val="clear" w:pos="708"/>
          <w:tab w:val="left" w:pos="1395" w:leader="none"/>
        </w:tabs>
        <w:spacing w:lineRule="auto" w:line="240"/>
        <w:ind w:firstLine="426"/>
        <w:rPr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12.2. Ліквідація Музею здійснюється ліквідаційною комісією, яка утворюється відповідно до чинного законодавства. </w:t>
      </w:r>
    </w:p>
    <w:p>
      <w:pPr>
        <w:pStyle w:val="21"/>
        <w:shd w:val="clear" w:fill="FFFFFF"/>
        <w:tabs>
          <w:tab w:val="clear" w:pos="708"/>
          <w:tab w:val="left" w:pos="1395" w:leader="none"/>
        </w:tabs>
        <w:spacing w:lineRule="auto" w:line="240"/>
        <w:ind w:firstLine="426"/>
        <w:rPr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  <w:t>12.3. При припиненні діяльності Музею звільненим працівникам гарантується дотримання їх прав і інтересів відповідно до трудового законодавства України.</w:t>
      </w:r>
    </w:p>
    <w:p>
      <w:pPr>
        <w:pStyle w:val="21"/>
        <w:shd w:val="clear" w:fill="FFFFFF"/>
        <w:tabs>
          <w:tab w:val="clear" w:pos="708"/>
          <w:tab w:val="left" w:pos="1395" w:leader="none"/>
        </w:tabs>
        <w:spacing w:lineRule="auto" w:line="240"/>
        <w:ind w:firstLine="426"/>
        <w:rPr>
          <w:sz w:val="28"/>
          <w:szCs w:val="28"/>
          <w:lang w:val="uk-UA"/>
        </w:rPr>
      </w:pPr>
      <w:r>
        <w:rPr>
          <w:rFonts w:eastAsia="Times New Roman" w:cs="Times New Roman"/>
          <w:color w:val="auto"/>
          <w:sz w:val="28"/>
          <w:szCs w:val="28"/>
          <w:lang w:val="uk-UA"/>
        </w:rPr>
        <w:t>12.4. </w:t>
      </w:r>
      <w:r>
        <w:rPr>
          <w:sz w:val="28"/>
          <w:szCs w:val="28"/>
          <w:lang w:val="uk-UA"/>
        </w:rPr>
        <w:t>У разі припинення юридичної особи (у результаті її ліквідації, злиття, поділу, приєднання або перетворення) її активи передаються одній або кільком неприбутковим організаціям відповідного виду або зарахування до бюджету.</w:t>
      </w:r>
    </w:p>
    <w:p>
      <w:pPr>
        <w:pStyle w:val="21"/>
        <w:shd w:val="clear" w:fill="FFFFFF"/>
        <w:tabs>
          <w:tab w:val="clear" w:pos="708"/>
          <w:tab w:val="left" w:pos="1395" w:leader="none"/>
        </w:tabs>
        <w:spacing w:lineRule="auto" w:line="240"/>
        <w:ind w:firstLine="426"/>
        <w:rPr>
          <w:sz w:val="28"/>
          <w:szCs w:val="28"/>
          <w:lang w:val="uk-U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eastAsia="Times New Roman" w:cs="Times New Roman"/>
          <w:color w:val="auto"/>
          <w:sz w:val="28"/>
          <w:szCs w:val="28"/>
          <w:lang w:val="uk-UA"/>
        </w:rPr>
        <w:t>12.5. Музей припиняє свою діяльність у встановленому законодавством порядку і вважається ліквідованим з моменту внесення відповідного запису до Єдиного державного реєстру юридичних осіб, фізичних осіб-підприємців та громадських формувань.</w:t>
      </w:r>
    </w:p>
    <w:p>
      <w:pPr>
        <w:pStyle w:val="21"/>
        <w:shd w:val="clear" w:color="auto" w:fill="auto"/>
        <w:tabs>
          <w:tab w:val="clear" w:pos="708"/>
          <w:tab w:val="left" w:pos="1161" w:leader="none"/>
        </w:tabs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21"/>
        <w:shd w:val="clear" w:color="auto" w:fill="auto"/>
        <w:tabs>
          <w:tab w:val="clear" w:pos="708"/>
          <w:tab w:val="left" w:pos="1161" w:leader="none"/>
        </w:tabs>
        <w:spacing w:lineRule="auto" w:line="240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21"/>
        <w:shd w:val="clear" w:color="auto" w:fill="auto"/>
        <w:tabs>
          <w:tab w:val="clear" w:pos="708"/>
          <w:tab w:val="left" w:pos="1161" w:leader="none"/>
        </w:tabs>
        <w:spacing w:lineRule="auto" w:line="240"/>
        <w:ind w:hang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Секретар міської ради </w:t>
        <w:tab/>
        <w:tab/>
        <w:tab/>
        <w:tab/>
        <w:tab/>
        <w:tab/>
        <w:t>Юрій БЕЗПЯТКО</w:t>
      </w:r>
    </w:p>
    <w:p>
      <w:pPr>
        <w:pStyle w:val="21"/>
        <w:widowControl w:val="false"/>
        <w:shd w:val="clear" w:color="auto" w:fill="auto"/>
        <w:tabs>
          <w:tab w:val="clear" w:pos="708"/>
          <w:tab w:val="left" w:pos="1161" w:leader="none"/>
        </w:tabs>
        <w:bidi w:val="0"/>
        <w:spacing w:lineRule="auto" w:line="240" w:before="0" w:after="0"/>
        <w:ind w:left="0" w:right="0" w:firstLine="57"/>
        <w:jc w:val="both"/>
        <w:rPr>
          <w:lang w:val="en-US"/>
        </w:rPr>
      </w:pPr>
      <w:r>
        <w:rPr/>
      </w:r>
    </w:p>
    <w:sectPr>
      <w:headerReference w:type="default" r:id="rId2"/>
      <w:type w:val="nextPage"/>
      <w:pgSz w:w="11906" w:h="16838"/>
      <w:pgMar w:left="1985" w:right="567" w:header="0" w:top="567" w:footer="0" w:bottom="1418" w:gutter="0"/>
      <w:pgNumType w:start="2"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 Unicode M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Helvetica Neue"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050566162"/>
    </w:sdtPr>
    <w:sdtContent>
      <w:p>
        <w:pPr>
          <w:pStyle w:val="Style24"/>
          <w:jc w:val="center"/>
          <w:rPr>
            <w:lang w:val="uk-UA"/>
          </w:rPr>
        </w:pPr>
        <w:r>
          <w:rPr>
            <w:lang w:val="uk-UA"/>
          </w:rPr>
        </w:r>
      </w:p>
      <w:p>
        <w:pPr>
          <w:pStyle w:val="Style24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11</w:t>
        </w:r>
        <w:r>
          <w:rPr>
            <w:rFonts w:cs="Times New Roman" w:ascii="Times New Roman" w:hAnsi="Times New Roman"/>
          </w:rPr>
          <w:fldChar w:fldCharType="end"/>
        </w:r>
      </w:p>
      <w:p>
        <w:pPr>
          <w:pStyle w:val="Style24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</w:r>
      </w:p>
    </w:sdtContent>
  </w:sdt>
</w:hd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 Unicode MS" w:hAnsi="Arial Unicode MS" w:eastAsia="Arial Unicode MS" w:cs="Arial Unicode MS"/>
      <w:color w:val="000000"/>
      <w:kern w:val="0"/>
      <w:sz w:val="24"/>
      <w:szCs w:val="24"/>
      <w:u w:val="none" w:color="000000"/>
      <w:lang w:val="fr-FR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Гіперпосилання"/>
    <w:rPr>
      <w:u w:val="single"/>
    </w:rPr>
  </w:style>
  <w:style w:type="character" w:styleId="Style15" w:customStyle="1">
    <w:name w:val="Верхний колонтитул Знак"/>
    <w:basedOn w:val="DefaultParagraphFont"/>
    <w:link w:val="a6"/>
    <w:uiPriority w:val="99"/>
    <w:qFormat/>
    <w:rsid w:val="003508f7"/>
    <w:rPr>
      <w:rFonts w:ascii="Arial Unicode MS" w:hAnsi="Arial Unicode MS" w:cs="Arial Unicode MS"/>
      <w:color w:val="000000"/>
      <w:sz w:val="24"/>
      <w:szCs w:val="24"/>
      <w:u w:val="none" w:color="000000"/>
      <w:lang w:val="fr-FR"/>
    </w:rPr>
  </w:style>
  <w:style w:type="character" w:styleId="Style16" w:customStyle="1">
    <w:name w:val="Нижний колонтитул Знак"/>
    <w:basedOn w:val="DefaultParagraphFont"/>
    <w:link w:val="a8"/>
    <w:uiPriority w:val="99"/>
    <w:qFormat/>
    <w:rsid w:val="003508f7"/>
    <w:rPr>
      <w:rFonts w:ascii="Arial Unicode MS" w:hAnsi="Arial Unicode MS" w:cs="Arial Unicode MS"/>
      <w:color w:val="000000"/>
      <w:sz w:val="24"/>
      <w:szCs w:val="24"/>
      <w:u w:val="none" w:color="000000"/>
      <w:lang w:val="fr-FR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Style22" w:customStyle="1">
    <w:name w:val="Колонтитули"/>
    <w:qFormat/>
    <w:pPr>
      <w:widowControl/>
      <w:tabs>
        <w:tab w:val="clear" w:pos="708"/>
        <w:tab w:val="right" w:pos="9020" w:leader="none"/>
      </w:tabs>
      <w:suppressAutoHyphens w:val="true"/>
      <w:bidi w:val="0"/>
      <w:spacing w:before="0" w:after="0"/>
      <w:jc w:val="left"/>
    </w:pPr>
    <w:rPr>
      <w:rFonts w:ascii="Helvetica Neue" w:hAnsi="Helvetica Neue" w:eastAsia="Arial Unicode MS" w:cs="Arial Unicode MS"/>
      <w:color w:val="000000"/>
      <w:kern w:val="0"/>
      <w:sz w:val="24"/>
      <w:szCs w:val="24"/>
      <w:lang w:val="ru-RU" w:eastAsia="ru-RU" w:bidi="ar-SA"/>
      <w14:textOutline w14:w="0" w14:cap="flat" w14:cmpd="sng" w14:algn="ctr">
        <w14:noFill/>
        <w14:prstDash w14:val="solid"/>
        <w14:bevel/>
      </w14:textOutline>
    </w:rPr>
  </w:style>
  <w:style w:type="paragraph" w:styleId="21" w:customStyle="1">
    <w:name w:val="Основной текст (2)1"/>
    <w:qFormat/>
    <w:pPr>
      <w:widowControl w:val="false"/>
      <w:shd w:val="clear" w:color="auto" w:fill="FFFFFF"/>
      <w:suppressAutoHyphens w:val="true"/>
      <w:bidi w:val="0"/>
      <w:spacing w:lineRule="exact" w:line="293" w:before="0" w:after="0"/>
      <w:jc w:val="both"/>
    </w:pPr>
    <w:rPr>
      <w:rFonts w:ascii="Times New Roman" w:hAnsi="Times New Roman" w:eastAsia="Arial Unicode MS" w:cs="Arial Unicode MS"/>
      <w:color w:val="000000"/>
      <w:kern w:val="0"/>
      <w:sz w:val="26"/>
      <w:szCs w:val="26"/>
      <w:u w:val="none" w:color="000000"/>
      <w:lang w:val="ru-RU" w:eastAsia="ru-RU" w:bidi="ar-SA"/>
    </w:rPr>
  </w:style>
  <w:style w:type="paragraph" w:styleId="1" w:customStyle="1">
    <w:name w:val="Заголовок №1"/>
    <w:qFormat/>
    <w:pPr>
      <w:widowControl w:val="false"/>
      <w:shd w:val="clear" w:color="auto" w:fill="FFFFFF"/>
      <w:suppressAutoHyphens w:val="true"/>
      <w:bidi w:val="0"/>
      <w:spacing w:lineRule="exact" w:line="293" w:before="0" w:after="0"/>
      <w:jc w:val="both"/>
      <w:outlineLvl w:val="0"/>
    </w:pPr>
    <w:rPr>
      <w:rFonts w:ascii="Times New Roman" w:hAnsi="Times New Roman" w:eastAsia="Arial Unicode MS" w:cs="Arial Unicode MS"/>
      <w:color w:val="000000"/>
      <w:kern w:val="0"/>
      <w:sz w:val="26"/>
      <w:szCs w:val="26"/>
      <w:u w:val="none" w:color="000000"/>
      <w:lang w:val="ru-RU" w:eastAsia="ru-RU" w:bidi="ar-SA"/>
    </w:rPr>
  </w:style>
  <w:style w:type="paragraph" w:styleId="4" w:customStyle="1">
    <w:name w:val="Основной текст (4)"/>
    <w:qFormat/>
    <w:pPr>
      <w:widowControl w:val="false"/>
      <w:shd w:val="clear" w:color="auto" w:fill="FFFFFF"/>
      <w:suppressAutoHyphens w:val="true"/>
      <w:bidi w:val="0"/>
      <w:spacing w:lineRule="exact" w:line="298" w:before="540" w:after="0"/>
      <w:jc w:val="both"/>
    </w:pPr>
    <w:rPr>
      <w:rFonts w:ascii="Times New Roman" w:hAnsi="Times New Roman" w:eastAsia="Arial Unicode MS" w:cs="Arial Unicode MS"/>
      <w:color w:val="000000"/>
      <w:kern w:val="0"/>
      <w:sz w:val="28"/>
      <w:szCs w:val="28"/>
      <w:u w:val="none" w:color="000000"/>
      <w:lang w:val="ru-RU" w:eastAsia="ru-RU" w:bidi="ar-SA"/>
    </w:rPr>
  </w:style>
  <w:style w:type="paragraph" w:styleId="NoSpacing">
    <w:name w:val="No Spacing"/>
    <w:qFormat/>
    <w:pPr>
      <w:widowControl w:val="false"/>
      <w:suppressAutoHyphens w:val="true"/>
      <w:bidi w:val="0"/>
      <w:spacing w:before="0" w:after="0"/>
      <w:jc w:val="left"/>
    </w:pPr>
    <w:rPr>
      <w:rFonts w:ascii="Arial Unicode MS" w:hAnsi="Arial Unicode MS" w:eastAsia="Arial Unicode MS" w:cs="Arial Unicode MS"/>
      <w:color w:val="000000"/>
      <w:kern w:val="0"/>
      <w:sz w:val="24"/>
      <w:szCs w:val="24"/>
      <w:u w:val="none" w:color="000000"/>
      <w:lang w:val="ru-RU" w:eastAsia="ru-RU" w:bidi="ar-SA"/>
    </w:rPr>
  </w:style>
  <w:style w:type="paragraph" w:styleId="5" w:customStyle="1">
    <w:name w:val="Основной текст (5)"/>
    <w:qFormat/>
    <w:pPr>
      <w:widowControl w:val="false"/>
      <w:shd w:val="clear" w:color="auto" w:fill="FFFFFF"/>
      <w:suppressAutoHyphens w:val="true"/>
      <w:bidi w:val="0"/>
      <w:spacing w:lineRule="exact" w:line="298" w:before="0" w:after="0"/>
      <w:jc w:val="left"/>
    </w:pPr>
    <w:rPr>
      <w:rFonts w:ascii="Segoe UI" w:hAnsi="Segoe UI" w:eastAsia="Segoe UI" w:cs="Segoe UI"/>
      <w:color w:val="000000"/>
      <w:kern w:val="0"/>
      <w:sz w:val="22"/>
      <w:szCs w:val="22"/>
      <w:u w:val="none" w:color="000000"/>
      <w:lang w:val="ru-RU" w:eastAsia="ru-RU" w:bidi="ar-SA"/>
    </w:rPr>
  </w:style>
  <w:style w:type="paragraph" w:styleId="Style23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link w:val="a7"/>
    <w:uiPriority w:val="99"/>
    <w:unhideWhenUsed/>
    <w:rsid w:val="003508f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link w:val="a9"/>
    <w:uiPriority w:val="99"/>
    <w:unhideWhenUsed/>
    <w:rsid w:val="003508f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19166b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11" w:customStyle="1">
    <w:name w:val="Імпортований стиль 1"/>
    <w:qFormat/>
  </w:style>
  <w:style w:type="numbering" w:styleId="2" w:customStyle="1">
    <w:name w:val="Імпортований стиль 2"/>
    <w:qFormat/>
  </w:style>
  <w:style w:type="numbering" w:styleId="3" w:customStyle="1">
    <w:name w:val="Імпортований стиль 3"/>
    <w:qFormat/>
  </w:style>
  <w:style w:type="numbering" w:styleId="51" w:customStyle="1">
    <w:name w:val="Імпортований стиль 5"/>
    <w:qFormat/>
  </w:style>
  <w:style w:type="numbering" w:styleId="41" w:customStyle="1">
    <w:name w:val="Імпортований стиль 4"/>
    <w:qFormat/>
  </w:style>
  <w:style w:type="numbering" w:styleId="50" w:customStyle="1">
    <w:name w:val="Імпортований стиль 5.0"/>
    <w:qFormat/>
  </w:style>
  <w:style w:type="numbering" w:styleId="7" w:customStyle="1">
    <w:name w:val="Імпортований стиль 7"/>
    <w:qFormat/>
  </w:style>
  <w:style w:type="numbering" w:styleId="8" w:customStyle="1">
    <w:name w:val="Імпортований стиль 8"/>
    <w:qFormat/>
  </w:style>
  <w:style w:type="numbering" w:styleId="111" w:customStyle="1">
    <w:name w:val="Імпортований стиль 11"/>
    <w:qFormat/>
  </w:style>
  <w:style w:type="numbering" w:styleId="12" w:customStyle="1">
    <w:name w:val="Імпортований стиль 12"/>
    <w:qFormat/>
  </w:style>
  <w:style w:type="numbering" w:styleId="18" w:customStyle="1">
    <w:name w:val="Імпортований стиль 18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C9FED-048A-4BF7-893A-85029FFEC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Application>LibreOffice/7.1.4.2$Windows_X86_64 LibreOffice_project/a529a4fab45b75fefc5b6226684193eb000654f6</Application>
  <AppVersion>15.0000</AppVersion>
  <Pages>10</Pages>
  <Words>2660</Words>
  <Characters>18764</Characters>
  <CharactersWithSpaces>21264</CharactersWithSpaces>
  <Paragraphs>175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2021-12-01T18:53:00Z</dcterms:created>
  <dc:creator/>
  <dc:description/>
  <dc:language>uk-UA</dc:language>
  <cp:lastModifiedBy/>
  <cp:lastPrinted>2021-12-02T08:38:30Z</cp:lastPrinted>
  <dcterms:modified xsi:type="dcterms:W3CDTF">2021-12-02T11:25:32Z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