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0176961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shd w:fill="FFFFFF" w:val="clear"/>
        <w:spacing w:lineRule="exact" w:line="317"/>
        <w:ind w:left="0" w:right="14" w:hanging="0"/>
        <w:jc w:val="right"/>
        <w:rPr/>
      </w:pPr>
      <w:r>
        <w:rPr/>
      </w:r>
    </w:p>
    <w:tbl>
      <w:tblPr>
        <w:tblW w:w="9576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2"/>
        <w:gridCol w:w="4704"/>
      </w:tblGrid>
      <w:tr>
        <w:trPr/>
        <w:tc>
          <w:tcPr>
            <w:tcW w:w="4872" w:type="dxa"/>
            <w:tcBorders/>
            <w:shd w:fill="auto" w:val="clear"/>
          </w:tcPr>
          <w:p>
            <w:pPr>
              <w:pStyle w:val="Normal"/>
              <w:snapToGrid w:val="false"/>
              <w:spacing w:lineRule="exact" w:line="317"/>
              <w:ind w:left="0" w:right="-81" w:hanging="0"/>
              <w:jc w:val="both"/>
              <w:rPr/>
            </w:pP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 xml:space="preserve">Про внесення змін до цільової програми «Впровадження транскордонного проєкту “Нове життя старого міста: ревіталізація  пам'яток історико-культурної спадщини Любліна і Луцька”», затвердженої  рішенням міської </w:t>
            </w:r>
            <w:r>
              <w:rPr>
                <w:color w:val="000000"/>
                <w:spacing w:val="-1"/>
                <w:szCs w:val="28"/>
              </w:rPr>
              <w:t xml:space="preserve">ради </w:t>
            </w:r>
            <w:r>
              <w:rPr>
                <w:bCs w:val="false"/>
                <w:color w:val="000000"/>
                <w:spacing w:val="-1"/>
                <w:szCs w:val="28"/>
              </w:rPr>
              <w:t>від 25.0</w:t>
            </w:r>
            <w:r>
              <w:rPr>
                <w:bCs w:val="false"/>
                <w:color w:val="000000"/>
                <w:szCs w:val="28"/>
                <w:lang w:eastAsia="uk-UA"/>
              </w:rPr>
              <w:t>7.2018 №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> </w:t>
            </w:r>
            <w:r>
              <w:rPr>
                <w:bCs w:val="false"/>
                <w:color w:val="000000"/>
                <w:szCs w:val="28"/>
                <w:lang w:eastAsia="uk-UA"/>
              </w:rPr>
              <w:t xml:space="preserve">44/37, 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 xml:space="preserve"> </w:t>
            </w:r>
            <w:r>
              <w:rPr>
                <w:bCs w:val="false"/>
                <w:color w:val="000000"/>
                <w:szCs w:val="28"/>
                <w:lang w:eastAsia="uk-UA"/>
              </w:rPr>
              <w:t>зі змінами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 xml:space="preserve"> від </w:t>
            </w:r>
            <w:r>
              <w:rPr>
                <w:bCs w:val="false"/>
                <w:color w:val="000000"/>
                <w:spacing w:val="-1"/>
                <w:szCs w:val="28"/>
                <w:lang w:val="ru-RU" w:eastAsia="uk-UA"/>
              </w:rPr>
              <w:t>23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>.12.20</w:t>
            </w:r>
            <w:r>
              <w:rPr>
                <w:bCs w:val="false"/>
                <w:color w:val="000000"/>
                <w:spacing w:val="-1"/>
                <w:szCs w:val="28"/>
                <w:lang w:val="ru-RU" w:eastAsia="uk-UA"/>
              </w:rPr>
              <w:t>20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 xml:space="preserve"> № </w:t>
            </w:r>
            <w:r>
              <w:rPr>
                <w:bCs w:val="false"/>
                <w:color w:val="000000"/>
                <w:spacing w:val="-1"/>
                <w:szCs w:val="28"/>
                <w:lang w:val="ru-RU" w:eastAsia="uk-UA"/>
              </w:rPr>
              <w:t>2</w:t>
            </w:r>
            <w:r>
              <w:rPr>
                <w:bCs w:val="false"/>
                <w:color w:val="000000"/>
                <w:spacing w:val="-1"/>
                <w:szCs w:val="28"/>
                <w:lang w:eastAsia="uk-UA"/>
              </w:rPr>
              <w:t>/</w:t>
            </w:r>
            <w:r>
              <w:rPr>
                <w:bCs w:val="false"/>
                <w:color w:val="000000"/>
                <w:spacing w:val="-1"/>
                <w:szCs w:val="28"/>
                <w:lang w:val="ru-RU" w:eastAsia="uk-UA"/>
              </w:rPr>
              <w:t>23</w:t>
            </w:r>
          </w:p>
        </w:tc>
        <w:tc>
          <w:tcPr>
            <w:tcW w:w="4704" w:type="dxa"/>
            <w:tcBorders/>
            <w:shd w:fill="auto" w:val="clear"/>
          </w:tcPr>
          <w:p>
            <w:pPr>
              <w:pStyle w:val="Normal"/>
              <w:snapToGrid w:val="false"/>
              <w:spacing w:lineRule="exact" w:line="317"/>
              <w:ind w:left="0" w:right="14" w:hanging="0"/>
              <w:rPr/>
            </w:pPr>
            <w:r>
              <w:rPr/>
            </w:r>
          </w:p>
        </w:tc>
      </w:tr>
    </w:tbl>
    <w:p>
      <w:pPr>
        <w:pStyle w:val="Normal"/>
        <w:shd w:fill="FFFFFF" w:val="clear"/>
        <w:tabs>
          <w:tab w:val="clear" w:pos="709"/>
          <w:tab w:val="left" w:pos="100" w:leader="none"/>
        </w:tabs>
        <w:spacing w:lineRule="exact" w:line="317"/>
        <w:ind w:left="0"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  <w:t xml:space="preserve">                                                     </w:t>
      </w:r>
    </w:p>
    <w:p>
      <w:pPr>
        <w:pStyle w:val="Style23"/>
        <w:spacing w:before="0" w:after="0"/>
        <w:ind w:left="0" w:right="0" w:firstLine="709"/>
        <w:jc w:val="both"/>
        <w:rPr/>
      </w:pPr>
      <w:r>
        <w:rPr>
          <w:color w:val="000000"/>
          <w:szCs w:val="28"/>
          <w:lang w:eastAsia="uk-UA"/>
        </w:rPr>
        <w:t>Керуючись Законами України «Про місцеве самоврядування в Україні»,</w:t>
      </w:r>
      <w:r>
        <w:rPr>
          <w:color w:val="000000"/>
          <w:spacing w:val="-2"/>
          <w:szCs w:val="28"/>
          <w:lang w:eastAsia="uk-UA"/>
        </w:rPr>
        <w:t xml:space="preserve"> «Про охорону культурної спадщини», постановою Кабінету Міністрів України «Про створення єдиної системи залучення, використання та моніторингу міжнародної технічної допомоги»</w:t>
      </w:r>
      <w:r>
        <w:rPr>
          <w:spacing w:val="-2"/>
          <w:szCs w:val="28"/>
        </w:rPr>
        <w:t>,</w:t>
      </w:r>
      <w:r>
        <w:rPr>
          <w:color w:val="000000"/>
          <w:szCs w:val="28"/>
          <w:lang w:eastAsia="uk-UA"/>
        </w:rPr>
        <w:t xml:space="preserve"> міська рада</w:t>
      </w:r>
    </w:p>
    <w:p>
      <w:pPr>
        <w:pStyle w:val="Style23"/>
        <w:spacing w:before="0" w:after="0"/>
        <w:ind w:left="0" w:right="0" w:firstLine="709"/>
        <w:jc w:val="both"/>
        <w:rPr>
          <w:color w:val="000000"/>
          <w:szCs w:val="28"/>
          <w:lang w:eastAsia="uk-UA"/>
        </w:rPr>
      </w:pPr>
      <w:r>
        <w:rPr>
          <w:color w:val="000000"/>
          <w:szCs w:val="28"/>
          <w:lang w:eastAsia="uk-UA"/>
        </w:rPr>
      </w:r>
    </w:p>
    <w:p>
      <w:pPr>
        <w:pStyle w:val="Style23"/>
        <w:spacing w:before="0" w:after="0"/>
        <w:jc w:val="both"/>
        <w:rPr>
          <w:color w:val="000000"/>
          <w:szCs w:val="28"/>
        </w:rPr>
      </w:pPr>
      <w:r>
        <w:rPr>
          <w:color w:val="000000"/>
          <w:szCs w:val="28"/>
        </w:rPr>
        <w:t>ВИРІШИЛА:</w:t>
      </w:r>
    </w:p>
    <w:p>
      <w:pPr>
        <w:pStyle w:val="Style23"/>
        <w:spacing w:before="0" w:after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Style23"/>
        <w:spacing w:before="0" w:after="0"/>
        <w:ind w:left="0" w:right="0" w:firstLine="680"/>
        <w:jc w:val="both"/>
        <w:rPr/>
      </w:pPr>
      <w:r>
        <w:rPr>
          <w:bCs w:val="false"/>
          <w:color w:val="000000"/>
          <w:spacing w:val="-1"/>
          <w:szCs w:val="28"/>
          <w:lang w:eastAsia="uk-UA"/>
        </w:rPr>
        <w:t>1. Внести зміни до цільової програми «Впровадження транскордонного проєкту “Нове життя старого міста: ревіталізація пам'яток історико-культурної спадщини Любліна і Луцька”</w:t>
      </w:r>
      <w:r>
        <w:rPr>
          <w:spacing w:val="-2"/>
          <w:szCs w:val="28"/>
        </w:rPr>
        <w:t>»</w:t>
      </w:r>
      <w:r>
        <w:rPr>
          <w:bCs w:val="false"/>
          <w:color w:val="000000"/>
          <w:spacing w:val="-1"/>
          <w:szCs w:val="28"/>
          <w:lang w:eastAsia="uk-UA"/>
        </w:rPr>
        <w:t xml:space="preserve">, затвердженої рішенням міської </w:t>
      </w:r>
      <w:r>
        <w:rPr>
          <w:color w:val="000000"/>
          <w:spacing w:val="-1"/>
          <w:szCs w:val="28"/>
        </w:rPr>
        <w:t xml:space="preserve">ради </w:t>
      </w:r>
      <w:r>
        <w:rPr>
          <w:bCs w:val="false"/>
          <w:color w:val="000000"/>
          <w:spacing w:val="-1"/>
          <w:szCs w:val="28"/>
        </w:rPr>
        <w:t>від 25.0</w:t>
      </w:r>
      <w:r>
        <w:rPr>
          <w:bCs w:val="false"/>
          <w:color w:val="000000"/>
          <w:szCs w:val="28"/>
          <w:lang w:eastAsia="uk-UA"/>
        </w:rPr>
        <w:t>7.2018 №44/37, зі змінами</w:t>
      </w:r>
      <w:r>
        <w:rPr>
          <w:bCs w:val="false"/>
          <w:color w:val="000000"/>
          <w:spacing w:val="-1"/>
          <w:szCs w:val="28"/>
          <w:lang w:eastAsia="uk-UA"/>
        </w:rPr>
        <w:t xml:space="preserve"> від </w:t>
      </w:r>
      <w:r>
        <w:rPr>
          <w:bCs w:val="false"/>
          <w:color w:val="000000"/>
          <w:spacing w:val="-1"/>
          <w:szCs w:val="28"/>
          <w:lang w:val="ru-RU" w:eastAsia="uk-UA"/>
        </w:rPr>
        <w:t>23</w:t>
      </w:r>
      <w:r>
        <w:rPr>
          <w:bCs w:val="false"/>
          <w:color w:val="000000"/>
          <w:spacing w:val="-1"/>
          <w:szCs w:val="28"/>
          <w:lang w:eastAsia="uk-UA"/>
        </w:rPr>
        <w:t>.12.20</w:t>
      </w:r>
      <w:r>
        <w:rPr>
          <w:bCs w:val="false"/>
          <w:color w:val="000000"/>
          <w:spacing w:val="-1"/>
          <w:szCs w:val="28"/>
          <w:lang w:val="ru-RU" w:eastAsia="uk-UA"/>
        </w:rPr>
        <w:t>20</w:t>
      </w:r>
      <w:r>
        <w:rPr>
          <w:bCs w:val="false"/>
          <w:color w:val="000000"/>
          <w:spacing w:val="-1"/>
          <w:szCs w:val="28"/>
          <w:lang w:eastAsia="uk-UA"/>
        </w:rPr>
        <w:t xml:space="preserve"> № </w:t>
      </w:r>
      <w:r>
        <w:rPr>
          <w:bCs w:val="false"/>
          <w:color w:val="000000"/>
          <w:spacing w:val="-1"/>
          <w:szCs w:val="28"/>
          <w:lang w:val="ru-RU" w:eastAsia="uk-UA"/>
        </w:rPr>
        <w:t>2</w:t>
      </w:r>
      <w:r>
        <w:rPr>
          <w:bCs w:val="false"/>
          <w:color w:val="000000"/>
          <w:spacing w:val="-1"/>
          <w:szCs w:val="28"/>
          <w:lang w:eastAsia="uk-UA"/>
        </w:rPr>
        <w:t>/</w:t>
      </w:r>
      <w:r>
        <w:rPr>
          <w:bCs w:val="false"/>
          <w:color w:val="000000"/>
          <w:spacing w:val="-1"/>
          <w:szCs w:val="28"/>
          <w:lang w:val="ru-RU" w:eastAsia="uk-UA"/>
        </w:rPr>
        <w:t>23</w:t>
      </w:r>
      <w:r>
        <w:rPr>
          <w:bCs w:val="false"/>
          <w:color w:val="000000"/>
          <w:spacing w:val="-1"/>
          <w:szCs w:val="28"/>
          <w:lang w:eastAsia="uk-UA"/>
        </w:rPr>
        <w:t xml:space="preserve"> (далі ‒ Програма):</w:t>
      </w:r>
    </w:p>
    <w:p>
      <w:pPr>
        <w:pStyle w:val="Style23"/>
        <w:spacing w:before="0" w:after="0"/>
        <w:ind w:left="0" w:right="0" w:firstLine="680"/>
        <w:jc w:val="both"/>
        <w:rPr/>
      </w:pPr>
      <w:r>
        <w:rPr>
          <w:bCs w:val="false"/>
          <w:color w:val="000000"/>
          <w:spacing w:val="-1"/>
          <w:szCs w:val="28"/>
          <w:lang w:eastAsia="uk-UA"/>
        </w:rPr>
        <w:t xml:space="preserve">1.1. Внести зміни до пункту 6, пункту 7 Паспорту Програми, абзацу 1 розділу </w:t>
      </w:r>
      <w:r>
        <w:rPr>
          <w:bCs w:val="false"/>
          <w:color w:val="000000"/>
          <w:spacing w:val="-1"/>
          <w:szCs w:val="28"/>
          <w:lang w:val="ru-RU" w:eastAsia="uk-UA"/>
        </w:rPr>
        <w:t>3</w:t>
      </w:r>
      <w:r>
        <w:rPr>
          <w:bCs w:val="false"/>
          <w:color w:val="000000"/>
          <w:spacing w:val="-1"/>
          <w:szCs w:val="28"/>
          <w:lang w:eastAsia="uk-UA"/>
        </w:rPr>
        <w:t xml:space="preserve"> Програми.</w:t>
      </w:r>
    </w:p>
    <w:p>
      <w:pPr>
        <w:pStyle w:val="Style23"/>
        <w:spacing w:before="0" w:after="0"/>
        <w:ind w:left="0" w:right="0" w:firstLine="680"/>
        <w:jc w:val="both"/>
        <w:rPr/>
      </w:pPr>
      <w:r>
        <w:rPr>
          <w:bCs w:val="false"/>
          <w:color w:val="000000"/>
          <w:spacing w:val="-1"/>
          <w:szCs w:val="28"/>
          <w:lang w:eastAsia="uk-UA"/>
        </w:rPr>
        <w:t>1.2. Викласти Додаток 1, Додаток 2 до Програми в новій редакції</w:t>
      </w:r>
      <w:r>
        <w:rPr>
          <w:bCs w:val="false"/>
          <w:color w:val="5C6266"/>
          <w:spacing w:val="-1"/>
          <w:szCs w:val="28"/>
          <w:lang w:eastAsia="uk-UA"/>
        </w:rPr>
        <w:t xml:space="preserve"> </w:t>
      </w:r>
      <w:r>
        <w:rPr>
          <w:bCs w:val="false"/>
          <w:color w:val="000000"/>
          <w:spacing w:val="-1"/>
          <w:szCs w:val="28"/>
          <w:lang w:eastAsia="uk-UA"/>
        </w:rPr>
        <w:t>(додаються).</w:t>
      </w:r>
    </w:p>
    <w:p>
      <w:pPr>
        <w:pStyle w:val="Style23"/>
        <w:spacing w:before="0" w:after="0"/>
        <w:ind w:left="0" w:right="0" w:firstLine="680"/>
        <w:jc w:val="both"/>
        <w:rPr/>
      </w:pPr>
      <w:r>
        <w:rPr>
          <w:bCs w:val="false"/>
          <w:color w:val="222222"/>
          <w:spacing w:val="-1"/>
          <w:szCs w:val="28"/>
          <w:highlight w:val="white"/>
        </w:rPr>
        <w:t xml:space="preserve">2. </w:t>
      </w:r>
      <w:r>
        <w:rPr>
          <w:bCs w:val="false"/>
          <w:color w:val="000000"/>
          <w:spacing w:val="-2"/>
          <w:szCs w:val="28"/>
          <w:highlight w:val="white"/>
          <w:shd w:fill="FFFFFF" w:val="clear"/>
        </w:rPr>
        <w:t xml:space="preserve">Департаменту фінансів та бюджету міської ради передбачити в бюджеті </w:t>
      </w:r>
      <w:r>
        <w:rPr>
          <w:bCs w:val="false"/>
          <w:spacing w:val="-2"/>
          <w:szCs w:val="28"/>
          <w:highlight w:val="white"/>
          <w:shd w:fill="FFFFFF" w:val="clear"/>
        </w:rPr>
        <w:t>міської територіальної громади</w:t>
      </w:r>
      <w:r>
        <w:rPr>
          <w:bCs w:val="false"/>
          <w:color w:val="000000"/>
          <w:spacing w:val="-2"/>
          <w:szCs w:val="28"/>
          <w:highlight w:val="white"/>
          <w:shd w:fill="FFFFFF" w:val="clear"/>
        </w:rPr>
        <w:t xml:space="preserve"> кошти для забезпечення фінансового внеску в реалізацію транскордонного </w:t>
      </w:r>
      <w:r>
        <w:rPr>
          <w:color w:val="000000"/>
          <w:spacing w:val="-1"/>
          <w:szCs w:val="28"/>
          <w:highlight w:val="white"/>
        </w:rPr>
        <w:t xml:space="preserve">проєкту </w:t>
      </w:r>
      <w:r>
        <w:rPr>
          <w:bCs w:val="false"/>
          <w:color w:val="000000"/>
          <w:spacing w:val="-1"/>
          <w:szCs w:val="28"/>
          <w:highlight w:val="white"/>
          <w:lang w:eastAsia="uk-UA"/>
        </w:rPr>
        <w:t>«Нове життя старого міста: ревіталізація  пам'яток історико-культурної спадщини Любліна і Луцька</w:t>
      </w:r>
      <w:r>
        <w:rPr>
          <w:spacing w:val="-2"/>
          <w:szCs w:val="28"/>
          <w:highlight w:val="white"/>
        </w:rPr>
        <w:t>» та фінансування заходів Програми</w:t>
      </w:r>
      <w:r>
        <w:rPr>
          <w:color w:val="000000"/>
          <w:spacing w:val="-1"/>
          <w:szCs w:val="28"/>
          <w:highlight w:val="white"/>
        </w:rPr>
        <w:t>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bCs w:val="false"/>
          <w:color w:val="000000"/>
          <w:spacing w:val="-1"/>
          <w:szCs w:val="28"/>
          <w:lang w:eastAsia="uk-UA"/>
        </w:rPr>
        <w:t>3. К</w:t>
      </w:r>
      <w:r>
        <w:rPr>
          <w:szCs w:val="28"/>
        </w:rPr>
        <w:t xml:space="preserve">онтроль за виконанням рішення покласти на </w:t>
      </w:r>
      <w:r>
        <w:rPr>
          <w:color w:val="000000"/>
          <w:szCs w:val="28"/>
        </w:rPr>
        <w:t>заступника міського голови відповідно до розподілу обов’язків</w:t>
      </w:r>
      <w:r>
        <w:rPr>
          <w:szCs w:val="28"/>
        </w:rPr>
        <w:t>, постійну комісію міської ради з питань планування соціально-економічного розвитку, бюджету та фінансів (Разумовський А. Р.) та постійну комісію з питань міжнародного співробітництва, торгівлі, послуг та розвитку підприємництва, інформаційної політики, молоді, спорту та туризму (Лазука О. І.).</w:t>
      </w:r>
    </w:p>
    <w:p>
      <w:pPr>
        <w:pStyle w:val="Style23"/>
        <w:spacing w:before="0" w:after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Style38"/>
        <w:spacing w:before="0" w:after="0"/>
        <w:rPr/>
      </w:pPr>
      <w:r>
        <w:rPr/>
        <w:t>Гомонець 777 995</w:t>
      </w:r>
    </w:p>
    <w:p>
      <w:pPr>
        <w:pStyle w:val="Style38"/>
        <w:spacing w:before="0" w:after="0"/>
        <w:rPr/>
      </w:pPr>
      <w:r>
        <w:rPr/>
      </w:r>
    </w:p>
    <w:p>
      <w:pPr>
        <w:pStyle w:val="Style38"/>
        <w:spacing w:before="0" w:after="0"/>
        <w:rPr/>
      </w:pPr>
      <w:r>
        <w:rPr/>
      </w:r>
    </w:p>
    <w:p>
      <w:pPr>
        <w:pStyle w:val="Style38"/>
        <w:spacing w:before="0" w:after="0"/>
        <w:rPr/>
      </w:pPr>
      <w:r>
        <w:rPr/>
      </w:r>
    </w:p>
    <w:sectPr>
      <w:type w:val="nextPage"/>
      <w:pgSz w:w="11906" w:h="16838"/>
      <w:pgMar w:left="1984" w:right="567" w:header="720" w:top="1134" w:footer="720" w:bottom="1134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Шрифт абзацу за замовчуванням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Шрифт абзацу за промовчанням"/>
    <w:qFormat/>
    <w:rPr/>
  </w:style>
  <w:style w:type="character" w:styleId="11">
    <w:name w:val="Основной шрифт абзаца1"/>
    <w:qFormat/>
    <w:rPr/>
  </w:style>
  <w:style w:type="character" w:styleId="Style13">
    <w:name w:val="Текст у виносці Знак"/>
    <w:qFormat/>
    <w:rPr>
      <w:rFonts w:ascii="Segoe UI" w:hAnsi="Segoe UI" w:cs="Segoe UI"/>
      <w:bCs/>
      <w:sz w:val="18"/>
      <w:szCs w:val="18"/>
      <w:lang w:val="uk-UA" w:eastAsia="zh-CN"/>
    </w:rPr>
  </w:style>
  <w:style w:type="character" w:styleId="Style14">
    <w:name w:val="Текст выноски Знак"/>
    <w:qFormat/>
    <w:rPr>
      <w:rFonts w:ascii="Tahoma" w:hAnsi="Tahoma" w:cs="Tahoma"/>
      <w:bCs/>
      <w:sz w:val="16"/>
      <w:szCs w:val="16"/>
    </w:rPr>
  </w:style>
  <w:style w:type="character" w:styleId="FontStyle15">
    <w:name w:val="Font Style15"/>
    <w:qFormat/>
    <w:rPr>
      <w:rFonts w:ascii="Times New Roman" w:hAnsi="Times New Roman" w:cs="Times New Roman"/>
      <w:sz w:val="26"/>
      <w:szCs w:val="26"/>
    </w:rPr>
  </w:style>
  <w:style w:type="character" w:styleId="T3">
    <w:name w:val="T3"/>
    <w:qFormat/>
    <w:rPr>
      <w:sz w:val="28"/>
      <w:szCs w:val="28"/>
    </w:rPr>
  </w:style>
  <w:style w:type="character" w:styleId="Rvts52">
    <w:name w:val="rvts52"/>
    <w:qFormat/>
    <w:rPr/>
  </w:style>
  <w:style w:type="character" w:styleId="Style15">
    <w:name w:val="Основной текст с отступом Знак"/>
    <w:qFormat/>
    <w:rPr>
      <w:sz w:val="28"/>
      <w:szCs w:val="24"/>
    </w:rPr>
  </w:style>
  <w:style w:type="character" w:styleId="21">
    <w:name w:val="Основной текст с отступом 2 Знак"/>
    <w:qFormat/>
    <w:rPr>
      <w:bCs/>
      <w:sz w:val="28"/>
      <w:szCs w:val="24"/>
    </w:rPr>
  </w:style>
  <w:style w:type="character" w:styleId="Style16">
    <w:name w:val="Интернет-ссылка"/>
    <w:rPr>
      <w:rFonts w:cs="Times New Roman"/>
      <w:color w:val="0000FF"/>
      <w:u w:val="single"/>
    </w:rPr>
  </w:style>
  <w:style w:type="character" w:styleId="Rvts44">
    <w:name w:val="rvts44"/>
    <w:qFormat/>
    <w:rPr>
      <w:rFonts w:cs="Times New Roman"/>
    </w:rPr>
  </w:style>
  <w:style w:type="character" w:styleId="31">
    <w:name w:val="Основной текст с отступом 3 Знак"/>
    <w:qFormat/>
    <w:rPr>
      <w:sz w:val="16"/>
      <w:szCs w:val="16"/>
    </w:rPr>
  </w:style>
  <w:style w:type="character" w:styleId="Style17">
    <w:name w:val="Нижний колонтитул Знак"/>
    <w:qFormat/>
    <w:rPr>
      <w:bCs/>
      <w:sz w:val="28"/>
      <w:szCs w:val="24"/>
      <w:lang w:val="uk-UA"/>
    </w:rPr>
  </w:style>
  <w:style w:type="character" w:styleId="Rvts15">
    <w:name w:val="rvts15"/>
    <w:basedOn w:val="11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>
    <w:name w:val="apple-converted-space"/>
    <w:basedOn w:val="11"/>
    <w:qFormat/>
    <w:rPr/>
  </w:style>
  <w:style w:type="character" w:styleId="Rvts23">
    <w:name w:val="rvts23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0">
    <w:name w:val="rvts0"/>
    <w:qFormat/>
    <w:rPr>
      <w:rFonts w:cs="Times New Roman"/>
    </w:rPr>
  </w:style>
  <w:style w:type="character" w:styleId="Style18">
    <w:name w:val="Основний текст_"/>
    <w:qFormat/>
    <w:rPr>
      <w:sz w:val="21"/>
      <w:szCs w:val="21"/>
      <w:lang w:bidi="ar-SA"/>
    </w:rPr>
  </w:style>
  <w:style w:type="character" w:styleId="Style19">
    <w:name w:val="Выделение жирным"/>
    <w:qFormat/>
    <w:rPr>
      <w:b/>
      <w:bCs/>
    </w:rPr>
  </w:style>
  <w:style w:type="character" w:styleId="Style20">
    <w:name w:val="Номер страницы"/>
    <w:basedOn w:val="11"/>
    <w:rPr/>
  </w:style>
  <w:style w:type="character" w:styleId="WW8Num12z8">
    <w:name w:val="WW8Num12z8"/>
    <w:qFormat/>
    <w:rPr/>
  </w:style>
  <w:style w:type="character" w:styleId="WW8Num12z7">
    <w:name w:val="WW8Num12z7"/>
    <w:qFormat/>
    <w:rPr/>
  </w:style>
  <w:style w:type="character" w:styleId="WW8Num12z6">
    <w:name w:val="WW8Num12z6"/>
    <w:qFormat/>
    <w:rPr/>
  </w:style>
  <w:style w:type="character" w:styleId="WW8Num12z5">
    <w:name w:val="WW8Num12z5"/>
    <w:qFormat/>
    <w:rPr/>
  </w:style>
  <w:style w:type="character" w:styleId="WW8Num12z4">
    <w:name w:val="WW8Num12z4"/>
    <w:qFormat/>
    <w:rPr/>
  </w:style>
  <w:style w:type="character" w:styleId="WW8Num12z3">
    <w:name w:val="WW8Num12z3"/>
    <w:qFormat/>
    <w:rPr/>
  </w:style>
  <w:style w:type="character" w:styleId="WW8Num12z2">
    <w:name w:val="WW8Num12z2"/>
    <w:qFormat/>
    <w:rPr/>
  </w:style>
  <w:style w:type="character" w:styleId="WW8Num12z1">
    <w:name w:val="WW8Num12z1"/>
    <w:qFormat/>
    <w:rPr/>
  </w:style>
  <w:style w:type="character" w:styleId="WW8Num12z0">
    <w:name w:val="WW8Num12z0"/>
    <w:qFormat/>
    <w:rPr/>
  </w:style>
  <w:style w:type="character" w:styleId="WW8Num11z8">
    <w:name w:val="WW8Num11z8"/>
    <w:qFormat/>
    <w:rPr/>
  </w:style>
  <w:style w:type="character" w:styleId="WW8Num11z7">
    <w:name w:val="WW8Num11z7"/>
    <w:qFormat/>
    <w:rPr/>
  </w:style>
  <w:style w:type="character" w:styleId="WW8Num11z6">
    <w:name w:val="WW8Num11z6"/>
    <w:qFormat/>
    <w:rPr/>
  </w:style>
  <w:style w:type="character" w:styleId="WW8Num11z5">
    <w:name w:val="WW8Num11z5"/>
    <w:qFormat/>
    <w:rPr/>
  </w:style>
  <w:style w:type="character" w:styleId="WW8Num11z4">
    <w:name w:val="WW8Num11z4"/>
    <w:qFormat/>
    <w:rPr/>
  </w:style>
  <w:style w:type="character" w:styleId="WW8Num11z3">
    <w:name w:val="WW8Num11z3"/>
    <w:qFormat/>
    <w:rPr/>
  </w:style>
  <w:style w:type="character" w:styleId="WW8Num11z2">
    <w:name w:val="WW8Num11z2"/>
    <w:qFormat/>
    <w:rPr/>
  </w:style>
  <w:style w:type="character" w:styleId="WW8Num11z1">
    <w:name w:val="WW8Num11z1"/>
    <w:qFormat/>
    <w:rPr/>
  </w:style>
  <w:style w:type="character" w:styleId="WW8Num11z0">
    <w:name w:val="WW8Num11z0"/>
    <w:qFormat/>
    <w:rPr/>
  </w:style>
  <w:style w:type="character" w:styleId="WW8Num10z1">
    <w:name w:val="WW8Num10z1"/>
    <w:qFormat/>
    <w:rPr>
      <w:lang w:val="uk-UA" w:bidi="ar-SA"/>
    </w:rPr>
  </w:style>
  <w:style w:type="character" w:styleId="WW8Num10z0">
    <w:name w:val="WW8Num10z0"/>
    <w:qFormat/>
    <w:rPr>
      <w:rFonts w:ascii="Times New Roman" w:hAnsi="Times New Roman" w:eastAsia="Times New Roman" w:cs="Times New Roman"/>
      <w:w w:val="100"/>
      <w:sz w:val="28"/>
      <w:szCs w:val="28"/>
      <w:lang w:val="uk-UA" w:bidi="ar-SA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0">
    <w:name w:val="WW8Num9z0"/>
    <w:qFormat/>
    <w:rPr>
      <w:rFonts w:ascii="Times New Roman" w:hAnsi="Times New Roman" w:eastAsia="Times New Roman" w:cs="Times New Roman"/>
    </w:rPr>
  </w:style>
  <w:style w:type="character" w:styleId="WW8Num8z0">
    <w:name w:val="WW8Num8z0"/>
    <w:qFormat/>
    <w:rPr/>
  </w:style>
  <w:style w:type="character" w:styleId="WW8Num7z3">
    <w:name w:val="WW8Num7z3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0">
    <w:name w:val="WW8Num7z0"/>
    <w:qFormat/>
    <w:rPr>
      <w:rFonts w:ascii="Wingdings" w:hAnsi="Wingdings" w:cs="Wingdings"/>
    </w:rPr>
  </w:style>
  <w:style w:type="character" w:styleId="WW8Num6z8">
    <w:name w:val="WW8Num6z8"/>
    <w:qFormat/>
    <w:rPr/>
  </w:style>
  <w:style w:type="character" w:styleId="WW8Num6z7">
    <w:name w:val="WW8Num6z7"/>
    <w:qFormat/>
    <w:rPr/>
  </w:style>
  <w:style w:type="character" w:styleId="WW8Num6z6">
    <w:name w:val="WW8Num6z6"/>
    <w:qFormat/>
    <w:rPr/>
  </w:style>
  <w:style w:type="character" w:styleId="WW8Num6z5">
    <w:name w:val="WW8Num6z5"/>
    <w:qFormat/>
    <w:rPr/>
  </w:style>
  <w:style w:type="character" w:styleId="WW8Num6z4">
    <w:name w:val="WW8Num6z4"/>
    <w:qFormat/>
    <w:rPr/>
  </w:style>
  <w:style w:type="character" w:styleId="WW8Num6z3">
    <w:name w:val="WW8Num6z3"/>
    <w:qFormat/>
    <w:rPr/>
  </w:style>
  <w:style w:type="character" w:styleId="WW8Num6z2">
    <w:name w:val="WW8Num6z2"/>
    <w:qFormat/>
    <w:rPr/>
  </w:style>
  <w:style w:type="character" w:styleId="WW8Num6z1">
    <w:name w:val="WW8Num6z1"/>
    <w:qFormat/>
    <w:rPr/>
  </w:style>
  <w:style w:type="character" w:styleId="WW8Num6z0">
    <w:name w:val="WW8Num6z0"/>
    <w:qFormat/>
    <w:rPr/>
  </w:style>
  <w:style w:type="character" w:styleId="WW8Num5z8">
    <w:name w:val="WW8Num5z8"/>
    <w:qFormat/>
    <w:rPr/>
  </w:style>
  <w:style w:type="character" w:styleId="WW8Num5z7">
    <w:name w:val="WW8Num5z7"/>
    <w:qFormat/>
    <w:rPr/>
  </w:style>
  <w:style w:type="character" w:styleId="WW8Num5z6">
    <w:name w:val="WW8Num5z6"/>
    <w:qFormat/>
    <w:rPr/>
  </w:style>
  <w:style w:type="character" w:styleId="WW8Num5z5">
    <w:name w:val="WW8Num5z5"/>
    <w:qFormat/>
    <w:rPr/>
  </w:style>
  <w:style w:type="character" w:styleId="WW8Num5z4">
    <w:name w:val="WW8Num5z4"/>
    <w:qFormat/>
    <w:rPr/>
  </w:style>
  <w:style w:type="character" w:styleId="WW8Num5z3">
    <w:name w:val="WW8Num5z3"/>
    <w:qFormat/>
    <w:rPr/>
  </w:style>
  <w:style w:type="character" w:styleId="WW8Num5z2">
    <w:name w:val="WW8Num5z2"/>
    <w:qFormat/>
    <w:rPr/>
  </w:style>
  <w:style w:type="character" w:styleId="WW8Num5z1">
    <w:name w:val="WW8Num5z1"/>
    <w:qFormat/>
    <w:rPr/>
  </w:style>
  <w:style w:type="character" w:styleId="WW8Num5z0">
    <w:name w:val="WW8Num5z0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Style21">
    <w:name w:val="Основной шрифт абзаца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Style23">
    <w:name w:val="Body Text"/>
    <w:basedOn w:val="Normal"/>
    <w:pPr>
      <w:spacing w:before="0" w:after="120"/>
    </w:pPr>
    <w:rPr/>
  </w:style>
  <w:style w:type="paragraph" w:styleId="Style24">
    <w:name w:val="List"/>
    <w:basedOn w:val="Style23"/>
    <w:pPr/>
    <w:rPr>
      <w:rFonts w:cs="Mang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Style27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8">
    <w:name w:val="Покажчик"/>
    <w:basedOn w:val="Normal"/>
    <w:qFormat/>
    <w:pPr>
      <w:suppressLineNumbers/>
    </w:pPr>
    <w:rPr>
      <w:rFonts w:cs="FreeSans;Arial"/>
    </w:rPr>
  </w:style>
  <w:style w:type="paragraph" w:styleId="12">
    <w:name w:val="Назва об'єкта1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Heading">
    <w:name w:val="Heading"/>
    <w:basedOn w:val="Normal"/>
    <w:next w:val="Style23"/>
    <w:qFormat/>
    <w:pPr>
      <w:keepNext w:val="true"/>
      <w:spacing w:before="240" w:after="120"/>
    </w:pPr>
    <w:rPr>
      <w:rFonts w:ascii="Liberation Sans;Arial" w:hAnsi="Liberation Sans;Arial" w:eastAsia="Droid Sans Fallback" w:cs="FreeSans;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;Arial"/>
    </w:rPr>
  </w:style>
  <w:style w:type="paragraph" w:styleId="Style29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3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Style32">
    <w:name w:val="Звичайний (веб)"/>
    <w:basedOn w:val="Normal"/>
    <w:qFormat/>
    <w:pPr>
      <w:suppressAutoHyphens w:val="false"/>
      <w:spacing w:before="280" w:after="280"/>
    </w:pPr>
    <w:rPr>
      <w:bCs w:val="false"/>
      <w:sz w:val="24"/>
    </w:rPr>
  </w:style>
  <w:style w:type="paragraph" w:styleId="Style33">
    <w:name w:val="Текст у виносці"/>
    <w:basedOn w:val="Normal"/>
    <w:qFormat/>
    <w:pPr/>
    <w:rPr>
      <w:rFonts w:ascii="Segoe UI" w:hAnsi="Segoe UI" w:cs="Segoe UI"/>
      <w:sz w:val="18"/>
      <w:szCs w:val="18"/>
    </w:rPr>
  </w:style>
  <w:style w:type="paragraph" w:styleId="Style34">
    <w:name w:val="Вміст таблиці"/>
    <w:basedOn w:val="Normal"/>
    <w:qFormat/>
    <w:pPr>
      <w:suppressLineNumbers/>
    </w:pPr>
    <w:rPr/>
  </w:style>
  <w:style w:type="paragraph" w:styleId="Style35">
    <w:name w:val="Заголовок таблиці"/>
    <w:basedOn w:val="Style34"/>
    <w:qFormat/>
    <w:pPr>
      <w:suppressLineNumbers/>
      <w:jc w:val="center"/>
    </w:pPr>
    <w:rPr>
      <w:b/>
      <w:bCs/>
    </w:rPr>
  </w:style>
  <w:style w:type="paragraph" w:styleId="Style36">
    <w:name w:val="Содержимое таблицы"/>
    <w:basedOn w:val="Normal"/>
    <w:qFormat/>
    <w:pPr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paragraph" w:styleId="Style38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Style39">
    <w:name w:val="Вміст рамки"/>
    <w:basedOn w:val="Normal"/>
    <w:qFormat/>
    <w:pPr/>
    <w:rPr/>
  </w:style>
  <w:style w:type="paragraph" w:styleId="Style4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41">
    <w:name w:val="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Rvps2">
    <w:name w:val="rvps2"/>
    <w:basedOn w:val="Normal"/>
    <w:qFormat/>
    <w:pPr>
      <w:widowControl w:val="false"/>
      <w:suppressAutoHyphens w:val="true"/>
      <w:spacing w:before="100" w:after="100"/>
    </w:pPr>
    <w:rPr>
      <w:bCs w:val="false"/>
      <w:kern w:val="2"/>
      <w:lang w:bidi="hi-IN"/>
    </w:rPr>
  </w:style>
  <w:style w:type="paragraph" w:styleId="Rvps6">
    <w:name w:val="rvps6"/>
    <w:basedOn w:val="Normal"/>
    <w:qFormat/>
    <w:pPr>
      <w:widowControl w:val="false"/>
      <w:suppressAutoHyphens w:val="true"/>
      <w:spacing w:before="100" w:after="100"/>
    </w:pPr>
    <w:rPr>
      <w:bCs w:val="false"/>
      <w:kern w:val="2"/>
      <w:lang w:bidi="hi-IN"/>
    </w:rPr>
  </w:style>
  <w:style w:type="paragraph" w:styleId="211">
    <w:name w:val="Основной текст с отступом 21"/>
    <w:basedOn w:val="Normal"/>
    <w:qFormat/>
    <w:pPr>
      <w:spacing w:lineRule="auto" w:line="480" w:before="0" w:after="120"/>
      <w:ind w:left="283" w:right="0" w:hanging="0"/>
    </w:pPr>
    <w:rPr>
      <w:lang w:val="uk-UA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32">
    <w:name w:val="Основной текст с отступом 32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uk-UA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42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51">
    <w:name w:val="Style5"/>
    <w:basedOn w:val="Normal"/>
    <w:qFormat/>
    <w:pPr>
      <w:widowControl w:val="false"/>
      <w:suppressAutoHyphens w:val="tru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15">
    <w:name w:val="Основной текст1"/>
    <w:basedOn w:val="Normal"/>
    <w:qFormat/>
    <w:pPr>
      <w:spacing w:before="0" w:after="120"/>
    </w:pPr>
    <w:rPr/>
  </w:style>
  <w:style w:type="paragraph" w:styleId="Style43">
    <w:name w:val="Без интервала"/>
    <w:qFormat/>
    <w:pPr>
      <w:widowControl/>
      <w:suppressAutoHyphens w:val="true"/>
      <w:kinsoku w:val="true"/>
      <w:overflowPunct w:val="true"/>
      <w:autoSpaceDE w:val="true"/>
      <w:bidi w:val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HTML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Style44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Style45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46">
    <w:name w:val="Body Text Indent"/>
    <w:basedOn w:val="Normal"/>
    <w:pPr>
      <w:ind w:left="0" w:right="0" w:firstLine="545"/>
      <w:jc w:val="both"/>
    </w:pPr>
    <w:rPr>
      <w:bCs w:val="false"/>
      <w:lang w:val="uk-UA"/>
    </w:rPr>
  </w:style>
  <w:style w:type="paragraph" w:styleId="Style4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6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48">
    <w:name w:val="Розділ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24</TotalTime>
  <Application>LibreOffice/6.2.0.3$Windows_X86_64 LibreOffice_project/98c6a8a1c6c7b144ce3cc729e34964b47ce25d62</Application>
  <Pages>2</Pages>
  <Words>234</Words>
  <Characters>1579</Characters>
  <CharactersWithSpaces>1970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nkhmel</dc:creator>
  <dc:description/>
  <dc:language>uk-UA</dc:language>
  <cp:lastModifiedBy/>
  <cp:lastPrinted>1995-11-21T17:41:00Z</cp:lastPrinted>
  <dcterms:modified xsi:type="dcterms:W3CDTF">2021-12-03T14:50:24Z</dcterms:modified>
  <cp:revision>15</cp:revision>
  <dc:subject/>
  <dc:title> </dc:title>
</cp:coreProperties>
</file>