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BodyTextIndent2"/>
        <w:tabs>
          <w:tab w:val="clear" w:pos="720"/>
          <w:tab w:val="left" w:pos="810" w:leader="none"/>
        </w:tabs>
        <w:spacing w:lineRule="auto" w:line="240" w:before="0" w:after="0"/>
        <w:ind w:left="0" w:hanging="0"/>
        <w:jc w:val="center"/>
        <w:rPr>
          <w:b/>
          <w:b/>
          <w:sz w:val="28"/>
          <w:szCs w:val="28"/>
        </w:rPr>
      </w:pPr>
      <w:r>
        <w:rPr/>
      </w:r>
    </w:p>
    <w:p>
      <w:pPr>
        <w:pStyle w:val="BodyTextIndent2"/>
        <w:tabs>
          <w:tab w:val="clear" w:pos="720"/>
          <w:tab w:val="left" w:pos="810" w:leader="none"/>
        </w:tabs>
        <w:spacing w:lineRule="auto" w:line="240" w:before="0" w:after="0"/>
        <w:ind w:left="0" w:hanging="0"/>
        <w:jc w:val="center"/>
        <w:rPr>
          <w:sz w:val="28"/>
          <w:szCs w:val="28"/>
        </w:rPr>
      </w:pPr>
      <w:r>
        <w:rPr>
          <w:b/>
          <w:sz w:val="28"/>
          <w:szCs w:val="28"/>
        </w:rPr>
        <w:t>ЗВІТ</w:t>
      </w:r>
    </w:p>
    <w:p>
      <w:pPr>
        <w:pStyle w:val="BodyTextIndent2"/>
        <w:tabs>
          <w:tab w:val="clear" w:pos="720"/>
          <w:tab w:val="left" w:pos="0" w:leader="none"/>
        </w:tabs>
        <w:spacing w:lineRule="auto" w:line="240" w:before="0" w:after="0"/>
        <w:ind w:left="0" w:hanging="0"/>
        <w:jc w:val="center"/>
        <w:rPr>
          <w:sz w:val="27"/>
          <w:szCs w:val="27"/>
        </w:rPr>
      </w:pPr>
      <w:r>
        <w:rPr>
          <w:b/>
          <w:sz w:val="28"/>
          <w:szCs w:val="28"/>
        </w:rPr>
        <w:t>про роботу житлово-комунального підприємства № 7</w:t>
      </w:r>
    </w:p>
    <w:p>
      <w:pPr>
        <w:pStyle w:val="BodyTextIndent2"/>
        <w:tabs>
          <w:tab w:val="clear" w:pos="720"/>
          <w:tab w:val="left" w:pos="0" w:leader="none"/>
        </w:tabs>
        <w:spacing w:lineRule="auto" w:line="240" w:before="0" w:after="0"/>
        <w:ind w:left="0" w:hanging="0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Style16"/>
        <w:tabs>
          <w:tab w:val="clear" w:pos="720"/>
          <w:tab w:val="left" w:pos="0" w:leader="none"/>
        </w:tabs>
        <w:spacing w:lineRule="auto" w:line="240" w:before="0" w:after="0"/>
        <w:ind w:firstLine="567"/>
        <w:jc w:val="both"/>
        <w:rPr>
          <w:sz w:val="27"/>
          <w:szCs w:val="27"/>
        </w:rPr>
      </w:pPr>
      <w:r>
        <w:rPr>
          <w:color w:val="000000"/>
          <w:sz w:val="28"/>
          <w:szCs w:val="28"/>
        </w:rPr>
        <w:t xml:space="preserve">Житлово-комунальне підприємство № 7 діє на підставі Статуту, затвердженого рішенням виконавчого комітету Луцької міської ради від </w:t>
      </w:r>
      <w:r>
        <w:rPr>
          <w:bCs/>
          <w:color w:val="000000"/>
          <w:sz w:val="28"/>
          <w:szCs w:val="28"/>
        </w:rPr>
        <w:t>29.09.2021 № 19/98 (нова редакція).</w:t>
      </w:r>
    </w:p>
    <w:p>
      <w:pPr>
        <w:pStyle w:val="Normal"/>
        <w:tabs>
          <w:tab w:val="clear" w:pos="720"/>
          <w:tab w:val="left" w:pos="0" w:leader="none"/>
        </w:tabs>
        <w:ind w:firstLine="540"/>
        <w:jc w:val="both"/>
        <w:rPr>
          <w:color w:val="000000"/>
          <w:sz w:val="27"/>
          <w:szCs w:val="27"/>
        </w:rPr>
      </w:pPr>
      <w:r>
        <w:rPr>
          <w:bCs/>
          <w:color w:val="000000"/>
          <w:sz w:val="28"/>
          <w:szCs w:val="28"/>
        </w:rPr>
        <w:t>Засновником ЖКП № 7 є Луцька міська територіальна громада в особі Луцької міської ради.</w:t>
      </w:r>
    </w:p>
    <w:p>
      <w:pPr>
        <w:pStyle w:val="Normal"/>
        <w:tabs>
          <w:tab w:val="clear" w:pos="720"/>
          <w:tab w:val="left" w:pos="0" w:leader="none"/>
        </w:tabs>
        <w:ind w:firstLine="567"/>
        <w:jc w:val="both"/>
        <w:rPr>
          <w:sz w:val="27"/>
          <w:szCs w:val="27"/>
        </w:rPr>
      </w:pPr>
      <w:r>
        <w:rPr>
          <w:bCs/>
          <w:color w:val="000000"/>
          <w:sz w:val="28"/>
          <w:szCs w:val="28"/>
        </w:rPr>
        <w:t>Підприємство створено з метою задоволення потреб у його послугах (роботах, товарах) та реалізації на основі отриманого прибутку інтересів територіальної громади міста Луцька, а також економічних та соціальних інтересів трудового колективу.</w:t>
      </w:r>
    </w:p>
    <w:p>
      <w:pPr>
        <w:pStyle w:val="Normal"/>
        <w:tabs>
          <w:tab w:val="clear" w:pos="720"/>
          <w:tab w:val="left" w:pos="0" w:leader="none"/>
        </w:tabs>
        <w:ind w:firstLine="567"/>
        <w:jc w:val="both"/>
        <w:rPr>
          <w:sz w:val="27"/>
          <w:szCs w:val="27"/>
        </w:rPr>
      </w:pPr>
      <w:r>
        <w:rPr>
          <w:color w:val="000000"/>
          <w:sz w:val="28"/>
          <w:szCs w:val="28"/>
        </w:rPr>
        <w:t>Основними видами діяльності підприємства є:</w:t>
      </w:r>
    </w:p>
    <w:p>
      <w:pPr>
        <w:pStyle w:val="Style16"/>
        <w:tabs>
          <w:tab w:val="clear" w:pos="720"/>
          <w:tab w:val="left" w:pos="0" w:leader="none"/>
        </w:tabs>
        <w:spacing w:lineRule="auto" w:line="240" w:before="0" w:after="0"/>
        <w:ind w:firstLine="567"/>
        <w:jc w:val="both"/>
        <w:rPr>
          <w:color w:val="000000"/>
          <w:sz w:val="27"/>
          <w:szCs w:val="27"/>
        </w:rPr>
      </w:pPr>
      <w:r>
        <w:rPr>
          <w:color w:val="000000"/>
          <w:sz w:val="28"/>
          <w:szCs w:val="28"/>
        </w:rPr>
        <w:t>- ремонт, експлуатація та технічне обслуговування житлового фонду;</w:t>
      </w:r>
    </w:p>
    <w:p>
      <w:pPr>
        <w:pStyle w:val="Style16"/>
        <w:tabs>
          <w:tab w:val="clear" w:pos="720"/>
          <w:tab w:val="left" w:pos="0" w:leader="none"/>
        </w:tabs>
        <w:spacing w:lineRule="auto" w:line="240" w:before="0" w:after="0"/>
        <w:ind w:firstLine="567"/>
        <w:jc w:val="both"/>
        <w:rPr>
          <w:color w:val="000000"/>
          <w:sz w:val="27"/>
          <w:szCs w:val="27"/>
        </w:rPr>
      </w:pPr>
      <w:r>
        <w:rPr>
          <w:color w:val="000000"/>
          <w:sz w:val="28"/>
          <w:szCs w:val="28"/>
        </w:rPr>
        <w:t>- впорядкування, санітарна очистка та озеленення дворових територій;</w:t>
      </w:r>
    </w:p>
    <w:p>
      <w:pPr>
        <w:pStyle w:val="Style16"/>
        <w:tabs>
          <w:tab w:val="clear" w:pos="720"/>
          <w:tab w:val="left" w:pos="0" w:leader="none"/>
        </w:tabs>
        <w:spacing w:lineRule="auto" w:line="240" w:before="0" w:after="0"/>
        <w:ind w:firstLine="567"/>
        <w:jc w:val="both"/>
        <w:rPr>
          <w:color w:val="000000"/>
          <w:sz w:val="27"/>
          <w:szCs w:val="27"/>
        </w:rPr>
      </w:pPr>
      <w:r>
        <w:rPr>
          <w:color w:val="000000"/>
          <w:sz w:val="28"/>
          <w:szCs w:val="28"/>
        </w:rPr>
        <w:t>- прийом в експлуатацію житлових будинків;</w:t>
      </w:r>
    </w:p>
    <w:p>
      <w:pPr>
        <w:pStyle w:val="Style16"/>
        <w:spacing w:lineRule="auto" w:line="240" w:before="0" w:after="120"/>
        <w:ind w:firstLine="567"/>
        <w:jc w:val="both"/>
        <w:rPr>
          <w:sz w:val="27"/>
          <w:szCs w:val="27"/>
        </w:rPr>
      </w:pPr>
      <w:r>
        <w:rPr>
          <w:color w:val="000000"/>
          <w:sz w:val="28"/>
          <w:szCs w:val="28"/>
        </w:rPr>
        <w:t>- мурування та ремонт, очищення печей, коминів, димоходів, димових та вентиляційних каналів, влаштування опалювальних приладів, перевірка їх протипожежного стану, управління багатоквартирними будинками.</w:t>
      </w:r>
    </w:p>
    <w:p>
      <w:pPr>
        <w:pStyle w:val="BodyTextIndent2"/>
        <w:tabs>
          <w:tab w:val="clear" w:pos="720"/>
          <w:tab w:val="left" w:pos="0" w:leader="none"/>
        </w:tabs>
        <w:spacing w:lineRule="auto" w:line="240" w:before="0" w:after="0"/>
        <w:ind w:left="0" w:hanging="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Фінансовий стан підприємства</w:t>
      </w:r>
    </w:p>
    <w:p>
      <w:pPr>
        <w:pStyle w:val="BodyTextIndent2"/>
        <w:tabs>
          <w:tab w:val="clear" w:pos="720"/>
          <w:tab w:val="left" w:pos="0" w:leader="none"/>
        </w:tabs>
        <w:spacing w:lineRule="auto" w:line="240" w:before="0" w:after="0"/>
        <w:ind w:left="0" w:hanging="0"/>
        <w:jc w:val="center"/>
        <w:rPr>
          <w:sz w:val="16"/>
          <w:szCs w:val="16"/>
        </w:rPr>
      </w:pPr>
      <w:r>
        <w:rPr>
          <w:sz w:val="16"/>
          <w:szCs w:val="16"/>
        </w:rPr>
      </w:r>
    </w:p>
    <w:tbl>
      <w:tblPr>
        <w:tblW w:w="9526" w:type="dxa"/>
        <w:jc w:val="left"/>
        <w:tblInd w:w="93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69"/>
        <w:gridCol w:w="4234"/>
        <w:gridCol w:w="1466"/>
        <w:gridCol w:w="1390"/>
        <w:gridCol w:w="1867"/>
      </w:tblGrid>
      <w:tr>
        <w:trPr>
          <w:trHeight w:val="510" w:hRule="atLeast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№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/>
              <w:t>з/п</w:t>
            </w:r>
          </w:p>
        </w:tc>
        <w:tc>
          <w:tcPr>
            <w:tcW w:w="4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Показники</w:t>
            </w:r>
          </w:p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/>
              <w:t xml:space="preserve">Станом на 01.01.2020 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/>
              <w:t xml:space="preserve">Станом на 01.01.2021 </w:t>
            </w:r>
          </w:p>
        </w:tc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/>
              <w:t xml:space="preserve">Станом на 01.10.2021 </w:t>
            </w:r>
          </w:p>
        </w:tc>
      </w:tr>
      <w:tr>
        <w:trPr>
          <w:trHeight w:val="510" w:hRule="atLeast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1</w:t>
            </w:r>
            <w:r>
              <w:rPr>
                <w:b/>
                <w:bCs/>
              </w:rPr>
              <w:t>.</w:t>
            </w:r>
          </w:p>
        </w:tc>
        <w:tc>
          <w:tcPr>
            <w:tcW w:w="4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rPr/>
            </w:pPr>
            <w:r>
              <w:rPr>
                <w:b/>
                <w:bCs/>
                <w:sz w:val="27"/>
                <w:szCs w:val="27"/>
              </w:rPr>
              <w:t>Дебіторська заборгованість(тис.грн) всього, в т. ч.:</w:t>
            </w:r>
          </w:p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b/>
                <w:b/>
                <w:bCs/>
                <w:sz w:val="27"/>
                <w:szCs w:val="27"/>
              </w:rPr>
            </w:pPr>
            <w:r>
              <w:rPr>
                <w:b/>
                <w:bCs/>
                <w:sz w:val="27"/>
                <w:szCs w:val="27"/>
              </w:rPr>
              <w:t>1759,1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sz w:val="27"/>
                <w:szCs w:val="27"/>
              </w:rPr>
            </w:pPr>
            <w:r>
              <w:rPr>
                <w:b/>
                <w:bCs/>
                <w:sz w:val="27"/>
                <w:szCs w:val="27"/>
              </w:rPr>
              <w:t>2591,1</w:t>
            </w:r>
          </w:p>
        </w:tc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right"/>
              <w:rPr>
                <w:b/>
                <w:b/>
                <w:bCs/>
                <w:sz w:val="27"/>
                <w:szCs w:val="27"/>
              </w:rPr>
            </w:pPr>
            <w:r>
              <w:rPr>
                <w:b/>
                <w:bCs/>
                <w:sz w:val="27"/>
                <w:szCs w:val="27"/>
              </w:rPr>
            </w:r>
          </w:p>
          <w:p>
            <w:pPr>
              <w:pStyle w:val="Normal"/>
              <w:widowControl w:val="false"/>
              <w:jc w:val="right"/>
              <w:rPr>
                <w:b/>
                <w:b/>
                <w:bCs/>
                <w:sz w:val="27"/>
                <w:szCs w:val="27"/>
              </w:rPr>
            </w:pPr>
            <w:r>
              <w:rPr>
                <w:b/>
                <w:bCs/>
                <w:sz w:val="27"/>
                <w:szCs w:val="27"/>
              </w:rPr>
            </w:r>
          </w:p>
          <w:p>
            <w:pPr>
              <w:pStyle w:val="Normal"/>
              <w:widowControl w:val="false"/>
              <w:jc w:val="right"/>
              <w:rPr>
                <w:b/>
                <w:b/>
                <w:bCs/>
                <w:sz w:val="27"/>
                <w:szCs w:val="27"/>
              </w:rPr>
            </w:pPr>
            <w:r>
              <w:rPr>
                <w:b/>
                <w:bCs/>
                <w:sz w:val="27"/>
                <w:szCs w:val="27"/>
              </w:rPr>
              <w:t>2980,0</w:t>
            </w:r>
          </w:p>
        </w:tc>
      </w:tr>
      <w:tr>
        <w:trPr>
          <w:trHeight w:val="255" w:hRule="atLeast"/>
        </w:trPr>
        <w:tc>
          <w:tcPr>
            <w:tcW w:w="56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423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 утримання та управління будинками</w:t>
            </w:r>
          </w:p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bottom"/>
          </w:tcPr>
          <w:p>
            <w:pPr>
              <w:pStyle w:val="Normal"/>
              <w:widowControl w:val="false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1635,3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bottom"/>
          </w:tcPr>
          <w:p>
            <w:pPr>
              <w:pStyle w:val="Normal"/>
              <w:widowControl w:val="false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2392,3</w:t>
            </w:r>
          </w:p>
        </w:tc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Normal"/>
              <w:widowControl w:val="false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2733,9</w:t>
            </w:r>
          </w:p>
        </w:tc>
      </w:tr>
      <w:tr>
        <w:trPr>
          <w:trHeight w:val="255" w:hRule="atLeast"/>
        </w:trPr>
        <w:tc>
          <w:tcPr>
            <w:tcW w:w="56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423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 субсидії</w:t>
            </w:r>
          </w:p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bottom"/>
          </w:tcPr>
          <w:p>
            <w:pPr>
              <w:pStyle w:val="Normal"/>
              <w:widowControl w:val="false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 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bottom"/>
          </w:tcPr>
          <w:p>
            <w:pPr>
              <w:pStyle w:val="Normal"/>
              <w:widowControl w:val="false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 </w:t>
            </w:r>
          </w:p>
        </w:tc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</w:tc>
      </w:tr>
      <w:tr>
        <w:trPr>
          <w:trHeight w:val="255" w:hRule="atLeast"/>
        </w:trPr>
        <w:tc>
          <w:tcPr>
            <w:tcW w:w="56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423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 компенсація пільг</w:t>
            </w:r>
          </w:p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bottom"/>
          </w:tcPr>
          <w:p>
            <w:pPr>
              <w:pStyle w:val="Normal"/>
              <w:widowControl w:val="false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 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bottom"/>
          </w:tcPr>
          <w:p>
            <w:pPr>
              <w:pStyle w:val="Normal"/>
              <w:widowControl w:val="false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 </w:t>
            </w:r>
          </w:p>
        </w:tc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</w:tc>
      </w:tr>
      <w:tr>
        <w:trPr>
          <w:trHeight w:val="255" w:hRule="atLeast"/>
        </w:trPr>
        <w:tc>
          <w:tcPr>
            <w:tcW w:w="56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423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 інші, в т. ч.:</w:t>
            </w:r>
          </w:p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123,8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198,8</w:t>
            </w:r>
          </w:p>
        </w:tc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246,1</w:t>
            </w:r>
          </w:p>
        </w:tc>
      </w:tr>
      <w:tr>
        <w:trPr>
          <w:trHeight w:val="255" w:hRule="atLeast"/>
        </w:trPr>
        <w:tc>
          <w:tcPr>
            <w:tcW w:w="56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423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 інтернетпровайдери</w:t>
            </w:r>
          </w:p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14,6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5,5</w:t>
            </w:r>
          </w:p>
        </w:tc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12,1</w:t>
            </w:r>
          </w:p>
        </w:tc>
      </w:tr>
      <w:tr>
        <w:trPr>
          <w:trHeight w:val="255" w:hRule="atLeast"/>
        </w:trPr>
        <w:tc>
          <w:tcPr>
            <w:tcW w:w="56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423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 ел.енергія суборендарів</w:t>
            </w:r>
          </w:p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2,6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0,5</w:t>
            </w:r>
          </w:p>
        </w:tc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0</w:t>
            </w:r>
          </w:p>
        </w:tc>
      </w:tr>
      <w:tr>
        <w:trPr>
          <w:trHeight w:val="255" w:hRule="atLeast"/>
        </w:trPr>
        <w:tc>
          <w:tcPr>
            <w:tcW w:w="56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423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 утримання та управління вбудовано-прибудованими нежитловими приміщеннями</w:t>
            </w:r>
          </w:p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31,8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61,7</w:t>
            </w:r>
          </w:p>
        </w:tc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Normal"/>
              <w:widowControl w:val="false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Normal"/>
              <w:widowControl w:val="false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83,3</w:t>
            </w:r>
          </w:p>
        </w:tc>
      </w:tr>
      <w:tr>
        <w:trPr>
          <w:trHeight w:val="255" w:hRule="atLeast"/>
        </w:trPr>
        <w:tc>
          <w:tcPr>
            <w:tcW w:w="56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423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 інші</w:t>
            </w:r>
          </w:p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74,8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131,1</w:t>
            </w:r>
          </w:p>
        </w:tc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150,7</w:t>
            </w:r>
          </w:p>
        </w:tc>
      </w:tr>
      <w:tr>
        <w:trPr>
          <w:trHeight w:val="510" w:hRule="atLeast"/>
        </w:trPr>
        <w:tc>
          <w:tcPr>
            <w:tcW w:w="56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2</w:t>
            </w:r>
            <w:r>
              <w:rPr>
                <w:b/>
                <w:bCs/>
              </w:rPr>
              <w:t>.</w:t>
            </w:r>
          </w:p>
        </w:tc>
        <w:tc>
          <w:tcPr>
            <w:tcW w:w="423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rPr/>
            </w:pPr>
            <w:r>
              <w:rPr>
                <w:b/>
                <w:bCs/>
                <w:sz w:val="27"/>
                <w:szCs w:val="27"/>
              </w:rPr>
              <w:t>Кредиторська заборгованість (тис. грн.)всього в т. ч.:*</w:t>
            </w:r>
          </w:p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bottom"/>
          </w:tcPr>
          <w:p>
            <w:pPr>
              <w:pStyle w:val="Normal"/>
              <w:widowControl w:val="false"/>
              <w:jc w:val="right"/>
              <w:rPr>
                <w:b/>
                <w:b/>
                <w:bCs/>
                <w:sz w:val="27"/>
                <w:szCs w:val="27"/>
              </w:rPr>
            </w:pPr>
            <w:r>
              <w:rPr>
                <w:b/>
                <w:bCs/>
                <w:sz w:val="27"/>
                <w:szCs w:val="27"/>
              </w:rPr>
              <w:t>466,0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bottom"/>
          </w:tcPr>
          <w:p>
            <w:pPr>
              <w:pStyle w:val="Normal"/>
              <w:widowControl w:val="false"/>
              <w:jc w:val="right"/>
              <w:rPr>
                <w:b/>
                <w:b/>
                <w:bCs/>
                <w:sz w:val="27"/>
                <w:szCs w:val="27"/>
              </w:rPr>
            </w:pPr>
            <w:r>
              <w:rPr>
                <w:b/>
                <w:bCs/>
                <w:sz w:val="27"/>
                <w:szCs w:val="27"/>
              </w:rPr>
              <w:t>1183,7</w:t>
            </w:r>
          </w:p>
        </w:tc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jc w:val="right"/>
              <w:rPr>
                <w:b/>
                <w:b/>
                <w:bCs/>
                <w:sz w:val="27"/>
                <w:szCs w:val="27"/>
              </w:rPr>
            </w:pPr>
            <w:r>
              <w:rPr>
                <w:b/>
                <w:bCs/>
                <w:sz w:val="27"/>
                <w:szCs w:val="27"/>
              </w:rPr>
            </w:r>
          </w:p>
          <w:p>
            <w:pPr>
              <w:pStyle w:val="Normal"/>
              <w:widowControl w:val="false"/>
              <w:jc w:val="right"/>
              <w:rPr>
                <w:b/>
                <w:b/>
                <w:bCs/>
                <w:sz w:val="27"/>
                <w:szCs w:val="27"/>
              </w:rPr>
            </w:pPr>
            <w:r>
              <w:rPr>
                <w:b/>
                <w:bCs/>
                <w:sz w:val="27"/>
                <w:szCs w:val="27"/>
              </w:rPr>
              <w:t>696,4</w:t>
            </w:r>
          </w:p>
        </w:tc>
      </w:tr>
      <w:tr>
        <w:trPr>
          <w:trHeight w:val="255" w:hRule="atLeast"/>
        </w:trPr>
        <w:tc>
          <w:tcPr>
            <w:tcW w:w="56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 </w:t>
            </w:r>
          </w:p>
        </w:tc>
        <w:tc>
          <w:tcPr>
            <w:tcW w:w="423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 зарплата з нарахуваннями</w:t>
            </w:r>
          </w:p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301,7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625,5</w:t>
            </w:r>
          </w:p>
        </w:tc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376,1</w:t>
            </w:r>
          </w:p>
        </w:tc>
      </w:tr>
      <w:tr>
        <w:trPr>
          <w:trHeight w:val="255" w:hRule="atLeast"/>
        </w:trPr>
        <w:tc>
          <w:tcPr>
            <w:tcW w:w="56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 </w:t>
            </w:r>
          </w:p>
        </w:tc>
        <w:tc>
          <w:tcPr>
            <w:tcW w:w="423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 податки разом, в т.ч.:</w:t>
            </w:r>
          </w:p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55,0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395,3</w:t>
            </w:r>
          </w:p>
        </w:tc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195,5</w:t>
            </w:r>
          </w:p>
        </w:tc>
      </w:tr>
      <w:tr>
        <w:trPr>
          <w:trHeight w:val="255" w:hRule="atLeast"/>
        </w:trPr>
        <w:tc>
          <w:tcPr>
            <w:tcW w:w="56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 </w:t>
            </w:r>
          </w:p>
        </w:tc>
        <w:tc>
          <w:tcPr>
            <w:tcW w:w="423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ПДВ</w:t>
            </w:r>
          </w:p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91,5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117,4</w:t>
            </w:r>
          </w:p>
        </w:tc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140,2</w:t>
            </w:r>
          </w:p>
        </w:tc>
      </w:tr>
      <w:tr>
        <w:trPr>
          <w:trHeight w:val="255" w:hRule="atLeast"/>
        </w:trPr>
        <w:tc>
          <w:tcPr>
            <w:tcW w:w="56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 </w:t>
            </w:r>
          </w:p>
        </w:tc>
        <w:tc>
          <w:tcPr>
            <w:tcW w:w="423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податок на прибуток</w:t>
            </w:r>
          </w:p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-0,6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 </w:t>
            </w:r>
            <w:r>
              <w:rPr>
                <w:sz w:val="27"/>
                <w:szCs w:val="27"/>
              </w:rPr>
              <w:t>319,8</w:t>
            </w:r>
          </w:p>
        </w:tc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</w:tc>
      </w:tr>
      <w:tr>
        <w:trPr>
          <w:trHeight w:val="255" w:hRule="atLeast"/>
        </w:trPr>
        <w:tc>
          <w:tcPr>
            <w:tcW w:w="56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 </w:t>
            </w:r>
          </w:p>
        </w:tc>
        <w:tc>
          <w:tcPr>
            <w:tcW w:w="423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rPr/>
            </w:pPr>
            <w:r>
              <w:rPr>
                <w:sz w:val="27"/>
                <w:szCs w:val="27"/>
              </w:rPr>
              <w:t> </w:t>
            </w:r>
            <w:r>
              <w:rPr>
                <w:sz w:val="27"/>
                <w:szCs w:val="27"/>
              </w:rPr>
              <w:t>- інші (дивіденди)</w:t>
            </w:r>
          </w:p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-35,9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-41,9</w:t>
            </w:r>
          </w:p>
        </w:tc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55,3</w:t>
            </w:r>
          </w:p>
        </w:tc>
      </w:tr>
      <w:tr>
        <w:trPr>
          <w:trHeight w:val="255" w:hRule="atLeast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 </w:t>
            </w:r>
          </w:p>
        </w:tc>
        <w:tc>
          <w:tcPr>
            <w:tcW w:w="4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 </w:t>
            </w:r>
            <w:r>
              <w:rPr>
                <w:sz w:val="27"/>
                <w:szCs w:val="27"/>
              </w:rPr>
              <w:t>- Волиньелектрозбут</w:t>
            </w:r>
          </w:p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76,9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57,3</w:t>
            </w:r>
          </w:p>
        </w:tc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41,7</w:t>
            </w:r>
          </w:p>
        </w:tc>
      </w:tr>
      <w:tr>
        <w:trPr>
          <w:trHeight w:val="255" w:hRule="atLeast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 </w:t>
            </w:r>
          </w:p>
        </w:tc>
        <w:tc>
          <w:tcPr>
            <w:tcW w:w="4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 </w:t>
            </w:r>
            <w:r>
              <w:rPr>
                <w:sz w:val="27"/>
                <w:szCs w:val="27"/>
              </w:rPr>
              <w:t xml:space="preserve">- Інші </w:t>
            </w:r>
          </w:p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36,5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105,6</w:t>
            </w:r>
          </w:p>
        </w:tc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83,1</w:t>
            </w:r>
          </w:p>
        </w:tc>
      </w:tr>
    </w:tbl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b/>
          <w:sz w:val="28"/>
          <w:szCs w:val="28"/>
        </w:rPr>
        <w:t>Структура доходів</w:t>
      </w:r>
    </w:p>
    <w:p>
      <w:pPr>
        <w:pStyle w:val="Normal"/>
        <w:jc w:val="center"/>
        <w:rPr>
          <w:b/>
          <w:b/>
          <w:sz w:val="27"/>
          <w:szCs w:val="27"/>
        </w:rPr>
      </w:pPr>
      <w:r>
        <w:rPr>
          <w:b/>
          <w:sz w:val="27"/>
          <w:szCs w:val="27"/>
        </w:rPr>
      </w:r>
    </w:p>
    <w:tbl>
      <w:tblPr>
        <w:tblW w:w="9465" w:type="dxa"/>
        <w:jc w:val="left"/>
        <w:tblInd w:w="168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19"/>
        <w:gridCol w:w="4764"/>
        <w:gridCol w:w="1988"/>
        <w:gridCol w:w="2293"/>
      </w:tblGrid>
      <w:tr>
        <w:trPr>
          <w:trHeight w:val="375" w:hRule="atLeast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</w:tc>
        <w:tc>
          <w:tcPr>
            <w:tcW w:w="4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/>
                <w:b/>
                <w:sz w:val="27"/>
                <w:szCs w:val="27"/>
              </w:rPr>
            </w:pPr>
            <w:r>
              <w:rPr>
                <w:b/>
                <w:sz w:val="27"/>
                <w:szCs w:val="27"/>
              </w:rPr>
              <w:t>Статті доходів</w:t>
            </w:r>
          </w:p>
        </w:tc>
        <w:tc>
          <w:tcPr>
            <w:tcW w:w="42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b/>
                <w:sz w:val="27"/>
                <w:szCs w:val="27"/>
              </w:rPr>
              <w:t>Сума, тис. грн</w:t>
            </w:r>
          </w:p>
        </w:tc>
      </w:tr>
      <w:tr>
        <w:trPr>
          <w:trHeight w:val="375" w:hRule="atLeast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both"/>
              <w:rPr>
                <w:b/>
                <w:b/>
                <w:sz w:val="27"/>
                <w:szCs w:val="27"/>
              </w:rPr>
            </w:pPr>
            <w:r>
              <w:rPr>
                <w:b/>
                <w:sz w:val="27"/>
                <w:szCs w:val="27"/>
              </w:rPr>
            </w:r>
          </w:p>
        </w:tc>
        <w:tc>
          <w:tcPr>
            <w:tcW w:w="4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both"/>
              <w:rPr>
                <w:b/>
                <w:b/>
                <w:sz w:val="27"/>
                <w:szCs w:val="27"/>
              </w:rPr>
            </w:pPr>
            <w:r>
              <w:rPr>
                <w:b/>
                <w:sz w:val="27"/>
                <w:szCs w:val="27"/>
              </w:rPr>
              <w:t>Роки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b/>
                <w:sz w:val="27"/>
                <w:szCs w:val="27"/>
              </w:rPr>
              <w:t xml:space="preserve">2020 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sz w:val="27"/>
                <w:szCs w:val="27"/>
              </w:rPr>
            </w:pPr>
            <w:r>
              <w:rPr>
                <w:b/>
                <w:sz w:val="27"/>
                <w:szCs w:val="27"/>
              </w:rPr>
              <w:t>9 місяців 2021</w:t>
            </w:r>
          </w:p>
        </w:tc>
      </w:tr>
      <w:tr>
        <w:trPr>
          <w:trHeight w:val="375" w:hRule="atLeast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1.</w:t>
            </w:r>
          </w:p>
        </w:tc>
        <w:tc>
          <w:tcPr>
            <w:tcW w:w="4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Управління будинком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16 079,0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11 710,0</w:t>
            </w:r>
          </w:p>
        </w:tc>
      </w:tr>
      <w:tr>
        <w:trPr>
          <w:trHeight w:val="357" w:hRule="atLeast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2.</w:t>
            </w:r>
          </w:p>
        </w:tc>
        <w:tc>
          <w:tcPr>
            <w:tcW w:w="4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Субсидії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71,2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71,3</w:t>
            </w:r>
          </w:p>
        </w:tc>
      </w:tr>
      <w:tr>
        <w:trPr>
          <w:trHeight w:val="353" w:hRule="atLeast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3.</w:t>
            </w:r>
          </w:p>
        </w:tc>
        <w:tc>
          <w:tcPr>
            <w:tcW w:w="4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Пільги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357,6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109,6</w:t>
            </w:r>
          </w:p>
        </w:tc>
      </w:tr>
      <w:tr>
        <w:trPr>
          <w:trHeight w:val="354" w:hRule="atLeast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4.</w:t>
            </w:r>
          </w:p>
        </w:tc>
        <w:tc>
          <w:tcPr>
            <w:tcW w:w="4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Інші:</w:t>
            </w:r>
          </w:p>
          <w:p>
            <w:pPr>
              <w:pStyle w:val="Normal"/>
              <w:widowControl w:val="false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 розміщення телекомунікаційного обладнання;</w:t>
            </w:r>
          </w:p>
          <w:p>
            <w:pPr>
              <w:pStyle w:val="Normal"/>
              <w:widowControl w:val="false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 вбудовані приміщення;</w:t>
            </w:r>
          </w:p>
          <w:p>
            <w:pPr>
              <w:pStyle w:val="Normal"/>
              <w:widowControl w:val="false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- % банків; </w:t>
            </w:r>
          </w:p>
          <w:p>
            <w:pPr>
              <w:pStyle w:val="Normal"/>
              <w:widowControl w:val="false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 % орендної плати;</w:t>
            </w:r>
          </w:p>
          <w:p>
            <w:pPr>
              <w:pStyle w:val="Normal"/>
              <w:widowControl w:val="false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noBreakHyphen/>
              <w:t> </w:t>
            </w:r>
            <w:r>
              <w:rPr>
                <w:sz w:val="27"/>
                <w:szCs w:val="27"/>
              </w:rPr>
              <w:t>зимове прибирання;</w:t>
            </w:r>
          </w:p>
          <w:p>
            <w:pPr>
              <w:pStyle w:val="Normal"/>
              <w:widowControl w:val="false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  косіння міських територій;</w:t>
            </w:r>
          </w:p>
          <w:p>
            <w:pPr>
              <w:pStyle w:val="Normal"/>
              <w:widowControl w:val="false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 ел. енергія інших видів діяльності;</w:t>
            </w:r>
          </w:p>
          <w:p>
            <w:pPr>
              <w:pStyle w:val="Normal"/>
              <w:widowControl w:val="false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 надання послуг ОСББ;</w:t>
            </w:r>
          </w:p>
          <w:p>
            <w:pPr>
              <w:pStyle w:val="Normal"/>
              <w:widowControl w:val="false"/>
              <w:jc w:val="both"/>
              <w:rPr/>
            </w:pPr>
            <w:r>
              <w:rPr>
                <w:sz w:val="27"/>
                <w:szCs w:val="27"/>
              </w:rPr>
              <w:t>- капітальний ремонт внутрішніх будинкових мереж на вул. Січова, 3а;</w:t>
            </w:r>
          </w:p>
          <w:p>
            <w:pPr>
              <w:pStyle w:val="Normal"/>
              <w:widowControl w:val="false"/>
              <w:jc w:val="both"/>
              <w:rPr/>
            </w:pPr>
            <w:r>
              <w:rPr>
                <w:sz w:val="27"/>
                <w:szCs w:val="27"/>
              </w:rPr>
              <w:t>- капітальний ремонт козирка            вул. Софії Ковалевської, 25;</w:t>
            </w:r>
          </w:p>
          <w:p>
            <w:pPr>
              <w:pStyle w:val="Normal"/>
              <w:widowControl w:val="false"/>
              <w:jc w:val="both"/>
              <w:rPr/>
            </w:pPr>
            <w:r>
              <w:rPr>
                <w:sz w:val="27"/>
                <w:szCs w:val="27"/>
              </w:rPr>
              <w:t>- капітальний ремонт тамбура 1 під. вул. Софії Ковалевської, 2;</w:t>
            </w:r>
          </w:p>
          <w:p>
            <w:pPr>
              <w:pStyle w:val="Normal"/>
              <w:widowControl w:val="false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 фінансування бюджету на заходи із запобігання та ліквідації надзвичайних ситуацій;</w:t>
            </w:r>
          </w:p>
          <w:p>
            <w:pPr>
              <w:pStyle w:val="Normal"/>
              <w:widowControl w:val="false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 прочистка та обстеження димовентиляційних каналів;</w:t>
            </w:r>
          </w:p>
          <w:p>
            <w:pPr>
              <w:pStyle w:val="Normal"/>
              <w:widowControl w:val="false"/>
              <w:jc w:val="both"/>
              <w:rPr/>
            </w:pPr>
            <w:r>
              <w:rPr>
                <w:sz w:val="27"/>
                <w:szCs w:val="27"/>
              </w:rPr>
              <w:t>- інші (надання послуг стороннім організаціям з косіння, прочистки каналізаційних мереж, дезінфікуванню, розміщення рекламної інформації, брухт, реалізація дров та ін.)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1 665,2</w:t>
            </w:r>
          </w:p>
          <w:p>
            <w:pPr>
              <w:pStyle w:val="Normal"/>
              <w:widowControl w:val="false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Normal"/>
              <w:widowControl w:val="false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144,5</w:t>
            </w:r>
          </w:p>
          <w:p>
            <w:pPr>
              <w:pStyle w:val="Normal"/>
              <w:widowControl w:val="false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514,1</w:t>
            </w:r>
          </w:p>
          <w:p>
            <w:pPr>
              <w:pStyle w:val="Normal"/>
              <w:widowControl w:val="false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60,9</w:t>
            </w:r>
          </w:p>
          <w:p>
            <w:pPr>
              <w:pStyle w:val="Normal"/>
              <w:widowControl w:val="false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62,1</w:t>
            </w:r>
          </w:p>
          <w:p>
            <w:pPr>
              <w:pStyle w:val="Normal"/>
              <w:widowControl w:val="false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41,3</w:t>
            </w:r>
          </w:p>
          <w:p>
            <w:pPr>
              <w:pStyle w:val="Normal"/>
              <w:widowControl w:val="false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574,7</w:t>
            </w:r>
          </w:p>
          <w:p>
            <w:pPr>
              <w:pStyle w:val="Normal"/>
              <w:widowControl w:val="false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6,3</w:t>
            </w:r>
          </w:p>
          <w:p>
            <w:pPr>
              <w:pStyle w:val="Normal"/>
              <w:widowControl w:val="false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32,5</w:t>
            </w:r>
          </w:p>
          <w:p>
            <w:pPr>
              <w:pStyle w:val="Normal"/>
              <w:widowControl w:val="false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15,0</w:t>
            </w:r>
          </w:p>
          <w:p>
            <w:pPr>
              <w:pStyle w:val="Normal"/>
              <w:widowControl w:val="false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Normal"/>
              <w:widowControl w:val="false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29,3</w:t>
            </w:r>
          </w:p>
          <w:p>
            <w:pPr>
              <w:pStyle w:val="Normal"/>
              <w:widowControl w:val="false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Normal"/>
              <w:widowControl w:val="false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</w:t>
            </w:r>
          </w:p>
          <w:p>
            <w:pPr>
              <w:pStyle w:val="Normal"/>
              <w:widowControl w:val="false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Normal"/>
              <w:widowControl w:val="false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50,0</w:t>
            </w:r>
          </w:p>
          <w:p>
            <w:pPr>
              <w:pStyle w:val="Normal"/>
              <w:widowControl w:val="false"/>
              <w:jc w:val="right"/>
              <w:rPr>
                <w:color w:val="FF0000"/>
                <w:sz w:val="27"/>
                <w:szCs w:val="27"/>
              </w:rPr>
            </w:pPr>
            <w:r>
              <w:rPr>
                <w:color w:val="FF0000"/>
                <w:sz w:val="27"/>
                <w:szCs w:val="27"/>
              </w:rPr>
            </w:r>
          </w:p>
          <w:p>
            <w:pPr>
              <w:pStyle w:val="Normal"/>
              <w:widowControl w:val="false"/>
              <w:jc w:val="right"/>
              <w:rPr>
                <w:color w:val="FF0000"/>
                <w:sz w:val="27"/>
                <w:szCs w:val="27"/>
              </w:rPr>
            </w:pPr>
            <w:r>
              <w:rPr>
                <w:color w:val="FF0000"/>
                <w:sz w:val="27"/>
                <w:szCs w:val="27"/>
              </w:rPr>
            </w:r>
          </w:p>
          <w:p>
            <w:pPr>
              <w:pStyle w:val="Normal"/>
              <w:widowControl w:val="false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15,2</w:t>
            </w:r>
          </w:p>
          <w:p>
            <w:pPr>
              <w:pStyle w:val="Normal"/>
              <w:widowControl w:val="false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Normal"/>
              <w:widowControl w:val="false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119,3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976,1</w:t>
            </w:r>
          </w:p>
          <w:p>
            <w:pPr>
              <w:pStyle w:val="Normal"/>
              <w:widowControl w:val="false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Normal"/>
              <w:widowControl w:val="false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105,8</w:t>
            </w:r>
          </w:p>
          <w:p>
            <w:pPr>
              <w:pStyle w:val="Normal"/>
              <w:widowControl w:val="false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400,4</w:t>
            </w:r>
          </w:p>
          <w:p>
            <w:pPr>
              <w:pStyle w:val="Normal"/>
              <w:widowControl w:val="false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31,4</w:t>
            </w:r>
          </w:p>
          <w:p>
            <w:pPr>
              <w:pStyle w:val="Normal"/>
              <w:widowControl w:val="false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40,3</w:t>
            </w:r>
          </w:p>
          <w:p>
            <w:pPr>
              <w:pStyle w:val="Normal"/>
              <w:widowControl w:val="false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134,1</w:t>
            </w:r>
          </w:p>
          <w:p>
            <w:pPr>
              <w:pStyle w:val="Normal"/>
              <w:widowControl w:val="false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</w:t>
            </w:r>
          </w:p>
          <w:p>
            <w:pPr>
              <w:pStyle w:val="Normal"/>
              <w:widowControl w:val="false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6,4</w:t>
            </w:r>
          </w:p>
          <w:p>
            <w:pPr>
              <w:pStyle w:val="Normal"/>
              <w:widowControl w:val="false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51,5</w:t>
            </w:r>
          </w:p>
          <w:p>
            <w:pPr>
              <w:pStyle w:val="Normal"/>
              <w:widowControl w:val="false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Normal"/>
              <w:widowControl w:val="false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Normal"/>
              <w:widowControl w:val="false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Normal"/>
              <w:widowControl w:val="false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Normal"/>
              <w:widowControl w:val="false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25,0</w:t>
            </w:r>
          </w:p>
          <w:p>
            <w:pPr>
              <w:pStyle w:val="Normal"/>
              <w:widowControl w:val="false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Normal"/>
              <w:widowControl w:val="false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98,7</w:t>
            </w:r>
          </w:p>
          <w:p>
            <w:pPr>
              <w:pStyle w:val="Normal"/>
              <w:widowControl w:val="false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Normal"/>
              <w:widowControl w:val="false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Normal"/>
              <w:widowControl w:val="false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3,8</w:t>
            </w:r>
          </w:p>
          <w:p>
            <w:pPr>
              <w:pStyle w:val="Normal"/>
              <w:widowControl w:val="false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Normal"/>
              <w:widowControl w:val="false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78,7</w:t>
            </w:r>
          </w:p>
        </w:tc>
      </w:tr>
      <w:tr>
        <w:trPr>
          <w:trHeight w:val="356" w:hRule="atLeast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7"/>
                <w:szCs w:val="27"/>
                <w:lang w:val="en-US"/>
              </w:rPr>
            </w:pPr>
            <w:r>
              <w:rPr>
                <w:sz w:val="27"/>
                <w:szCs w:val="27"/>
                <w:lang w:val="en-US"/>
              </w:rPr>
            </w:r>
          </w:p>
        </w:tc>
        <w:tc>
          <w:tcPr>
            <w:tcW w:w="4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sz w:val="27"/>
                <w:szCs w:val="27"/>
              </w:rPr>
              <w:t>Всього </w:t>
            </w:r>
            <w:r>
              <w:rPr>
                <w:sz w:val="28"/>
                <w:szCs w:val="28"/>
              </w:rPr>
              <w:t>: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>
                <w:highlight w:val="white"/>
              </w:rPr>
            </w:pPr>
            <w:r>
              <w:rPr>
                <w:sz w:val="27"/>
                <w:szCs w:val="27"/>
                <w:highlight w:val="white"/>
              </w:rPr>
              <w:t xml:space="preserve">181,73 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>
                <w:highlight w:val="white"/>
              </w:rPr>
            </w:pPr>
            <w:r>
              <w:rPr>
                <w:sz w:val="27"/>
                <w:szCs w:val="27"/>
                <w:highlight w:val="white"/>
              </w:rPr>
              <w:t>12 867,0</w:t>
            </w:r>
          </w:p>
        </w:tc>
      </w:tr>
      <w:tr>
        <w:trPr>
          <w:trHeight w:val="719" w:hRule="atLeast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both"/>
              <w:rPr>
                <w:sz w:val="27"/>
                <w:szCs w:val="27"/>
                <w:lang w:val="en-US"/>
              </w:rPr>
            </w:pPr>
            <w:r>
              <w:rPr>
                <w:sz w:val="27"/>
                <w:szCs w:val="27"/>
                <w:lang w:val="en-US"/>
              </w:rPr>
            </w:r>
          </w:p>
        </w:tc>
        <w:tc>
          <w:tcPr>
            <w:tcW w:w="4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в т. ч. ПДВ</w:t>
            </w:r>
          </w:p>
          <w:p>
            <w:pPr>
              <w:pStyle w:val="Normal"/>
              <w:widowControl w:val="false"/>
              <w:jc w:val="both"/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Всього доходів без ПДВ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>
                <w:highlight w:val="white"/>
              </w:rPr>
            </w:pPr>
            <w:r>
              <w:rPr>
                <w:sz w:val="27"/>
                <w:szCs w:val="27"/>
                <w:highlight w:val="white"/>
              </w:rPr>
              <w:t>3 029</w:t>
            </w:r>
            <w:r>
              <w:rPr>
                <w:sz w:val="27"/>
                <w:szCs w:val="27"/>
                <w:shd w:fill="FFFFFF" w:val="clear"/>
              </w:rPr>
              <w:t>,0</w:t>
            </w:r>
          </w:p>
          <w:p>
            <w:pPr>
              <w:pStyle w:val="Normal"/>
              <w:widowControl w:val="false"/>
              <w:jc w:val="right"/>
              <w:rPr>
                <w:highlight w:val="white"/>
              </w:rPr>
            </w:pPr>
            <w:r>
              <w:rPr>
                <w:sz w:val="27"/>
                <w:szCs w:val="27"/>
                <w:highlight w:val="white"/>
              </w:rPr>
              <w:t>15 144</w:t>
            </w:r>
            <w:r>
              <w:rPr>
                <w:sz w:val="27"/>
                <w:szCs w:val="27"/>
                <w:shd w:fill="FFFFFF" w:val="clear"/>
              </w:rPr>
              <w:t>,0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>
                <w:highlight w:val="white"/>
              </w:rPr>
            </w:pPr>
            <w:r>
              <w:rPr>
                <w:sz w:val="27"/>
                <w:szCs w:val="27"/>
                <w:highlight w:val="white"/>
              </w:rPr>
              <w:t>2 144,0</w:t>
            </w:r>
          </w:p>
          <w:p>
            <w:pPr>
              <w:pStyle w:val="Normal"/>
              <w:widowControl w:val="false"/>
              <w:jc w:val="right"/>
              <w:rPr>
                <w:highlight w:val="white"/>
              </w:rPr>
            </w:pPr>
            <w:r>
              <w:rPr>
                <w:sz w:val="27"/>
                <w:szCs w:val="27"/>
                <w:highlight w:val="white"/>
              </w:rPr>
              <w:t>10 723,0</w:t>
            </w:r>
          </w:p>
        </w:tc>
      </w:tr>
    </w:tbl>
    <w:p>
      <w:pPr>
        <w:pStyle w:val="Normal"/>
        <w:jc w:val="center"/>
        <w:rPr>
          <w:b/>
          <w:b/>
          <w:sz w:val="27"/>
          <w:szCs w:val="27"/>
        </w:rPr>
      </w:pPr>
      <w:r>
        <w:rPr>
          <w:b/>
          <w:sz w:val="27"/>
          <w:szCs w:val="27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Структура витрат ЖКП № 7 </w:t>
      </w:r>
    </w:p>
    <w:p>
      <w:pPr>
        <w:pStyle w:val="Normal"/>
        <w:jc w:val="both"/>
        <w:rPr>
          <w:b/>
          <w:b/>
          <w:sz w:val="27"/>
          <w:szCs w:val="27"/>
        </w:rPr>
      </w:pPr>
      <w:r>
        <w:rPr>
          <w:b/>
          <w:sz w:val="27"/>
          <w:szCs w:val="27"/>
        </w:rPr>
      </w:r>
    </w:p>
    <w:tbl>
      <w:tblPr>
        <w:tblW w:w="9405" w:type="dxa"/>
        <w:jc w:val="left"/>
        <w:tblInd w:w="198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548"/>
        <w:gridCol w:w="1730"/>
        <w:gridCol w:w="2127"/>
      </w:tblGrid>
      <w:tr>
        <w:trPr/>
        <w:tc>
          <w:tcPr>
            <w:tcW w:w="55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b/>
                <w:sz w:val="27"/>
                <w:szCs w:val="27"/>
              </w:rPr>
              <w:t>Статті витрат (тис. грн)</w:t>
            </w:r>
          </w:p>
        </w:tc>
        <w:tc>
          <w:tcPr>
            <w:tcW w:w="38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sz w:val="27"/>
                <w:szCs w:val="27"/>
              </w:rPr>
            </w:pPr>
            <w:r>
              <w:rPr>
                <w:b/>
                <w:sz w:val="27"/>
                <w:szCs w:val="27"/>
              </w:rPr>
              <w:t>Сума, тис. грн</w:t>
            </w:r>
          </w:p>
        </w:tc>
      </w:tr>
      <w:tr>
        <w:trPr/>
        <w:tc>
          <w:tcPr>
            <w:tcW w:w="554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  <w:sz w:val="27"/>
                <w:szCs w:val="27"/>
              </w:rPr>
            </w:pPr>
            <w:r>
              <w:rPr>
                <w:b/>
                <w:sz w:val="27"/>
                <w:szCs w:val="27"/>
              </w:rPr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b/>
                <w:sz w:val="27"/>
                <w:szCs w:val="27"/>
              </w:rPr>
              <w:t xml:space="preserve">2020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-108" w:right="-111" w:hanging="0"/>
              <w:jc w:val="center"/>
              <w:rPr/>
            </w:pPr>
            <w:r>
              <w:rPr>
                <w:b/>
                <w:sz w:val="27"/>
                <w:szCs w:val="27"/>
              </w:rPr>
              <w:t xml:space="preserve">9 місяців 2021 </w:t>
            </w:r>
          </w:p>
        </w:tc>
      </w:tr>
      <w:tr>
        <w:trPr/>
        <w:tc>
          <w:tcPr>
            <w:tcW w:w="5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Витрати на оплату праці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9967,0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7998,0</w:t>
            </w:r>
          </w:p>
        </w:tc>
      </w:tr>
      <w:tr>
        <w:trPr/>
        <w:tc>
          <w:tcPr>
            <w:tcW w:w="5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 в т. ч нарахування на зарплату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1756,3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1378,5</w:t>
            </w:r>
          </w:p>
        </w:tc>
      </w:tr>
      <w:tr>
        <w:trPr/>
        <w:tc>
          <w:tcPr>
            <w:tcW w:w="5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Матеріали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631,1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412,2</w:t>
            </w:r>
          </w:p>
        </w:tc>
      </w:tr>
      <w:tr>
        <w:trPr/>
        <w:tc>
          <w:tcPr>
            <w:tcW w:w="5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Паливно-мастильні матеріали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214,5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109,6</w:t>
            </w:r>
          </w:p>
        </w:tc>
      </w:tr>
      <w:tr>
        <w:trPr/>
        <w:tc>
          <w:tcPr>
            <w:tcW w:w="5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sz w:val="27"/>
                <w:szCs w:val="27"/>
              </w:rPr>
              <w:t>Роботи та послуги сторонніх організацій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1219,3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685,7</w:t>
            </w:r>
          </w:p>
        </w:tc>
      </w:tr>
      <w:tr>
        <w:trPr/>
        <w:tc>
          <w:tcPr>
            <w:tcW w:w="5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в т. ч. електроенергія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553,3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297,3</w:t>
            </w:r>
          </w:p>
        </w:tc>
      </w:tr>
      <w:tr>
        <w:trPr/>
        <w:tc>
          <w:tcPr>
            <w:tcW w:w="5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sz w:val="27"/>
                <w:szCs w:val="27"/>
              </w:rPr>
              <w:t>- технічне обслуговування ліфтів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474,3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253,2</w:t>
            </w:r>
          </w:p>
        </w:tc>
      </w:tr>
      <w:tr>
        <w:trPr/>
        <w:tc>
          <w:tcPr>
            <w:tcW w:w="5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 дезстанція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113,3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83,2</w:t>
            </w:r>
          </w:p>
        </w:tc>
      </w:tr>
      <w:tr>
        <w:trPr/>
        <w:tc>
          <w:tcPr>
            <w:tcW w:w="5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 інші організації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78,1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52,0</w:t>
            </w:r>
          </w:p>
        </w:tc>
      </w:tr>
      <w:tr>
        <w:trPr/>
        <w:tc>
          <w:tcPr>
            <w:tcW w:w="5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Комунальні послуги, телефон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95,2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72,6</w:t>
            </w:r>
          </w:p>
        </w:tc>
      </w:tr>
      <w:tr>
        <w:trPr/>
        <w:tc>
          <w:tcPr>
            <w:tcW w:w="5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Послуги банку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28,2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25,5</w:t>
            </w:r>
          </w:p>
        </w:tc>
      </w:tr>
      <w:tr>
        <w:trPr/>
        <w:tc>
          <w:tcPr>
            <w:tcW w:w="5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Послуги МОЦ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226,6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272,8</w:t>
            </w:r>
          </w:p>
        </w:tc>
      </w:tr>
      <w:tr>
        <w:trPr/>
        <w:tc>
          <w:tcPr>
            <w:tcW w:w="5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Канцтовари, охорона праці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56,6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47,7</w:t>
            </w:r>
          </w:p>
        </w:tc>
      </w:tr>
      <w:tr>
        <w:trPr/>
        <w:tc>
          <w:tcPr>
            <w:tcW w:w="5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sz w:val="27"/>
                <w:szCs w:val="27"/>
              </w:rPr>
              <w:t>Амортизація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7,0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6,0</w:t>
            </w:r>
          </w:p>
        </w:tc>
      </w:tr>
      <w:tr>
        <w:trPr/>
        <w:tc>
          <w:tcPr>
            <w:tcW w:w="5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Інші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403,5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128,9</w:t>
            </w:r>
          </w:p>
        </w:tc>
      </w:tr>
      <w:tr>
        <w:trPr>
          <w:trHeight w:val="226" w:hRule="atLeast"/>
        </w:trPr>
        <w:tc>
          <w:tcPr>
            <w:tcW w:w="5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/>
                <w:b/>
                <w:sz w:val="27"/>
                <w:szCs w:val="27"/>
              </w:rPr>
            </w:pPr>
            <w:r>
              <w:rPr>
                <w:b/>
                <w:sz w:val="27"/>
                <w:szCs w:val="27"/>
              </w:rPr>
              <w:t>Всього витрат: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>
                <w:b/>
                <w:b/>
                <w:bCs/>
                <w:sz w:val="27"/>
                <w:szCs w:val="27"/>
              </w:rPr>
            </w:pPr>
            <w:r>
              <w:rPr>
                <w:b/>
                <w:bCs/>
                <w:sz w:val="27"/>
                <w:szCs w:val="27"/>
              </w:rPr>
              <w:t>12 849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>
                <w:b/>
                <w:b/>
                <w:bCs/>
                <w:sz w:val="27"/>
                <w:szCs w:val="27"/>
              </w:rPr>
            </w:pPr>
            <w:r>
              <w:rPr>
                <w:b/>
                <w:bCs/>
                <w:sz w:val="27"/>
                <w:szCs w:val="27"/>
              </w:rPr>
              <w:t>9 759</w:t>
            </w:r>
          </w:p>
        </w:tc>
      </w:tr>
    </w:tbl>
    <w:p>
      <w:pPr>
        <w:pStyle w:val="Normal"/>
        <w:rPr>
          <w:b/>
          <w:b/>
          <w:bCs/>
          <w:sz w:val="27"/>
          <w:szCs w:val="27"/>
        </w:rPr>
      </w:pPr>
      <w:r>
        <w:rPr>
          <w:b/>
          <w:bCs/>
          <w:sz w:val="27"/>
          <w:szCs w:val="27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Фінансові результати діяльності підприємс</w:t>
      </w:r>
      <w:r>
        <w:rPr>
          <w:b/>
          <w:bCs/>
          <w:sz w:val="28"/>
          <w:szCs w:val="28"/>
          <w:highlight w:val="white"/>
        </w:rPr>
        <w:t>т</w:t>
      </w:r>
      <w:r>
        <w:rPr>
          <w:b/>
          <w:bCs/>
          <w:sz w:val="28"/>
          <w:szCs w:val="28"/>
          <w:shd w:fill="FFFFFF" w:val="clear"/>
        </w:rPr>
        <w:t>ва (тис. грн)</w:t>
      </w:r>
    </w:p>
    <w:p>
      <w:pPr>
        <w:pStyle w:val="Normal"/>
        <w:jc w:val="center"/>
        <w:rPr>
          <w:b/>
          <w:b/>
          <w:bCs/>
          <w:sz w:val="27"/>
          <w:szCs w:val="27"/>
        </w:rPr>
      </w:pPr>
      <w:r>
        <w:rPr>
          <w:b/>
          <w:bCs/>
          <w:sz w:val="27"/>
          <w:szCs w:val="27"/>
        </w:rPr>
      </w:r>
    </w:p>
    <w:tbl>
      <w:tblPr>
        <w:tblW w:w="9585" w:type="dxa"/>
        <w:jc w:val="left"/>
        <w:tblInd w:w="39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896"/>
        <w:gridCol w:w="2175"/>
        <w:gridCol w:w="2514"/>
      </w:tblGrid>
      <w:tr>
        <w:trPr/>
        <w:tc>
          <w:tcPr>
            <w:tcW w:w="4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both"/>
              <w:rPr>
                <w:b/>
                <w:b/>
                <w:sz w:val="27"/>
                <w:szCs w:val="27"/>
              </w:rPr>
            </w:pPr>
            <w:r>
              <w:rPr>
                <w:b/>
                <w:sz w:val="27"/>
                <w:szCs w:val="27"/>
              </w:rPr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sz w:val="27"/>
                <w:szCs w:val="27"/>
              </w:rPr>
            </w:pPr>
            <w:r>
              <w:rPr>
                <w:b/>
                <w:sz w:val="27"/>
                <w:szCs w:val="27"/>
              </w:rPr>
              <w:t xml:space="preserve">2020 </w:t>
            </w:r>
          </w:p>
        </w:tc>
        <w:tc>
          <w:tcPr>
            <w:tcW w:w="2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b/>
                <w:sz w:val="27"/>
                <w:szCs w:val="27"/>
              </w:rPr>
              <w:t>9 місяців 2021</w:t>
            </w:r>
          </w:p>
        </w:tc>
      </w:tr>
      <w:tr>
        <w:trPr/>
        <w:tc>
          <w:tcPr>
            <w:tcW w:w="4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Всього доходів (без ПДВ)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>
                <w:highlight w:val="white"/>
              </w:rPr>
            </w:pPr>
            <w:r>
              <w:rPr>
                <w:sz w:val="27"/>
                <w:szCs w:val="27"/>
                <w:highlight w:val="white"/>
              </w:rPr>
              <w:t>15 144,0</w:t>
            </w:r>
          </w:p>
        </w:tc>
        <w:tc>
          <w:tcPr>
            <w:tcW w:w="2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>
                <w:highlight w:val="white"/>
              </w:rPr>
            </w:pPr>
            <w:r>
              <w:rPr>
                <w:sz w:val="27"/>
                <w:szCs w:val="27"/>
                <w:highlight w:val="white"/>
              </w:rPr>
              <w:t>10 723,0</w:t>
            </w:r>
          </w:p>
        </w:tc>
      </w:tr>
      <w:tr>
        <w:trPr/>
        <w:tc>
          <w:tcPr>
            <w:tcW w:w="4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Всього витрати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>
                <w:highlight w:val="white"/>
              </w:rPr>
            </w:pPr>
            <w:r>
              <w:rPr>
                <w:sz w:val="27"/>
                <w:szCs w:val="27"/>
                <w:highlight w:val="white"/>
              </w:rPr>
              <w:t>12 849,0</w:t>
            </w:r>
          </w:p>
        </w:tc>
        <w:tc>
          <w:tcPr>
            <w:tcW w:w="2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>
                <w:highlight w:val="white"/>
              </w:rPr>
            </w:pPr>
            <w:r>
              <w:rPr>
                <w:sz w:val="27"/>
                <w:szCs w:val="27"/>
                <w:highlight w:val="white"/>
              </w:rPr>
              <w:t>9 759,0</w:t>
            </w:r>
          </w:p>
        </w:tc>
      </w:tr>
      <w:tr>
        <w:trPr/>
        <w:tc>
          <w:tcPr>
            <w:tcW w:w="4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Фінансовий результат діяльності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>
                <w:highlight w:val="white"/>
              </w:rPr>
            </w:pPr>
            <w:r>
              <w:rPr>
                <w:sz w:val="27"/>
                <w:szCs w:val="27"/>
                <w:highlight w:val="white"/>
              </w:rPr>
              <w:t>2 295,0</w:t>
            </w:r>
          </w:p>
        </w:tc>
        <w:tc>
          <w:tcPr>
            <w:tcW w:w="2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>
                <w:highlight w:val="white"/>
              </w:rPr>
            </w:pPr>
            <w:r>
              <w:rPr>
                <w:sz w:val="27"/>
                <w:szCs w:val="27"/>
                <w:highlight w:val="white"/>
              </w:rPr>
              <w:t>964,0</w:t>
            </w:r>
          </w:p>
        </w:tc>
      </w:tr>
      <w:tr>
        <w:trPr/>
        <w:tc>
          <w:tcPr>
            <w:tcW w:w="4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Податок на прибуток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>
                <w:highlight w:val="white"/>
              </w:rPr>
            </w:pPr>
            <w:r>
              <w:rPr>
                <w:sz w:val="27"/>
                <w:szCs w:val="27"/>
                <w:highlight w:val="white"/>
              </w:rPr>
              <w:t>413,0</w:t>
            </w:r>
          </w:p>
        </w:tc>
        <w:tc>
          <w:tcPr>
            <w:tcW w:w="2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>
                <w:highlight w:val="yellow"/>
              </w:rPr>
            </w:pPr>
            <w:r>
              <w:rPr>
                <w:sz w:val="27"/>
                <w:szCs w:val="27"/>
                <w:highlight w:val="white"/>
              </w:rPr>
              <w:t>-</w:t>
            </w:r>
          </w:p>
        </w:tc>
      </w:tr>
      <w:tr>
        <w:trPr/>
        <w:tc>
          <w:tcPr>
            <w:tcW w:w="4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Чистий фінансовий результат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>
                <w:highlight w:val="white"/>
              </w:rPr>
            </w:pPr>
            <w:r>
              <w:rPr>
                <w:sz w:val="27"/>
                <w:szCs w:val="27"/>
                <w:highlight w:val="white"/>
              </w:rPr>
              <w:t>1 882,0</w:t>
            </w:r>
          </w:p>
        </w:tc>
        <w:tc>
          <w:tcPr>
            <w:tcW w:w="2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>
                <w:highlight w:val="white"/>
              </w:rPr>
            </w:pPr>
            <w:r>
              <w:rPr>
                <w:sz w:val="27"/>
                <w:szCs w:val="27"/>
                <w:highlight w:val="white"/>
              </w:rPr>
              <w:t>964,0</w:t>
            </w:r>
          </w:p>
        </w:tc>
      </w:tr>
    </w:tbl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567"/>
        <w:jc w:val="both"/>
        <w:rPr/>
      </w:pPr>
      <w:r>
        <w:rPr>
          <w:sz w:val="28"/>
          <w:szCs w:val="28"/>
        </w:rPr>
        <w:t xml:space="preserve">Загалом за 2020 рік та 9 місяців 2021 року підприємством сплачено до бюджетів всіх рівнів і соціальних фондів </w:t>
      </w:r>
    </w:p>
    <w:p>
      <w:pPr>
        <w:pStyle w:val="Normal"/>
        <w:ind w:firstLine="567"/>
        <w:jc w:val="both"/>
        <w:rPr>
          <w:color w:val="FF0000"/>
          <w:sz w:val="27"/>
          <w:szCs w:val="27"/>
        </w:rPr>
      </w:pPr>
      <w:r>
        <w:rPr>
          <w:color w:val="FF0000"/>
          <w:sz w:val="27"/>
          <w:szCs w:val="27"/>
        </w:rPr>
      </w:r>
    </w:p>
    <w:tbl>
      <w:tblPr>
        <w:tblW w:w="9645" w:type="dxa"/>
        <w:jc w:val="left"/>
        <w:tblInd w:w="-7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014"/>
        <w:gridCol w:w="2700"/>
        <w:gridCol w:w="2931"/>
      </w:tblGrid>
      <w:tr>
        <w:trPr/>
        <w:tc>
          <w:tcPr>
            <w:tcW w:w="4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rPr>
                <w:color w:val="FF0000"/>
                <w:sz w:val="27"/>
                <w:szCs w:val="27"/>
              </w:rPr>
            </w:pPr>
            <w:r>
              <w:rPr>
                <w:color w:val="FF0000"/>
                <w:sz w:val="27"/>
                <w:szCs w:val="27"/>
              </w:rPr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color w:val="FF0000"/>
              </w:rPr>
            </w:pPr>
            <w:r>
              <w:rPr>
                <w:b/>
                <w:color w:val="000000"/>
                <w:sz w:val="27"/>
                <w:szCs w:val="27"/>
              </w:rPr>
              <w:t xml:space="preserve">2020  </w:t>
            </w:r>
          </w:p>
        </w:tc>
        <w:tc>
          <w:tcPr>
            <w:tcW w:w="2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color w:val="FF0000"/>
                <w:sz w:val="27"/>
                <w:szCs w:val="27"/>
              </w:rPr>
            </w:pPr>
            <w:r>
              <w:rPr>
                <w:b/>
                <w:color w:val="000000"/>
                <w:sz w:val="27"/>
                <w:szCs w:val="27"/>
              </w:rPr>
              <w:t>9 місяців 2021</w:t>
            </w:r>
          </w:p>
        </w:tc>
      </w:tr>
      <w:tr>
        <w:trPr/>
        <w:tc>
          <w:tcPr>
            <w:tcW w:w="4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7"/>
                <w:szCs w:val="27"/>
              </w:rPr>
              <w:t>ПДВ (тис. грн)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2 430,7</w:t>
            </w:r>
          </w:p>
        </w:tc>
        <w:tc>
          <w:tcPr>
            <w:tcW w:w="2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1 828,3</w:t>
            </w:r>
          </w:p>
        </w:tc>
      </w:tr>
      <w:tr>
        <w:trPr/>
        <w:tc>
          <w:tcPr>
            <w:tcW w:w="4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7"/>
                <w:szCs w:val="27"/>
              </w:rPr>
              <w:t>земельного податку (</w:t>
            </w:r>
            <w:bookmarkStart w:id="0" w:name="__DdeLink__4484_2819281157"/>
            <w:r>
              <w:rPr>
                <w:sz w:val="27"/>
                <w:szCs w:val="27"/>
              </w:rPr>
              <w:t>тис. грн)</w:t>
            </w:r>
            <w:bookmarkEnd w:id="0"/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34,0</w:t>
            </w:r>
          </w:p>
        </w:tc>
        <w:tc>
          <w:tcPr>
            <w:tcW w:w="2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25,5</w:t>
            </w:r>
          </w:p>
        </w:tc>
      </w:tr>
      <w:tr>
        <w:trPr/>
        <w:tc>
          <w:tcPr>
            <w:tcW w:w="4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7"/>
                <w:szCs w:val="27"/>
              </w:rPr>
              <w:t>податок на прибуток(тис. грн)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93,1</w:t>
            </w:r>
          </w:p>
        </w:tc>
        <w:tc>
          <w:tcPr>
            <w:tcW w:w="2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354,1</w:t>
            </w:r>
          </w:p>
        </w:tc>
      </w:tr>
      <w:tr>
        <w:trPr/>
        <w:tc>
          <w:tcPr>
            <w:tcW w:w="4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7"/>
                <w:szCs w:val="27"/>
              </w:rPr>
              <w:t>Дивіденди (тис. грн)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501,8</w:t>
            </w:r>
          </w:p>
        </w:tc>
        <w:tc>
          <w:tcPr>
            <w:tcW w:w="2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143,8</w:t>
            </w:r>
          </w:p>
        </w:tc>
      </w:tr>
      <w:tr>
        <w:trPr/>
        <w:tc>
          <w:tcPr>
            <w:tcW w:w="4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7"/>
                <w:szCs w:val="27"/>
              </w:rPr>
              <w:t>ПДФО (тис. грн)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1 438,9</w:t>
            </w:r>
          </w:p>
        </w:tc>
        <w:tc>
          <w:tcPr>
            <w:tcW w:w="2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1 235,9</w:t>
            </w:r>
          </w:p>
        </w:tc>
      </w:tr>
      <w:tr>
        <w:trPr/>
        <w:tc>
          <w:tcPr>
            <w:tcW w:w="4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7"/>
                <w:szCs w:val="27"/>
              </w:rPr>
              <w:t>ЄСВ (тис. грн)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1 699,1</w:t>
            </w:r>
          </w:p>
        </w:tc>
        <w:tc>
          <w:tcPr>
            <w:tcW w:w="2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1 425,0</w:t>
            </w:r>
          </w:p>
        </w:tc>
      </w:tr>
      <w:tr>
        <w:trPr/>
        <w:tc>
          <w:tcPr>
            <w:tcW w:w="4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7"/>
                <w:szCs w:val="27"/>
              </w:rPr>
              <w:t>Військовий збір(тис. грн)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122,1</w:t>
            </w:r>
          </w:p>
        </w:tc>
        <w:tc>
          <w:tcPr>
            <w:tcW w:w="2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104,7</w:t>
            </w:r>
          </w:p>
        </w:tc>
      </w:tr>
      <w:tr>
        <w:trPr/>
        <w:tc>
          <w:tcPr>
            <w:tcW w:w="4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b/>
                <w:sz w:val="27"/>
                <w:szCs w:val="27"/>
              </w:rPr>
              <w:t>Всього (тис. грн):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/>
            </w:pPr>
            <w:bookmarkStart w:id="1" w:name="__Fieldmark__4916_2646496303"/>
            <w:r>
              <w:rPr>
                <w:sz w:val="27"/>
                <w:szCs w:val="27"/>
              </w:rPr>
              <w:t>6</w:t>
            </w:r>
            <w:bookmarkEnd w:id="1"/>
            <w:r>
              <w:rPr>
                <w:sz w:val="27"/>
                <w:szCs w:val="27"/>
              </w:rPr>
              <w:t> 139,7</w:t>
            </w:r>
          </w:p>
        </w:tc>
        <w:tc>
          <w:tcPr>
            <w:tcW w:w="2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5 117,3</w:t>
            </w:r>
          </w:p>
        </w:tc>
      </w:tr>
    </w:tbl>
    <w:p>
      <w:pPr>
        <w:pStyle w:val="Normal"/>
        <w:ind w:firstLine="567"/>
        <w:jc w:val="both"/>
        <w:rPr>
          <w:b/>
          <w:b/>
          <w:bCs/>
          <w:sz w:val="27"/>
          <w:szCs w:val="27"/>
        </w:rPr>
      </w:pPr>
      <w:r>
        <w:rPr>
          <w:b/>
          <w:bCs/>
          <w:sz w:val="27"/>
          <w:szCs w:val="27"/>
        </w:rPr>
      </w:r>
    </w:p>
    <w:p>
      <w:pPr>
        <w:pStyle w:val="Normal"/>
        <w:ind w:firstLine="567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Виконання робіт з обслуговування будинків і поточному </w:t>
      </w:r>
    </w:p>
    <w:p>
      <w:pPr>
        <w:pStyle w:val="Normal"/>
        <w:ind w:firstLine="567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ремонту ЖКП № 7</w:t>
      </w:r>
    </w:p>
    <w:p>
      <w:pPr>
        <w:pStyle w:val="Normal"/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 попередження передчасного зносу, відвернення аварій та підтримання будинків в технічно справному стані інженерно-технічними працівниками ЖКП № 7 щороку проводяться весняно-літні та осінньо-зимові обходи. За результатами обстежень на підприємстві розробляються заходи із підготовки житлового фонду до роботи в осінньо-зимовий період. 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Підприємством для проведення робіт, згідно затверджених заходів, окрім своїх, залучаються кошти мешканців будинків, зокрема: на ремонт сходових кліток, ремонт покрівель, заміни </w:t>
      </w:r>
      <w:r>
        <w:rPr>
          <w:sz w:val="28"/>
          <w:szCs w:val="28"/>
          <w:highlight w:val="white"/>
        </w:rPr>
        <w:t>стояків холодного водопостачання.</w:t>
      </w:r>
    </w:p>
    <w:p>
      <w:pPr>
        <w:pStyle w:val="Normal"/>
        <w:jc w:val="center"/>
        <w:rPr>
          <w:b/>
          <w:b/>
          <w:sz w:val="27"/>
          <w:szCs w:val="27"/>
        </w:rPr>
      </w:pPr>
      <w:r>
        <w:rPr>
          <w:b/>
          <w:sz w:val="27"/>
          <w:szCs w:val="27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b/>
          <w:sz w:val="28"/>
          <w:szCs w:val="28"/>
        </w:rPr>
        <w:t>Ремонти житлових будинків</w:t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tbl>
      <w:tblPr>
        <w:tblW w:w="9462" w:type="dxa"/>
        <w:jc w:val="left"/>
        <w:tblInd w:w="123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31"/>
        <w:gridCol w:w="3915"/>
        <w:gridCol w:w="2160"/>
        <w:gridCol w:w="2755"/>
      </w:tblGrid>
      <w:tr>
        <w:trPr/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</w:rPr>
            </w:pPr>
            <w:r>
              <w:rPr>
                <w:b/>
                <w:sz w:val="27"/>
                <w:szCs w:val="27"/>
              </w:rPr>
              <w:t xml:space="preserve">№ </w:t>
            </w:r>
            <w:r>
              <w:rPr>
                <w:b/>
                <w:sz w:val="27"/>
                <w:szCs w:val="27"/>
              </w:rPr>
              <w:t>з/п</w:t>
            </w:r>
          </w:p>
        </w:tc>
        <w:tc>
          <w:tcPr>
            <w:tcW w:w="3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sz w:val="27"/>
                <w:szCs w:val="27"/>
              </w:rPr>
            </w:pPr>
            <w:r>
              <w:rPr>
                <w:b/>
                <w:sz w:val="27"/>
                <w:szCs w:val="27"/>
              </w:rPr>
              <w:t>Вид робіт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sz w:val="27"/>
                <w:szCs w:val="27"/>
              </w:rPr>
            </w:pPr>
            <w:r>
              <w:rPr>
                <w:b/>
                <w:sz w:val="27"/>
                <w:szCs w:val="27"/>
              </w:rPr>
              <w:t>2020 рік</w:t>
            </w:r>
          </w:p>
        </w:tc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sz w:val="27"/>
                <w:szCs w:val="27"/>
              </w:rPr>
            </w:pPr>
            <w:r>
              <w:rPr>
                <w:b/>
                <w:sz w:val="27"/>
                <w:szCs w:val="27"/>
              </w:rPr>
              <w:t>9 місяців 2021</w:t>
            </w:r>
          </w:p>
        </w:tc>
      </w:tr>
      <w:tr>
        <w:trPr/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1.</w:t>
            </w:r>
          </w:p>
        </w:tc>
        <w:tc>
          <w:tcPr>
            <w:tcW w:w="3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Ремонт м’яких руберойдних покрівель, використано руберойду:</w:t>
            </w:r>
          </w:p>
          <w:p>
            <w:pPr>
              <w:pStyle w:val="Normal"/>
              <w:widowControl w:val="false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 ЖКП № 7</w:t>
            </w:r>
          </w:p>
          <w:p>
            <w:pPr>
              <w:pStyle w:val="Normal"/>
              <w:widowControl w:val="false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 матеріали мешканців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843 м</w:t>
            </w:r>
            <w:r>
              <w:rPr>
                <w:sz w:val="27"/>
                <w:szCs w:val="27"/>
                <w:vertAlign w:val="superscript"/>
              </w:rPr>
              <w:t>2</w:t>
            </w:r>
            <w:r>
              <w:rPr>
                <w:sz w:val="27"/>
                <w:szCs w:val="27"/>
              </w:rPr>
              <w:t xml:space="preserve"> </w:t>
            </w:r>
          </w:p>
          <w:p>
            <w:pPr>
              <w:pStyle w:val="Normal"/>
              <w:widowControl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в 31 буд.</w:t>
            </w:r>
          </w:p>
          <w:p>
            <w:pPr>
              <w:pStyle w:val="Normal"/>
              <w:widowControl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Normal"/>
              <w:widowControl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99 рул.</w:t>
            </w:r>
          </w:p>
          <w:p>
            <w:pPr>
              <w:pStyle w:val="Normal"/>
              <w:widowControl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17 рул.</w:t>
            </w:r>
          </w:p>
        </w:tc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1145 м</w:t>
            </w:r>
            <w:r>
              <w:rPr>
                <w:sz w:val="27"/>
                <w:szCs w:val="27"/>
                <w:vertAlign w:val="superscript"/>
              </w:rPr>
              <w:t>2</w:t>
            </w:r>
            <w:r>
              <w:rPr>
                <w:sz w:val="27"/>
                <w:szCs w:val="27"/>
              </w:rPr>
              <w:t xml:space="preserve"> </w:t>
            </w:r>
          </w:p>
          <w:p>
            <w:pPr>
              <w:pStyle w:val="Normal"/>
              <w:widowControl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в 28 буд.</w:t>
            </w:r>
          </w:p>
          <w:p>
            <w:pPr>
              <w:pStyle w:val="Normal"/>
              <w:widowControl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Normal"/>
              <w:widowControl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119 рул.</w:t>
            </w:r>
          </w:p>
          <w:p>
            <w:pPr>
              <w:pStyle w:val="Normal"/>
              <w:widowControl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24 рул.</w:t>
            </w:r>
          </w:p>
        </w:tc>
      </w:tr>
      <w:tr>
        <w:trPr/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2.</w:t>
            </w:r>
          </w:p>
        </w:tc>
        <w:tc>
          <w:tcPr>
            <w:tcW w:w="3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Ремонт шиферних покрівель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31 м</w:t>
            </w:r>
            <w:r>
              <w:rPr>
                <w:sz w:val="27"/>
                <w:szCs w:val="27"/>
                <w:vertAlign w:val="superscript"/>
              </w:rPr>
              <w:t>2</w:t>
            </w:r>
          </w:p>
        </w:tc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16,5 м</w:t>
            </w:r>
            <w:r>
              <w:rPr>
                <w:sz w:val="27"/>
                <w:szCs w:val="27"/>
                <w:vertAlign w:val="superscript"/>
              </w:rPr>
              <w:t>2</w:t>
            </w:r>
          </w:p>
        </w:tc>
      </w:tr>
      <w:tr>
        <w:trPr/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3.</w:t>
            </w:r>
          </w:p>
        </w:tc>
        <w:tc>
          <w:tcPr>
            <w:tcW w:w="3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Заміна водовідвідних пристроїв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45 м.п. в 18 буд.</w:t>
            </w:r>
          </w:p>
        </w:tc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32 м.п. в 10 буд.</w:t>
            </w:r>
          </w:p>
        </w:tc>
      </w:tr>
      <w:tr>
        <w:trPr/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4.</w:t>
            </w:r>
          </w:p>
        </w:tc>
        <w:tc>
          <w:tcPr>
            <w:tcW w:w="3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Сходові клітки:</w:t>
            </w:r>
          </w:p>
          <w:p>
            <w:pPr>
              <w:pStyle w:val="Normal"/>
              <w:widowControl w:val="false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 капітальний ремонт</w:t>
            </w:r>
          </w:p>
          <w:p>
            <w:pPr>
              <w:pStyle w:val="Normal"/>
              <w:widowControl w:val="false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 косметичний ремонт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Normal"/>
              <w:widowControl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11 під’їздів</w:t>
            </w:r>
          </w:p>
          <w:p>
            <w:pPr>
              <w:pStyle w:val="Normal"/>
              <w:widowControl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 під’їздів</w:t>
            </w:r>
          </w:p>
        </w:tc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Normal"/>
              <w:widowControl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10 під’їздів</w:t>
            </w:r>
          </w:p>
          <w:p>
            <w:pPr>
              <w:pStyle w:val="Normal"/>
              <w:widowControl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3 під’їзди</w:t>
            </w:r>
          </w:p>
        </w:tc>
      </w:tr>
      <w:tr>
        <w:trPr/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5.</w:t>
            </w:r>
          </w:p>
        </w:tc>
        <w:tc>
          <w:tcPr>
            <w:tcW w:w="3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Оголовки димовентиляційних каналів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7 шт. в 3 буд.</w:t>
            </w:r>
          </w:p>
        </w:tc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11 шт. в 2 буд.</w:t>
            </w:r>
          </w:p>
        </w:tc>
      </w:tr>
      <w:tr>
        <w:trPr/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6.</w:t>
            </w:r>
          </w:p>
        </w:tc>
        <w:tc>
          <w:tcPr>
            <w:tcW w:w="3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Заміна труб різних діаметрів</w:t>
            </w:r>
          </w:p>
          <w:p>
            <w:pPr>
              <w:pStyle w:val="Normal"/>
              <w:widowControl w:val="false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 ЖКП № 7</w:t>
            </w:r>
          </w:p>
          <w:p>
            <w:pPr>
              <w:pStyle w:val="Normal"/>
              <w:widowControl w:val="false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 матеріали мешканців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374 м.п.</w:t>
            </w:r>
          </w:p>
          <w:p>
            <w:pPr>
              <w:pStyle w:val="Normal"/>
              <w:widowControl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316 м.п.</w:t>
            </w:r>
          </w:p>
          <w:p>
            <w:pPr>
              <w:pStyle w:val="Normal"/>
              <w:widowControl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58 м.п.</w:t>
            </w:r>
          </w:p>
        </w:tc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300 м.п.</w:t>
            </w:r>
          </w:p>
          <w:p>
            <w:pPr>
              <w:pStyle w:val="Normal"/>
              <w:widowControl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247 м.п.</w:t>
            </w:r>
          </w:p>
          <w:p>
            <w:pPr>
              <w:pStyle w:val="Normal"/>
              <w:widowControl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53 м.п.</w:t>
            </w:r>
          </w:p>
        </w:tc>
      </w:tr>
      <w:tr>
        <w:trPr/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7.</w:t>
            </w:r>
          </w:p>
        </w:tc>
        <w:tc>
          <w:tcPr>
            <w:tcW w:w="3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Заміна вентилів, кранів</w:t>
            </w:r>
          </w:p>
          <w:p>
            <w:pPr>
              <w:pStyle w:val="Normal"/>
              <w:widowControl w:val="false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 ЖКП № 7</w:t>
            </w:r>
          </w:p>
          <w:p>
            <w:pPr>
              <w:pStyle w:val="Normal"/>
              <w:widowControl w:val="false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 матеріали мешканців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630 шт.</w:t>
            </w:r>
          </w:p>
          <w:p>
            <w:pPr>
              <w:pStyle w:val="Normal"/>
              <w:widowControl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209 шт.</w:t>
            </w:r>
          </w:p>
          <w:p>
            <w:pPr>
              <w:pStyle w:val="Normal"/>
              <w:widowControl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421 шт.</w:t>
            </w:r>
          </w:p>
        </w:tc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593 шт.</w:t>
            </w:r>
          </w:p>
          <w:p>
            <w:pPr>
              <w:pStyle w:val="Normal"/>
              <w:widowControl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164 шт.</w:t>
            </w:r>
          </w:p>
          <w:p>
            <w:pPr>
              <w:pStyle w:val="Normal"/>
              <w:widowControl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429 шт.</w:t>
            </w:r>
          </w:p>
        </w:tc>
      </w:tr>
      <w:tr>
        <w:trPr/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8.</w:t>
            </w:r>
          </w:p>
        </w:tc>
        <w:tc>
          <w:tcPr>
            <w:tcW w:w="3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Заміна ввідної запірної арматури (засувки)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27 шт.</w:t>
            </w:r>
          </w:p>
        </w:tc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11 шт.</w:t>
            </w:r>
          </w:p>
        </w:tc>
      </w:tr>
      <w:tr>
        <w:trPr/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9.</w:t>
            </w:r>
          </w:p>
        </w:tc>
        <w:tc>
          <w:tcPr>
            <w:tcW w:w="3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Заміна ел.проводів та кабелів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492 м.п.</w:t>
            </w:r>
          </w:p>
        </w:tc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318 м.п.</w:t>
            </w:r>
          </w:p>
        </w:tc>
      </w:tr>
      <w:tr>
        <w:trPr/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10.</w:t>
            </w:r>
          </w:p>
        </w:tc>
        <w:tc>
          <w:tcPr>
            <w:tcW w:w="3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Заміна світильників підвісних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44 шт.</w:t>
            </w:r>
          </w:p>
        </w:tc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--</w:t>
            </w:r>
          </w:p>
        </w:tc>
      </w:tr>
      <w:tr>
        <w:trPr/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11.</w:t>
            </w:r>
          </w:p>
        </w:tc>
        <w:tc>
          <w:tcPr>
            <w:tcW w:w="3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Заміна світлодіодних світильників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669 шт.</w:t>
            </w:r>
          </w:p>
        </w:tc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414 шт.</w:t>
            </w:r>
          </w:p>
        </w:tc>
      </w:tr>
    </w:tbl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Виконано значний об’єм різних ремонтно-будівельних робіт (ремонт цоколів, поверхонь входу в під’їзди, ремонт дверей та віконних рам, скління вікон сходових кліток та підвальних приміщень тощо).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Підприємством ще на початку 2016 року завершено всі роботи з переведення багатоквартирних будинків з загального обліку на поквартирний, переобладнано електрощитові житлових будинків із запобіжників на автоматичні вимикачі, що значно зменшило споживання електричної енергії у багатоповерхових будинках. З метою подальшої енергоекономіїї, ЖКП №7 облаштовує сходові клітки будинків світлодіодними лампами та платами.</w:t>
      </w:r>
    </w:p>
    <w:p>
      <w:pPr>
        <w:pStyle w:val="Normal"/>
        <w:ind w:firstLine="624"/>
        <w:jc w:val="both"/>
        <w:rPr>
          <w:sz w:val="27"/>
          <w:szCs w:val="27"/>
        </w:rPr>
      </w:pPr>
      <w:r>
        <w:rPr>
          <w:sz w:val="28"/>
          <w:szCs w:val="28"/>
        </w:rPr>
        <w:t>Щороку в літній період проводиться триразове косіння дворових територій, загальна площа викошених газонів у 2020 році – 188,1 тис.м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>, у 2021 році – 242,1 тис.м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 причому косіння прибудинкових територій проводилось тільки механізовано. </w:t>
      </w:r>
    </w:p>
    <w:p>
      <w:pPr>
        <w:pStyle w:val="Normal"/>
        <w:ind w:firstLine="680"/>
        <w:jc w:val="both"/>
        <w:rPr>
          <w:sz w:val="27"/>
          <w:szCs w:val="27"/>
        </w:rPr>
      </w:pPr>
      <w:r>
        <w:rPr>
          <w:sz w:val="28"/>
          <w:szCs w:val="28"/>
        </w:rPr>
        <w:t>Окрім того, у 2020 році проводилась дворазова механізована стрижка живоплоту площею 5 619 м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>, у 2021 році триразова стрижка на площі 11 426 </w:t>
      </w:r>
      <w:bookmarkStart w:id="2" w:name="_GoBack"/>
      <w:bookmarkEnd w:id="2"/>
      <w:r>
        <w:rPr>
          <w:sz w:val="28"/>
          <w:szCs w:val="28"/>
        </w:rPr>
        <w:t>м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>.</w:t>
      </w:r>
    </w:p>
    <w:p>
      <w:pPr>
        <w:pStyle w:val="Normal"/>
        <w:ind w:firstLine="720"/>
        <w:jc w:val="both"/>
        <w:rPr/>
      </w:pPr>
      <w:r>
        <w:rPr/>
      </w:r>
    </w:p>
    <w:p>
      <w:pPr>
        <w:pStyle w:val="Normal"/>
        <w:tabs>
          <w:tab w:val="clear" w:pos="720"/>
          <w:tab w:val="left" w:pos="3386" w:leader="none"/>
        </w:tabs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Інформація з претензійно-позовної роботи ЖКП№ 7 </w:t>
      </w:r>
    </w:p>
    <w:p>
      <w:pPr>
        <w:pStyle w:val="Normal"/>
        <w:tabs>
          <w:tab w:val="clear" w:pos="720"/>
          <w:tab w:val="left" w:pos="3386" w:leader="none"/>
        </w:tabs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за період 2020 рік – 9 місяців 2021 року</w:t>
      </w:r>
    </w:p>
    <w:p>
      <w:pPr>
        <w:pStyle w:val="Normal"/>
        <w:jc w:val="center"/>
        <w:rPr/>
      </w:pPr>
      <w:r>
        <w:rPr/>
        <w:t xml:space="preserve"> </w:t>
      </w:r>
    </w:p>
    <w:tbl>
      <w:tblPr>
        <w:tblW w:w="9462" w:type="dxa"/>
        <w:jc w:val="left"/>
        <w:tblInd w:w="168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31"/>
        <w:gridCol w:w="4004"/>
        <w:gridCol w:w="2025"/>
        <w:gridCol w:w="2801"/>
      </w:tblGrid>
      <w:tr>
        <w:trPr/>
        <w:tc>
          <w:tcPr>
            <w:tcW w:w="6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Normal"/>
              <w:widowControl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№ </w:t>
            </w:r>
            <w:r>
              <w:rPr>
                <w:sz w:val="27"/>
                <w:szCs w:val="27"/>
              </w:rPr>
              <w:t>з/п</w:t>
            </w:r>
          </w:p>
        </w:tc>
        <w:tc>
          <w:tcPr>
            <w:tcW w:w="40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</w:tc>
        <w:tc>
          <w:tcPr>
            <w:tcW w:w="48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117" w:hanging="117"/>
              <w:jc w:val="center"/>
              <w:rPr>
                <w:highlight w:val="white"/>
              </w:rPr>
            </w:pPr>
            <w:r>
              <w:rPr>
                <w:sz w:val="27"/>
                <w:szCs w:val="27"/>
                <w:highlight w:val="white"/>
              </w:rPr>
              <w:t>Всього</w:t>
            </w:r>
          </w:p>
        </w:tc>
      </w:tr>
      <w:tr>
        <w:trPr/>
        <w:tc>
          <w:tcPr>
            <w:tcW w:w="63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</w:tc>
        <w:tc>
          <w:tcPr>
            <w:tcW w:w="400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117" w:hanging="117"/>
              <w:jc w:val="center"/>
              <w:rPr/>
            </w:pPr>
            <w:r>
              <w:rPr>
                <w:sz w:val="27"/>
                <w:szCs w:val="27"/>
              </w:rPr>
              <w:t>2020 рік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117" w:hanging="117"/>
              <w:jc w:val="center"/>
              <w:rPr/>
            </w:pPr>
            <w:r>
              <w:rPr>
                <w:sz w:val="27"/>
                <w:szCs w:val="27"/>
              </w:rPr>
              <w:t>9 місяців 2021 року</w:t>
            </w:r>
          </w:p>
        </w:tc>
      </w:tr>
      <w:tr>
        <w:trPr/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</w:rPr>
              <w:t>1.1.</w:t>
            </w:r>
          </w:p>
        </w:tc>
        <w:tc>
          <w:tcPr>
            <w:tcW w:w="4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Кількість поданих позовів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</w:t>
            </w:r>
          </w:p>
        </w:tc>
      </w:tr>
      <w:tr>
        <w:trPr/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</w:rPr>
              <w:t>1.2.</w:t>
            </w:r>
          </w:p>
        </w:tc>
        <w:tc>
          <w:tcPr>
            <w:tcW w:w="4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Кількість поданих судових наказів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108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120</w:t>
            </w:r>
          </w:p>
        </w:tc>
      </w:tr>
      <w:tr>
        <w:trPr/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2.</w:t>
            </w:r>
          </w:p>
        </w:tc>
        <w:tc>
          <w:tcPr>
            <w:tcW w:w="4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highlight w:val="white"/>
              </w:rPr>
            </w:pPr>
            <w:r>
              <w:rPr>
                <w:sz w:val="27"/>
                <w:szCs w:val="27"/>
                <w:highlight w:val="white"/>
              </w:rPr>
              <w:t>На суму (тис. грн)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363,6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489,8</w:t>
            </w:r>
          </w:p>
        </w:tc>
      </w:tr>
      <w:tr>
        <w:trPr/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3.</w:t>
            </w:r>
          </w:p>
        </w:tc>
        <w:tc>
          <w:tcPr>
            <w:tcW w:w="4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Розглянуто позовів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</w:t>
            </w:r>
          </w:p>
        </w:tc>
      </w:tr>
      <w:tr>
        <w:trPr/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4.</w:t>
            </w:r>
          </w:p>
        </w:tc>
        <w:tc>
          <w:tcPr>
            <w:tcW w:w="4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На суму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3,7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13,3</w:t>
            </w:r>
          </w:p>
        </w:tc>
      </w:tr>
      <w:tr>
        <w:trPr/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5.</w:t>
            </w:r>
          </w:p>
        </w:tc>
        <w:tc>
          <w:tcPr>
            <w:tcW w:w="4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Кількість укладених договорів на реструктуризацію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7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6</w:t>
            </w:r>
          </w:p>
        </w:tc>
      </w:tr>
      <w:tr>
        <w:trPr/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6.</w:t>
            </w:r>
          </w:p>
        </w:tc>
        <w:tc>
          <w:tcPr>
            <w:tcW w:w="4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highlight w:val="white"/>
              </w:rPr>
            </w:pPr>
            <w:r>
              <w:rPr>
                <w:sz w:val="27"/>
                <w:szCs w:val="27"/>
                <w:highlight w:val="white"/>
              </w:rPr>
              <w:t>На суму (тис. грн)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29,5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20,5</w:t>
            </w:r>
          </w:p>
        </w:tc>
      </w:tr>
      <w:tr>
        <w:trPr/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7.</w:t>
            </w:r>
          </w:p>
        </w:tc>
        <w:tc>
          <w:tcPr>
            <w:tcW w:w="4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Подано до стягнення виконавчих документів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246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323</w:t>
            </w:r>
          </w:p>
        </w:tc>
      </w:tr>
      <w:tr>
        <w:trPr/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8.</w:t>
            </w:r>
          </w:p>
        </w:tc>
        <w:tc>
          <w:tcPr>
            <w:tcW w:w="4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highlight w:val="white"/>
              </w:rPr>
            </w:pPr>
            <w:r>
              <w:rPr>
                <w:sz w:val="27"/>
                <w:szCs w:val="27"/>
                <w:highlight w:val="white"/>
              </w:rPr>
              <w:t>На суму (тис. грн)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789,6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12086</w:t>
            </w:r>
          </w:p>
        </w:tc>
      </w:tr>
      <w:tr>
        <w:trPr/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9.</w:t>
            </w:r>
          </w:p>
        </w:tc>
        <w:tc>
          <w:tcPr>
            <w:tcW w:w="4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Реально надійшло коштів по виконавчих листах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277,4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262,5</w:t>
            </w:r>
          </w:p>
        </w:tc>
      </w:tr>
      <w:tr>
        <w:trPr>
          <w:trHeight w:val="330" w:hRule="atLeast"/>
        </w:trPr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10.</w:t>
            </w:r>
          </w:p>
        </w:tc>
        <w:tc>
          <w:tcPr>
            <w:tcW w:w="4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Всього отримано коштів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277,4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262,5</w:t>
            </w:r>
          </w:p>
        </w:tc>
      </w:tr>
    </w:tbl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Показником діяльності підприємства є входження протягом 2017 –2021 років в топ - галузевого рейтингу за результатами аналізу фінансово-економічних показників у Національному бізнес-рейтингу України та отримання нагороди «Лідер галузі». Так, за результатами рейтингового аналізу суб’єктів господарювання України, проведеного у 2019 році, підприємство здобуло </w:t>
      </w:r>
      <w:r>
        <w:rPr>
          <w:sz w:val="28"/>
          <w:szCs w:val="28"/>
          <w:shd w:fill="FFFFFF" w:val="clear"/>
        </w:rPr>
        <w:t>перше</w:t>
      </w:r>
      <w:r>
        <w:rPr>
          <w:sz w:val="28"/>
          <w:szCs w:val="28"/>
          <w:highlight w:val="white"/>
        </w:rPr>
        <w:t xml:space="preserve"> місце серед державних та комунальних підприємств галузі Волинській області і </w:t>
      </w:r>
      <w:r>
        <w:rPr>
          <w:sz w:val="28"/>
          <w:szCs w:val="28"/>
          <w:shd w:fill="FFFFFF" w:val="clear"/>
        </w:rPr>
        <w:t>третє</w:t>
      </w:r>
      <w:r>
        <w:rPr>
          <w:sz w:val="28"/>
          <w:szCs w:val="28"/>
          <w:highlight w:val="white"/>
        </w:rPr>
        <w:t xml:space="preserve"> місце в Україні.</w:t>
      </w:r>
    </w:p>
    <w:p>
      <w:pPr>
        <w:pStyle w:val="Normal"/>
        <w:ind w:firstLine="567"/>
        <w:jc w:val="both"/>
        <w:rPr/>
      </w:pPr>
      <w:r>
        <w:rPr>
          <w:sz w:val="28"/>
          <w:szCs w:val="28"/>
        </w:rPr>
        <w:t>У 2021 році щодо підсумків Національного бізнес-рейтингу 2020 року підприємство зайняло</w:t>
      </w:r>
      <w:r>
        <w:rPr>
          <w:sz w:val="28"/>
          <w:szCs w:val="28"/>
          <w:highlight w:val="white"/>
        </w:rPr>
        <w:t xml:space="preserve"> </w:t>
      </w:r>
      <w:r>
        <w:rPr>
          <w:sz w:val="28"/>
          <w:szCs w:val="28"/>
          <w:shd w:fill="FFFFFF" w:val="clear"/>
        </w:rPr>
        <w:t xml:space="preserve">перше </w:t>
      </w:r>
      <w:r>
        <w:rPr>
          <w:sz w:val="28"/>
          <w:szCs w:val="28"/>
          <w:highlight w:val="white"/>
        </w:rPr>
        <w:t>місце с</w:t>
      </w:r>
      <w:r>
        <w:rPr>
          <w:sz w:val="28"/>
          <w:szCs w:val="28"/>
        </w:rPr>
        <w:t>еред суб’єктів господарювання галузі Україні в номінації «Результативність та рентабельність».</w:t>
      </w:r>
    </w:p>
    <w:p>
      <w:pPr>
        <w:pStyle w:val="Normal"/>
        <w:ind w:firstLine="567"/>
        <w:jc w:val="both"/>
        <w:rPr/>
      </w:pPr>
      <w:r>
        <w:rPr>
          <w:sz w:val="28"/>
          <w:szCs w:val="28"/>
        </w:rPr>
        <w:t>У 2022 році планується завершення ремонтних робіт :</w:t>
      </w:r>
    </w:p>
    <w:p>
      <w:pPr>
        <w:pStyle w:val="Normal"/>
        <w:ind w:firstLine="567"/>
        <w:jc w:val="both"/>
        <w:rPr/>
      </w:pPr>
      <w:r>
        <w:rPr>
          <w:sz w:val="28"/>
          <w:szCs w:val="28"/>
        </w:rPr>
        <w:t>- з переведення електрощитових житлових будинків із запобіжників на автоматичні вимикачі;</w:t>
      </w:r>
    </w:p>
    <w:p>
      <w:pPr>
        <w:pStyle w:val="Normal"/>
        <w:ind w:firstLine="567"/>
        <w:jc w:val="both"/>
        <w:rPr/>
      </w:pPr>
      <w:r>
        <w:rPr>
          <w:sz w:val="28"/>
          <w:szCs w:val="28"/>
        </w:rPr>
        <w:t xml:space="preserve">- з встановлення в будинках енергозберігаючих </w:t>
      </w:r>
      <w:r>
        <w:rPr>
          <w:sz w:val="28"/>
          <w:szCs w:val="28"/>
          <w:lang w:val="en-US"/>
        </w:rPr>
        <w:t>LED</w:t>
      </w:r>
      <w:r>
        <w:rPr>
          <w:sz w:val="28"/>
          <w:szCs w:val="28"/>
        </w:rPr>
        <w:t>-світильників;</w:t>
      </w:r>
    </w:p>
    <w:p>
      <w:pPr>
        <w:pStyle w:val="Normal"/>
        <w:ind w:firstLine="567"/>
        <w:jc w:val="both"/>
        <w:rPr/>
      </w:pPr>
      <w:r>
        <w:rPr>
          <w:sz w:val="28"/>
          <w:szCs w:val="28"/>
        </w:rPr>
        <w:t>- з встановлення систем ОДС (оперативно - диспечерська служба) «Промінь» на ліфтах житлових будинків;</w:t>
      </w:r>
    </w:p>
    <w:p>
      <w:pPr>
        <w:pStyle w:val="Normal"/>
        <w:ind w:firstLine="567"/>
        <w:jc w:val="both"/>
        <w:rPr/>
      </w:pPr>
      <w:r>
        <w:rPr>
          <w:sz w:val="28"/>
          <w:szCs w:val="28"/>
        </w:rPr>
        <w:t>Також планується проведення оновлення засобів малої механізації та обладнання для виконання робіт з поточного ремонту конструктивних елементів та інженерних мереж житлових будинків.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BodyTextIndent2"/>
        <w:tabs>
          <w:tab w:val="clear" w:pos="720"/>
          <w:tab w:val="left" w:pos="0" w:leader="none"/>
        </w:tabs>
        <w:spacing w:lineRule="auto" w:line="240" w:before="0" w:after="0"/>
        <w:ind w:left="0" w:hanging="0"/>
        <w:rPr>
          <w:sz w:val="28"/>
          <w:szCs w:val="28"/>
        </w:rPr>
      </w:pPr>
      <w:r>
        <w:rPr>
          <w:sz w:val="28"/>
          <w:szCs w:val="28"/>
        </w:rPr>
        <w:t xml:space="preserve">Директор житлово-комунального </w:t>
      </w:r>
    </w:p>
    <w:p>
      <w:pPr>
        <w:pStyle w:val="BodyTextIndent2"/>
        <w:tabs>
          <w:tab w:val="clear" w:pos="720"/>
          <w:tab w:val="left" w:pos="0" w:leader="none"/>
        </w:tabs>
        <w:spacing w:lineRule="auto" w:line="240" w:before="0" w:after="0"/>
        <w:ind w:left="0" w:hanging="0"/>
        <w:rPr/>
      </w:pPr>
      <w:r>
        <w:rPr>
          <w:sz w:val="28"/>
          <w:szCs w:val="28"/>
        </w:rPr>
        <w:t>підприємства № 7                                                                Микола ГАРБАРЧУК</w:t>
      </w:r>
    </w:p>
    <w:sectPr>
      <w:headerReference w:type="default" r:id="rId2"/>
      <w:type w:val="nextPage"/>
      <w:pgSz w:w="11906" w:h="16838"/>
      <w:pgMar w:left="1985" w:right="567" w:header="284" w:top="567" w:footer="0" w:bottom="1134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Top of Page)"/>
        <w:docPartUnique w:val="true"/>
      </w:docPartObj>
      <w:id w:val="2040332521"/>
    </w:sdtPr>
    <w:sdtContent>
      <w:p>
        <w:pPr>
          <w:pStyle w:val="Style24"/>
          <w:jc w:val="center"/>
          <w:rPr/>
        </w:pPr>
        <w:r>
          <w:rPr>
            <w:sz w:val="28"/>
            <w:szCs w:val="28"/>
          </w:rPr>
          <w:fldChar w:fldCharType="begin"/>
        </w:r>
        <w:r>
          <w:rPr>
            <w:sz w:val="28"/>
            <w:szCs w:val="28"/>
          </w:rPr>
          <w:instrText> PAGE </w:instrText>
        </w:r>
        <w:r>
          <w:rPr>
            <w:sz w:val="28"/>
            <w:szCs w:val="28"/>
          </w:rPr>
          <w:fldChar w:fldCharType="separate"/>
        </w:r>
        <w:r>
          <w:rPr>
            <w:sz w:val="28"/>
            <w:szCs w:val="28"/>
          </w:rPr>
          <w:t>6</w:t>
        </w:r>
        <w:r>
          <w:rPr>
            <w:sz w:val="28"/>
            <w:szCs w:val="28"/>
          </w:rPr>
          <w:fldChar w:fldCharType="end"/>
        </w:r>
      </w:p>
    </w:sdtContent>
  </w:sdt>
  <w:p>
    <w:pPr>
      <w:pStyle w:val="Style24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pStyle w:val="4"/>
      <w:numFmt w:val="none"/>
      <w:suff w:val="nothing"/>
      <w:lvlText w:val=""/>
      <w:lvlJc w:val="left"/>
      <w:pPr>
        <w:ind w:left="0" w:hanging="0"/>
      </w:pPr>
    </w:lvl>
    <w:lvl w:ilvl="4">
      <w:start w:val="1"/>
      <w:pStyle w:val="5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fals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 Unicode MS"/>
        <w:szCs w:val="24"/>
        <w:lang w:val="uk-UA" w:eastAsia="zh-CN" w:bidi="hi-I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4">
    <w:name w:val="Heading 4"/>
    <w:basedOn w:val="Normal"/>
    <w:next w:val="Normal"/>
    <w:qFormat/>
    <w:pPr>
      <w:keepNext w:val="true"/>
      <w:numPr>
        <w:ilvl w:val="3"/>
        <w:numId w:val="1"/>
      </w:numPr>
      <w:ind w:left="-180" w:hanging="0"/>
      <w:jc w:val="center"/>
      <w:outlineLvl w:val="3"/>
    </w:pPr>
    <w:rPr>
      <w:sz w:val="28"/>
      <w:szCs w:val="28"/>
    </w:rPr>
  </w:style>
  <w:style w:type="paragraph" w:styleId="5">
    <w:name w:val="Heading 5"/>
    <w:basedOn w:val="Normal"/>
    <w:next w:val="Normal"/>
    <w:qFormat/>
    <w:pPr>
      <w:keepNext w:val="true"/>
      <w:numPr>
        <w:ilvl w:val="4"/>
        <w:numId w:val="1"/>
      </w:numPr>
      <w:jc w:val="center"/>
      <w:outlineLvl w:val="4"/>
    </w:pPr>
    <w:rPr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>
      <w:rFonts w:ascii="Times New Roman" w:hAnsi="Times New Roman" w:eastAsia="Times New Roman" w:cs="Times New Roman"/>
    </w:rPr>
  </w:style>
  <w:style w:type="character" w:styleId="WW8Num1z1" w:customStyle="1">
    <w:name w:val="WW8Num1z1"/>
    <w:qFormat/>
    <w:rPr>
      <w:rFonts w:ascii="Courier New" w:hAnsi="Courier New" w:cs="Courier New"/>
    </w:rPr>
  </w:style>
  <w:style w:type="character" w:styleId="WW8Num1z2" w:customStyle="1">
    <w:name w:val="WW8Num1z2"/>
    <w:qFormat/>
    <w:rPr>
      <w:rFonts w:ascii="Wingdings" w:hAnsi="Wingdings" w:cs="Wingdings"/>
    </w:rPr>
  </w:style>
  <w:style w:type="character" w:styleId="WW8Num1z3" w:customStyle="1">
    <w:name w:val="WW8Num1z3"/>
    <w:qFormat/>
    <w:rPr>
      <w:rFonts w:ascii="Symbol" w:hAnsi="Symbol" w:cs="Symbol"/>
    </w:rPr>
  </w:style>
  <w:style w:type="character" w:styleId="WW8Num2z0" w:customStyle="1">
    <w:name w:val="WW8Num2z0"/>
    <w:qFormat/>
    <w:rPr>
      <w:rFonts w:ascii="Times New Roman" w:hAnsi="Times New Roman" w:eastAsia="Times New Roman" w:cs="Times New Roman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3" w:customStyle="1">
    <w:name w:val="WW8Num2z3"/>
    <w:qFormat/>
    <w:rPr>
      <w:rFonts w:ascii="Symbol" w:hAnsi="Symbol" w:cs="Symbol"/>
    </w:rPr>
  </w:style>
  <w:style w:type="character" w:styleId="WW8Num3z0" w:customStyle="1">
    <w:name w:val="WW8Num3z0"/>
    <w:qFormat/>
    <w:rPr/>
  </w:style>
  <w:style w:type="character" w:styleId="WW8Num3z1" w:customStyle="1">
    <w:name w:val="WW8Num3z1"/>
    <w:qFormat/>
    <w:rPr/>
  </w:style>
  <w:style w:type="character" w:styleId="WW8Num3z2" w:customStyle="1">
    <w:name w:val="WW8Num3z2"/>
    <w:qFormat/>
    <w:rPr/>
  </w:style>
  <w:style w:type="character" w:styleId="WW8Num3z3" w:customStyle="1">
    <w:name w:val="WW8Num3z3"/>
    <w:qFormat/>
    <w:rPr/>
  </w:style>
  <w:style w:type="character" w:styleId="WW8Num3z4" w:customStyle="1">
    <w:name w:val="WW8Num3z4"/>
    <w:qFormat/>
    <w:rPr/>
  </w:style>
  <w:style w:type="character" w:styleId="WW8Num3z5" w:customStyle="1">
    <w:name w:val="WW8Num3z5"/>
    <w:qFormat/>
    <w:rPr/>
  </w:style>
  <w:style w:type="character" w:styleId="WW8Num3z6" w:customStyle="1">
    <w:name w:val="WW8Num3z6"/>
    <w:qFormat/>
    <w:rPr/>
  </w:style>
  <w:style w:type="character" w:styleId="WW8Num3z7" w:customStyle="1">
    <w:name w:val="WW8Num3z7"/>
    <w:qFormat/>
    <w:rPr/>
  </w:style>
  <w:style w:type="character" w:styleId="WW8Num3z8" w:customStyle="1">
    <w:name w:val="WW8Num3z8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>
      <w:rFonts w:ascii="Times New Roman" w:hAnsi="Times New Roman" w:eastAsia="Times New Roman" w:cs="Times New Roman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3" w:customStyle="1">
    <w:name w:val="WW8Num5z3"/>
    <w:qFormat/>
    <w:rPr>
      <w:rFonts w:ascii="Symbol" w:hAnsi="Symbol" w:cs="Symbol"/>
    </w:rPr>
  </w:style>
  <w:style w:type="character" w:styleId="WW8Num6z0" w:customStyle="1">
    <w:name w:val="WW8Num6z0"/>
    <w:qFormat/>
    <w:rPr>
      <w:rFonts w:ascii="Times New Roman" w:hAnsi="Times New Roman" w:eastAsia="Times New Roman" w:cs="Times New Roman"/>
    </w:rPr>
  </w:style>
  <w:style w:type="character" w:styleId="WW8Num6z1" w:customStyle="1">
    <w:name w:val="WW8Num6z1"/>
    <w:qFormat/>
    <w:rPr>
      <w:rFonts w:ascii="Courier New" w:hAnsi="Courier New" w:cs="Courier New"/>
    </w:rPr>
  </w:style>
  <w:style w:type="character" w:styleId="WW8Num6z2" w:customStyle="1">
    <w:name w:val="WW8Num6z2"/>
    <w:qFormat/>
    <w:rPr>
      <w:rFonts w:ascii="Wingdings" w:hAnsi="Wingdings" w:cs="Wingdings"/>
    </w:rPr>
  </w:style>
  <w:style w:type="character" w:styleId="WW8Num6z3" w:customStyle="1">
    <w:name w:val="WW8Num6z3"/>
    <w:qFormat/>
    <w:rPr>
      <w:rFonts w:ascii="Symbol" w:hAnsi="Symbol" w:cs="Symbol"/>
    </w:rPr>
  </w:style>
  <w:style w:type="character" w:styleId="WW8Num7z0" w:customStyle="1">
    <w:name w:val="WW8Num7z0"/>
    <w:qFormat/>
    <w:rPr/>
  </w:style>
  <w:style w:type="character" w:styleId="WW8Num8z0" w:customStyle="1">
    <w:name w:val="WW8Num8z0"/>
    <w:qFormat/>
    <w:rPr>
      <w:rFonts w:ascii="Times New Roman" w:hAnsi="Times New Roman" w:eastAsia="Times New Roman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>
      <w:rFonts w:ascii="Times New Roman" w:hAnsi="Times New Roman" w:eastAsia="Times New Roman" w:cs="Times New Roman"/>
      <w:lang w:eastAsia="uk-UA"/>
    </w:rPr>
  </w:style>
  <w:style w:type="character" w:styleId="WW8Num9z1" w:customStyle="1">
    <w:name w:val="WW8Num9z1"/>
    <w:qFormat/>
    <w:rPr>
      <w:rFonts w:ascii="Courier New" w:hAnsi="Courier New" w:cs="Courier New"/>
    </w:rPr>
  </w:style>
  <w:style w:type="character" w:styleId="WW8Num9z2" w:customStyle="1">
    <w:name w:val="WW8Num9z2"/>
    <w:qFormat/>
    <w:rPr>
      <w:rFonts w:ascii="Wingdings" w:hAnsi="Wingdings" w:cs="Wingdings"/>
    </w:rPr>
  </w:style>
  <w:style w:type="character" w:styleId="WW8Num9z3" w:customStyle="1">
    <w:name w:val="WW8Num9z3"/>
    <w:qFormat/>
    <w:rPr>
      <w:rFonts w:ascii="Symbol" w:hAnsi="Symbol" w:cs="Symbol"/>
    </w:rPr>
  </w:style>
  <w:style w:type="character" w:styleId="WW8Num10z0" w:customStyle="1">
    <w:name w:val="WW8Num10z0"/>
    <w:qFormat/>
    <w:rPr>
      <w:rFonts w:ascii="Times New Roman" w:hAnsi="Times New Roman" w:eastAsia="Times New Roman" w:cs="Times New Roman"/>
    </w:rPr>
  </w:style>
  <w:style w:type="character" w:styleId="WW8Num10z1" w:customStyle="1">
    <w:name w:val="WW8Num10z1"/>
    <w:qFormat/>
    <w:rPr>
      <w:rFonts w:ascii="Courier New" w:hAnsi="Courier New" w:cs="Courier New"/>
    </w:rPr>
  </w:style>
  <w:style w:type="character" w:styleId="WW8Num10z2" w:customStyle="1">
    <w:name w:val="WW8Num10z2"/>
    <w:qFormat/>
    <w:rPr>
      <w:rFonts w:ascii="Wingdings" w:hAnsi="Wingdings" w:cs="Wingdings"/>
    </w:rPr>
  </w:style>
  <w:style w:type="character" w:styleId="WW8Num10z3" w:customStyle="1">
    <w:name w:val="WW8Num10z3"/>
    <w:qFormat/>
    <w:rPr>
      <w:rFonts w:ascii="Symbol" w:hAnsi="Symbol" w:cs="Symbol"/>
    </w:rPr>
  </w:style>
  <w:style w:type="character" w:styleId="WW8Num11z0" w:customStyle="1">
    <w:name w:val="WW8Num11z0"/>
    <w:qFormat/>
    <w:rPr/>
  </w:style>
  <w:style w:type="character" w:styleId="WW8Num12z0" w:customStyle="1">
    <w:name w:val="WW8Num12z0"/>
    <w:qFormat/>
    <w:rPr>
      <w:rFonts w:ascii="Times New Roman" w:hAnsi="Times New Roman" w:eastAsia="Times New Roman" w:cs="Times New Roman"/>
    </w:rPr>
  </w:style>
  <w:style w:type="character" w:styleId="WW8Num12z1" w:customStyle="1">
    <w:name w:val="WW8Num12z1"/>
    <w:qFormat/>
    <w:rPr>
      <w:rFonts w:ascii="Courier New" w:hAnsi="Courier New" w:cs="Courier New"/>
    </w:rPr>
  </w:style>
  <w:style w:type="character" w:styleId="WW8Num12z2" w:customStyle="1">
    <w:name w:val="WW8Num12z2"/>
    <w:qFormat/>
    <w:rPr>
      <w:rFonts w:ascii="Wingdings" w:hAnsi="Wingdings" w:cs="Wingdings"/>
    </w:rPr>
  </w:style>
  <w:style w:type="character" w:styleId="WW8Num12z3" w:customStyle="1">
    <w:name w:val="WW8Num12z3"/>
    <w:qFormat/>
    <w:rPr>
      <w:rFonts w:ascii="Symbol" w:hAnsi="Symbol" w:cs="Symbol"/>
    </w:rPr>
  </w:style>
  <w:style w:type="character" w:styleId="WW8Num13z0" w:customStyle="1">
    <w:name w:val="WW8Num13z0"/>
    <w:qFormat/>
    <w:rPr/>
  </w:style>
  <w:style w:type="character" w:styleId="WW8Num14z0" w:customStyle="1">
    <w:name w:val="WW8Num14z0"/>
    <w:qFormat/>
    <w:rPr>
      <w:rFonts w:ascii="Times New Roman" w:hAnsi="Times New Roman" w:eastAsia="Times New Roman" w:cs="Times New Roman"/>
    </w:rPr>
  </w:style>
  <w:style w:type="character" w:styleId="WW8Num14z1" w:customStyle="1">
    <w:name w:val="WW8Num14z1"/>
    <w:qFormat/>
    <w:rPr>
      <w:rFonts w:ascii="Courier New" w:hAnsi="Courier New" w:cs="Courier New"/>
    </w:rPr>
  </w:style>
  <w:style w:type="character" w:styleId="WW8Num14z2" w:customStyle="1">
    <w:name w:val="WW8Num14z2"/>
    <w:qFormat/>
    <w:rPr>
      <w:rFonts w:ascii="Wingdings" w:hAnsi="Wingdings" w:cs="Wingdings"/>
    </w:rPr>
  </w:style>
  <w:style w:type="character" w:styleId="WW8Num14z3" w:customStyle="1">
    <w:name w:val="WW8Num14z3"/>
    <w:qFormat/>
    <w:rPr>
      <w:rFonts w:ascii="Symbol" w:hAnsi="Symbol" w:cs="Symbol"/>
    </w:rPr>
  </w:style>
  <w:style w:type="character" w:styleId="WW8Num15z0" w:customStyle="1">
    <w:name w:val="WW8Num15z0"/>
    <w:qFormat/>
    <w:rPr/>
  </w:style>
  <w:style w:type="character" w:styleId="WW8Num15z1" w:customStyle="1">
    <w:name w:val="WW8Num15z1"/>
    <w:qFormat/>
    <w:rPr/>
  </w:style>
  <w:style w:type="character" w:styleId="WW8Num15z2" w:customStyle="1">
    <w:name w:val="WW8Num15z2"/>
    <w:qFormat/>
    <w:rPr/>
  </w:style>
  <w:style w:type="character" w:styleId="WW8Num15z3" w:customStyle="1">
    <w:name w:val="WW8Num15z3"/>
    <w:qFormat/>
    <w:rPr/>
  </w:style>
  <w:style w:type="character" w:styleId="WW8Num15z4" w:customStyle="1">
    <w:name w:val="WW8Num15z4"/>
    <w:qFormat/>
    <w:rPr/>
  </w:style>
  <w:style w:type="character" w:styleId="WW8Num15z5" w:customStyle="1">
    <w:name w:val="WW8Num15z5"/>
    <w:qFormat/>
    <w:rPr/>
  </w:style>
  <w:style w:type="character" w:styleId="WW8Num15z6" w:customStyle="1">
    <w:name w:val="WW8Num15z6"/>
    <w:qFormat/>
    <w:rPr/>
  </w:style>
  <w:style w:type="character" w:styleId="WW8Num15z7" w:customStyle="1">
    <w:name w:val="WW8Num15z7"/>
    <w:qFormat/>
    <w:rPr/>
  </w:style>
  <w:style w:type="character" w:styleId="WW8Num15z8" w:customStyle="1">
    <w:name w:val="WW8Num15z8"/>
    <w:qFormat/>
    <w:rPr/>
  </w:style>
  <w:style w:type="character" w:styleId="WW8Num16z0" w:customStyle="1">
    <w:name w:val="WW8Num16z0"/>
    <w:qFormat/>
    <w:rPr>
      <w:rFonts w:ascii="Times New Roman" w:hAnsi="Times New Roman" w:eastAsia="Times New Roman" w:cs="Times New Roman"/>
    </w:rPr>
  </w:style>
  <w:style w:type="character" w:styleId="WW8Num16z1" w:customStyle="1">
    <w:name w:val="WW8Num16z1"/>
    <w:qFormat/>
    <w:rPr>
      <w:rFonts w:ascii="Courier New" w:hAnsi="Courier New" w:cs="Courier New"/>
    </w:rPr>
  </w:style>
  <w:style w:type="character" w:styleId="WW8Num16z2" w:customStyle="1">
    <w:name w:val="WW8Num16z2"/>
    <w:qFormat/>
    <w:rPr>
      <w:rFonts w:ascii="Wingdings" w:hAnsi="Wingdings" w:cs="Wingdings"/>
    </w:rPr>
  </w:style>
  <w:style w:type="character" w:styleId="WW8Num16z3" w:customStyle="1">
    <w:name w:val="WW8Num16z3"/>
    <w:qFormat/>
    <w:rPr>
      <w:rFonts w:ascii="Symbol" w:hAnsi="Symbol" w:cs="Symbol"/>
    </w:rPr>
  </w:style>
  <w:style w:type="character" w:styleId="WW8Num17z0" w:customStyle="1">
    <w:name w:val="WW8Num17z0"/>
    <w:qFormat/>
    <w:rPr>
      <w:rFonts w:ascii="Times New Roman" w:hAnsi="Times New Roman" w:eastAsia="Times New Roman" w:cs="Times New Roman"/>
    </w:rPr>
  </w:style>
  <w:style w:type="character" w:styleId="WW8Num17z1" w:customStyle="1">
    <w:name w:val="WW8Num17z1"/>
    <w:qFormat/>
    <w:rPr>
      <w:rFonts w:ascii="Courier New" w:hAnsi="Courier New" w:cs="Courier New"/>
    </w:rPr>
  </w:style>
  <w:style w:type="character" w:styleId="WW8Num17z2" w:customStyle="1">
    <w:name w:val="WW8Num17z2"/>
    <w:qFormat/>
    <w:rPr>
      <w:rFonts w:ascii="Wingdings" w:hAnsi="Wingdings" w:cs="Wingdings"/>
    </w:rPr>
  </w:style>
  <w:style w:type="character" w:styleId="WW8Num17z3" w:customStyle="1">
    <w:name w:val="WW8Num17z3"/>
    <w:qFormat/>
    <w:rPr>
      <w:rFonts w:ascii="Symbol" w:hAnsi="Symbol" w:cs="Symbol"/>
    </w:rPr>
  </w:style>
  <w:style w:type="character" w:styleId="WW8Num18z0" w:customStyle="1">
    <w:name w:val="WW8Num18z0"/>
    <w:qFormat/>
    <w:rPr>
      <w:rFonts w:ascii="Times New Roman" w:hAnsi="Times New Roman" w:eastAsia="Times New Roman" w:cs="Times New Roman"/>
    </w:rPr>
  </w:style>
  <w:style w:type="character" w:styleId="WW8Num18z1" w:customStyle="1">
    <w:name w:val="WW8Num18z1"/>
    <w:qFormat/>
    <w:rPr>
      <w:rFonts w:ascii="Courier New" w:hAnsi="Courier New" w:cs="Courier New"/>
    </w:rPr>
  </w:style>
  <w:style w:type="character" w:styleId="WW8Num18z2" w:customStyle="1">
    <w:name w:val="WW8Num18z2"/>
    <w:qFormat/>
    <w:rPr>
      <w:rFonts w:ascii="Wingdings" w:hAnsi="Wingdings" w:cs="Wingdings"/>
    </w:rPr>
  </w:style>
  <w:style w:type="character" w:styleId="WW8Num18z3" w:customStyle="1">
    <w:name w:val="WW8Num18z3"/>
    <w:qFormat/>
    <w:rPr>
      <w:rFonts w:ascii="Symbol" w:hAnsi="Symbol" w:cs="Symbol"/>
    </w:rPr>
  </w:style>
  <w:style w:type="character" w:styleId="WW8Num19z0" w:customStyle="1">
    <w:name w:val="WW8Num19z0"/>
    <w:qFormat/>
    <w:rPr/>
  </w:style>
  <w:style w:type="character" w:styleId="WW8Num20z0" w:customStyle="1">
    <w:name w:val="WW8Num20z0"/>
    <w:qFormat/>
    <w:rPr>
      <w:rFonts w:ascii="Times New Roman" w:hAnsi="Times New Roman" w:eastAsia="Times New Roman" w:cs="Times New Roman"/>
    </w:rPr>
  </w:style>
  <w:style w:type="character" w:styleId="WW8Num20z1" w:customStyle="1">
    <w:name w:val="WW8Num20z1"/>
    <w:qFormat/>
    <w:rPr>
      <w:rFonts w:ascii="Courier New" w:hAnsi="Courier New" w:cs="Courier New"/>
    </w:rPr>
  </w:style>
  <w:style w:type="character" w:styleId="WW8Num20z2" w:customStyle="1">
    <w:name w:val="WW8Num20z2"/>
    <w:qFormat/>
    <w:rPr>
      <w:rFonts w:ascii="Wingdings" w:hAnsi="Wingdings" w:cs="Wingdings"/>
    </w:rPr>
  </w:style>
  <w:style w:type="character" w:styleId="WW8Num20z3" w:customStyle="1">
    <w:name w:val="WW8Num20z3"/>
    <w:qFormat/>
    <w:rPr>
      <w:rFonts w:ascii="Symbol" w:hAnsi="Symbol" w:cs="Symbol"/>
    </w:rPr>
  </w:style>
  <w:style w:type="character" w:styleId="WW8Num21z0" w:customStyle="1">
    <w:name w:val="WW8Num21z0"/>
    <w:qFormat/>
    <w:rPr>
      <w:rFonts w:ascii="Times New Roman" w:hAnsi="Times New Roman" w:eastAsia="Times New Roman" w:cs="Times New Roman"/>
    </w:rPr>
  </w:style>
  <w:style w:type="character" w:styleId="WW8Num21z1" w:customStyle="1">
    <w:name w:val="WW8Num21z1"/>
    <w:qFormat/>
    <w:rPr>
      <w:rFonts w:ascii="Courier New" w:hAnsi="Courier New" w:cs="Courier New"/>
    </w:rPr>
  </w:style>
  <w:style w:type="character" w:styleId="WW8Num21z2" w:customStyle="1">
    <w:name w:val="WW8Num21z2"/>
    <w:qFormat/>
    <w:rPr>
      <w:rFonts w:ascii="Wingdings" w:hAnsi="Wingdings" w:cs="Wingdings"/>
    </w:rPr>
  </w:style>
  <w:style w:type="character" w:styleId="WW8Num21z3" w:customStyle="1">
    <w:name w:val="WW8Num21z3"/>
    <w:qFormat/>
    <w:rPr>
      <w:rFonts w:ascii="Symbol" w:hAnsi="Symbol" w:cs="Symbol"/>
    </w:rPr>
  </w:style>
  <w:style w:type="character" w:styleId="WW8Num22z0" w:customStyle="1">
    <w:name w:val="WW8Num22z0"/>
    <w:qFormat/>
    <w:rPr>
      <w:rFonts w:ascii="Times New Roman" w:hAnsi="Times New Roman" w:eastAsia="Times New Roman" w:cs="Times New Roman"/>
    </w:rPr>
  </w:style>
  <w:style w:type="character" w:styleId="WW8Num22z1" w:customStyle="1">
    <w:name w:val="WW8Num22z1"/>
    <w:qFormat/>
    <w:rPr>
      <w:rFonts w:ascii="Courier New" w:hAnsi="Courier New" w:cs="Courier New"/>
    </w:rPr>
  </w:style>
  <w:style w:type="character" w:styleId="WW8Num22z2" w:customStyle="1">
    <w:name w:val="WW8Num22z2"/>
    <w:qFormat/>
    <w:rPr>
      <w:rFonts w:ascii="Wingdings" w:hAnsi="Wingdings" w:cs="Wingdings"/>
    </w:rPr>
  </w:style>
  <w:style w:type="character" w:styleId="WW8Num22z3" w:customStyle="1">
    <w:name w:val="WW8Num22z3"/>
    <w:qFormat/>
    <w:rPr>
      <w:rFonts w:ascii="Symbol" w:hAnsi="Symbol" w:cs="Symbol"/>
    </w:rPr>
  </w:style>
  <w:style w:type="character" w:styleId="WW8Num23z0" w:customStyle="1">
    <w:name w:val="WW8Num23z0"/>
    <w:qFormat/>
    <w:rPr/>
  </w:style>
  <w:style w:type="character" w:styleId="WW8Num24z0" w:customStyle="1">
    <w:name w:val="WW8Num24z0"/>
    <w:qFormat/>
    <w:rPr>
      <w:rFonts w:ascii="Times New Roman" w:hAnsi="Times New Roman" w:eastAsia="Times New Roman" w:cs="Times New Roman"/>
    </w:rPr>
  </w:style>
  <w:style w:type="character" w:styleId="WW8Num24z1" w:customStyle="1">
    <w:name w:val="WW8Num24z1"/>
    <w:qFormat/>
    <w:rPr>
      <w:rFonts w:ascii="Courier New" w:hAnsi="Courier New" w:cs="Courier New"/>
    </w:rPr>
  </w:style>
  <w:style w:type="character" w:styleId="WW8Num24z2" w:customStyle="1">
    <w:name w:val="WW8Num24z2"/>
    <w:qFormat/>
    <w:rPr>
      <w:rFonts w:ascii="Wingdings" w:hAnsi="Wingdings" w:cs="Wingdings"/>
    </w:rPr>
  </w:style>
  <w:style w:type="character" w:styleId="WW8Num24z3" w:customStyle="1">
    <w:name w:val="WW8Num24z3"/>
    <w:qFormat/>
    <w:rPr>
      <w:rFonts w:ascii="Symbol" w:hAnsi="Symbol" w:cs="Symbol"/>
    </w:rPr>
  </w:style>
  <w:style w:type="character" w:styleId="WW8Num25z0" w:customStyle="1">
    <w:name w:val="WW8Num25z0"/>
    <w:qFormat/>
    <w:rPr>
      <w:rFonts w:ascii="Times New Roman" w:hAnsi="Times New Roman" w:eastAsia="Times New Roman" w:cs="Times New Roman"/>
    </w:rPr>
  </w:style>
  <w:style w:type="character" w:styleId="WW8Num25z1" w:customStyle="1">
    <w:name w:val="WW8Num25z1"/>
    <w:qFormat/>
    <w:rPr>
      <w:rFonts w:ascii="Courier New" w:hAnsi="Courier New" w:cs="Courier New"/>
    </w:rPr>
  </w:style>
  <w:style w:type="character" w:styleId="WW8Num25z2" w:customStyle="1">
    <w:name w:val="WW8Num25z2"/>
    <w:qFormat/>
    <w:rPr>
      <w:rFonts w:ascii="Wingdings" w:hAnsi="Wingdings" w:cs="Wingdings"/>
    </w:rPr>
  </w:style>
  <w:style w:type="character" w:styleId="WW8Num25z3" w:customStyle="1">
    <w:name w:val="WW8Num25z3"/>
    <w:qFormat/>
    <w:rPr>
      <w:rFonts w:ascii="Symbol" w:hAnsi="Symbol" w:cs="Symbol"/>
    </w:rPr>
  </w:style>
  <w:style w:type="character" w:styleId="WW8Num26z0" w:customStyle="1">
    <w:name w:val="WW8Num26z0"/>
    <w:qFormat/>
    <w:rPr>
      <w:rFonts w:ascii="Times New Roman" w:hAnsi="Times New Roman" w:eastAsia="Times New Roman" w:cs="Times New Roman"/>
    </w:rPr>
  </w:style>
  <w:style w:type="character" w:styleId="WW8Num26z1" w:customStyle="1">
    <w:name w:val="WW8Num26z1"/>
    <w:qFormat/>
    <w:rPr>
      <w:rFonts w:ascii="Courier New" w:hAnsi="Courier New" w:cs="Courier New"/>
    </w:rPr>
  </w:style>
  <w:style w:type="character" w:styleId="WW8Num26z2" w:customStyle="1">
    <w:name w:val="WW8Num26z2"/>
    <w:qFormat/>
    <w:rPr>
      <w:rFonts w:ascii="Wingdings" w:hAnsi="Wingdings" w:cs="Wingdings"/>
    </w:rPr>
  </w:style>
  <w:style w:type="character" w:styleId="WW8Num26z3" w:customStyle="1">
    <w:name w:val="WW8Num26z3"/>
    <w:qFormat/>
    <w:rPr>
      <w:rFonts w:ascii="Symbol" w:hAnsi="Symbol" w:cs="Symbol"/>
    </w:rPr>
  </w:style>
  <w:style w:type="character" w:styleId="WW8Num27z0" w:customStyle="1">
    <w:name w:val="WW8Num27z0"/>
    <w:qFormat/>
    <w:rPr/>
  </w:style>
  <w:style w:type="character" w:styleId="WW8Num28z0" w:customStyle="1">
    <w:name w:val="WW8Num28z0"/>
    <w:qFormat/>
    <w:rPr>
      <w:rFonts w:ascii="Times New Roman" w:hAnsi="Times New Roman" w:eastAsia="Times New Roman" w:cs="Times New Roman"/>
    </w:rPr>
  </w:style>
  <w:style w:type="character" w:styleId="WW8Num28z1" w:customStyle="1">
    <w:name w:val="WW8Num28z1"/>
    <w:qFormat/>
    <w:rPr>
      <w:rFonts w:ascii="Courier New" w:hAnsi="Courier New" w:cs="Courier New"/>
    </w:rPr>
  </w:style>
  <w:style w:type="character" w:styleId="WW8Num28z2" w:customStyle="1">
    <w:name w:val="WW8Num28z2"/>
    <w:qFormat/>
    <w:rPr>
      <w:rFonts w:ascii="Wingdings" w:hAnsi="Wingdings" w:cs="Wingdings"/>
    </w:rPr>
  </w:style>
  <w:style w:type="character" w:styleId="WW8Num28z3" w:customStyle="1">
    <w:name w:val="WW8Num28z3"/>
    <w:qFormat/>
    <w:rPr>
      <w:rFonts w:ascii="Symbol" w:hAnsi="Symbol" w:cs="Symbol"/>
    </w:rPr>
  </w:style>
  <w:style w:type="character" w:styleId="Style12" w:customStyle="1">
    <w:name w:val="Маркери списку"/>
    <w:qFormat/>
    <w:rPr>
      <w:rFonts w:ascii="OpenSymbol" w:hAnsi="OpenSymbol" w:eastAsia="OpenSymbol" w:cs="OpenSymbol"/>
    </w:rPr>
  </w:style>
  <w:style w:type="character" w:styleId="Style13" w:customStyle="1">
    <w:name w:val="Верхний колонтитул Знак"/>
    <w:basedOn w:val="DefaultParagraphFont"/>
    <w:link w:val="af"/>
    <w:uiPriority w:val="99"/>
    <w:qFormat/>
    <w:rsid w:val="00172dfe"/>
    <w:rPr>
      <w:rFonts w:ascii="Times New Roman" w:hAnsi="Times New Roman" w:eastAsia="Times New Roman" w:cs="Times New Roman"/>
      <w:sz w:val="24"/>
      <w:lang w:bidi="ar-SA"/>
    </w:rPr>
  </w:style>
  <w:style w:type="character" w:styleId="Style14" w:customStyle="1">
    <w:name w:val="Нижний колонтитул Знак"/>
    <w:basedOn w:val="DefaultParagraphFont"/>
    <w:link w:val="af1"/>
    <w:uiPriority w:val="99"/>
    <w:qFormat/>
    <w:rsid w:val="00172dfe"/>
    <w:rPr>
      <w:rFonts w:ascii="Times New Roman" w:hAnsi="Times New Roman" w:eastAsia="Times New Roman" w:cs="Times New Roman"/>
      <w:sz w:val="24"/>
      <w:lang w:bidi="ar-SA"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 Unicode MS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</w:rPr>
  </w:style>
  <w:style w:type="paragraph" w:styleId="BodyTextIndent2">
    <w:name w:val="Body Text Indent 2"/>
    <w:basedOn w:val="Normal"/>
    <w:qFormat/>
    <w:pPr>
      <w:spacing w:lineRule="auto" w:line="480" w:before="0" w:after="120"/>
      <w:ind w:left="283" w:hanging="0"/>
    </w:pPr>
    <w:rPr/>
  </w:style>
  <w:style w:type="paragraph" w:styleId="Style20" w:customStyle="1">
    <w:name w:val="Знак"/>
    <w:basedOn w:val="Normal"/>
    <w:qFormat/>
    <w:pPr/>
    <w:rPr>
      <w:rFonts w:ascii="Verdana" w:hAnsi="Verdana" w:cs="Verdana"/>
      <w:sz w:val="20"/>
      <w:szCs w:val="20"/>
      <w:lang w:val="en-US"/>
    </w:rPr>
  </w:style>
  <w:style w:type="paragraph" w:styleId="CharChar" w:customStyle="1">
    <w:name w:val="Char Знак Знак Char Знак Знак Знак Знак Знак Знак Знак Знак Знак Знак Знак Знак Знак Знак Знак"/>
    <w:basedOn w:val="Normal"/>
    <w:qFormat/>
    <w:pPr/>
    <w:rPr>
      <w:rFonts w:ascii="Verdana" w:hAnsi="Verdana" w:cs="Verdana"/>
      <w:sz w:val="20"/>
      <w:szCs w:val="20"/>
      <w:lang w:val="en-US"/>
    </w:rPr>
  </w:style>
  <w:style w:type="paragraph" w:styleId="NormalWeb">
    <w:name w:val="Normal (Web)"/>
    <w:basedOn w:val="Normal"/>
    <w:qFormat/>
    <w:pPr>
      <w:spacing w:before="280" w:after="280"/>
    </w:pPr>
    <w:rPr>
      <w:lang w:val="ru-RU"/>
    </w:rPr>
  </w:style>
  <w:style w:type="paragraph" w:styleId="HTMLPreformatted">
    <w:name w:val="HTML Preformatted"/>
    <w:basedOn w:val="Normal"/>
    <w:qFormat/>
    <w:pPr>
      <w:tabs>
        <w:tab w:val="clear" w:pos="720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sz w:val="20"/>
      <w:szCs w:val="20"/>
      <w:lang w:val="ru-RU"/>
    </w:rPr>
  </w:style>
  <w:style w:type="paragraph" w:styleId="Style21" w:customStyle="1">
    <w:name w:val="Вміст рамки"/>
    <w:basedOn w:val="Normal"/>
    <w:qFormat/>
    <w:pPr/>
    <w:rPr/>
  </w:style>
  <w:style w:type="paragraph" w:styleId="Style22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3" w:customStyle="1">
    <w:name w:val="Заголовок таблиці"/>
    <w:basedOn w:val="Style22"/>
    <w:qFormat/>
    <w:pPr>
      <w:jc w:val="center"/>
    </w:pPr>
    <w:rPr>
      <w:b/>
      <w:bCs/>
    </w:rPr>
  </w:style>
  <w:style w:type="paragraph" w:styleId="Style24">
    <w:name w:val="Header"/>
    <w:basedOn w:val="Normal"/>
    <w:link w:val="af0"/>
    <w:uiPriority w:val="99"/>
    <w:unhideWhenUsed/>
    <w:rsid w:val="00172dfe"/>
    <w:pPr>
      <w:tabs>
        <w:tab w:val="clear" w:pos="720"/>
        <w:tab w:val="center" w:pos="4819" w:leader="none"/>
        <w:tab w:val="right" w:pos="9639" w:leader="none"/>
      </w:tabs>
    </w:pPr>
    <w:rPr/>
  </w:style>
  <w:style w:type="paragraph" w:styleId="Style25">
    <w:name w:val="Footer"/>
    <w:basedOn w:val="Normal"/>
    <w:link w:val="af2"/>
    <w:uiPriority w:val="99"/>
    <w:unhideWhenUsed/>
    <w:rsid w:val="00172dfe"/>
    <w:pPr>
      <w:tabs>
        <w:tab w:val="clear" w:pos="720"/>
        <w:tab w:val="center" w:pos="4819" w:leader="none"/>
        <w:tab w:val="right" w:pos="9639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numbering" w:styleId="WW8Num2" w:customStyle="1">
    <w:name w:val="WW8Num2"/>
    <w:qFormat/>
  </w:style>
  <w:style w:type="numbering" w:styleId="WW8Num3" w:customStyle="1">
    <w:name w:val="WW8Num3"/>
    <w:qFormat/>
  </w:style>
  <w:style w:type="numbering" w:styleId="WW8Num4" w:customStyle="1">
    <w:name w:val="WW8Num4"/>
    <w:qFormat/>
  </w:style>
  <w:style w:type="numbering" w:styleId="WW8Num5" w:customStyle="1">
    <w:name w:val="WW8Num5"/>
    <w:qFormat/>
  </w:style>
  <w:style w:type="numbering" w:styleId="WW8Num6" w:customStyle="1">
    <w:name w:val="WW8Num6"/>
    <w:qFormat/>
  </w:style>
  <w:style w:type="numbering" w:styleId="WW8Num7" w:customStyle="1">
    <w:name w:val="WW8Num7"/>
    <w:qFormat/>
  </w:style>
  <w:style w:type="numbering" w:styleId="WW8Num8" w:customStyle="1">
    <w:name w:val="WW8Num8"/>
    <w:qFormat/>
  </w:style>
  <w:style w:type="numbering" w:styleId="WW8Num9" w:customStyle="1">
    <w:name w:val="WW8Num9"/>
    <w:qFormat/>
  </w:style>
  <w:style w:type="numbering" w:styleId="WW8Num10" w:customStyle="1">
    <w:name w:val="WW8Num10"/>
    <w:qFormat/>
  </w:style>
  <w:style w:type="numbering" w:styleId="WW8Num11" w:customStyle="1">
    <w:name w:val="WW8Num11"/>
    <w:qFormat/>
  </w:style>
  <w:style w:type="numbering" w:styleId="WW8Num12" w:customStyle="1">
    <w:name w:val="WW8Num12"/>
    <w:qFormat/>
  </w:style>
  <w:style w:type="numbering" w:styleId="WW8Num13" w:customStyle="1">
    <w:name w:val="WW8Num13"/>
    <w:qFormat/>
  </w:style>
  <w:style w:type="numbering" w:styleId="WW8Num14" w:customStyle="1">
    <w:name w:val="WW8Num14"/>
    <w:qFormat/>
  </w:style>
  <w:style w:type="numbering" w:styleId="WW8Num15" w:customStyle="1">
    <w:name w:val="WW8Num15"/>
    <w:qFormat/>
  </w:style>
  <w:style w:type="numbering" w:styleId="WW8Num16" w:customStyle="1">
    <w:name w:val="WW8Num16"/>
    <w:qFormat/>
  </w:style>
  <w:style w:type="numbering" w:styleId="WW8Num17" w:customStyle="1">
    <w:name w:val="WW8Num17"/>
    <w:qFormat/>
  </w:style>
  <w:style w:type="numbering" w:styleId="WW8Num18" w:customStyle="1">
    <w:name w:val="WW8Num18"/>
    <w:qFormat/>
  </w:style>
  <w:style w:type="numbering" w:styleId="WW8Num19" w:customStyle="1">
    <w:name w:val="WW8Num19"/>
    <w:qFormat/>
  </w:style>
  <w:style w:type="numbering" w:styleId="WW8Num20" w:customStyle="1">
    <w:name w:val="WW8Num20"/>
    <w:qFormat/>
  </w:style>
  <w:style w:type="numbering" w:styleId="WW8Num21" w:customStyle="1">
    <w:name w:val="WW8Num21"/>
    <w:qFormat/>
  </w:style>
  <w:style w:type="numbering" w:styleId="WW8Num22" w:customStyle="1">
    <w:name w:val="WW8Num22"/>
    <w:qFormat/>
  </w:style>
  <w:style w:type="numbering" w:styleId="WW8Num23" w:customStyle="1">
    <w:name w:val="WW8Num23"/>
    <w:qFormat/>
  </w:style>
  <w:style w:type="numbering" w:styleId="WW8Num24" w:customStyle="1">
    <w:name w:val="WW8Num24"/>
    <w:qFormat/>
  </w:style>
  <w:style w:type="numbering" w:styleId="WW8Num25" w:customStyle="1">
    <w:name w:val="WW8Num25"/>
    <w:qFormat/>
  </w:style>
  <w:style w:type="numbering" w:styleId="WW8Num26" w:customStyle="1">
    <w:name w:val="WW8Num26"/>
    <w:qFormat/>
  </w:style>
  <w:style w:type="numbering" w:styleId="WW8Num27" w:customStyle="1">
    <w:name w:val="WW8Num27"/>
    <w:qFormat/>
  </w:style>
  <w:style w:type="numbering" w:styleId="WW8Num28" w:customStyle="1">
    <w:name w:val="WW8Num28"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Application>LibreOffice/6.2.1.2$Windows_X86_64 LibreOffice_project/7bcb35dc3024a62dea0caee87020152d1ee96e71</Application>
  <Pages>6</Pages>
  <Words>1258</Words>
  <Characters>7255</Characters>
  <CharactersWithSpaces>8239</CharactersWithSpaces>
  <Paragraphs>402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2021-11-25T14:35:00Z</dcterms:created>
  <dc:creator>www</dc:creator>
  <dc:description/>
  <cp:keywords> </cp:keywords>
  <dc:language>uk-UA</dc:language>
  <cp:lastModifiedBy/>
  <cp:lastPrinted>2021-11-24T14:31:00Z</cp:lastPrinted>
  <dcterms:modified xsi:type="dcterms:W3CDTF">2021-12-06T12:28:29Z</dcterms:modified>
  <cp:revision>110</cp:revision>
  <dc:subject/>
  <dc:title>Звіт про роботу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