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962" w:leader="none"/>
        </w:tabs>
        <w:ind w:firstLine="540"/>
        <w:jc w:val="center"/>
        <w:rPr>
          <w:b/>
          <w:b/>
          <w:sz w:val="27"/>
          <w:szCs w:val="27"/>
        </w:rPr>
      </w:pPr>
      <w:r>
        <w:rPr>
          <w:b/>
          <w:sz w:val="28"/>
          <w:szCs w:val="28"/>
        </w:rPr>
        <w:t xml:space="preserve">Звіт </w:t>
      </w:r>
    </w:p>
    <w:p>
      <w:pPr>
        <w:pStyle w:val="Normal"/>
        <w:ind w:firstLine="540"/>
        <w:jc w:val="center"/>
        <w:rPr>
          <w:b/>
          <w:b/>
          <w:sz w:val="28"/>
          <w:szCs w:val="28"/>
        </w:rPr>
      </w:pPr>
      <w:r>
        <w:rPr>
          <w:b/>
          <w:sz w:val="28"/>
          <w:szCs w:val="28"/>
        </w:rPr>
        <w:t xml:space="preserve">про результати фінансово-господарської діяльності </w:t>
      </w:r>
    </w:p>
    <w:p>
      <w:pPr>
        <w:pStyle w:val="Normal"/>
        <w:ind w:firstLine="540"/>
        <w:jc w:val="center"/>
        <w:rPr>
          <w:b/>
          <w:b/>
          <w:sz w:val="28"/>
          <w:szCs w:val="28"/>
        </w:rPr>
      </w:pPr>
      <w:r>
        <w:rPr>
          <w:b/>
          <w:sz w:val="28"/>
          <w:szCs w:val="28"/>
        </w:rPr>
        <w:t xml:space="preserve">КП «Луцьке електротехнічне підприємство - Луцьксвітло» </w:t>
      </w:r>
    </w:p>
    <w:p>
      <w:pPr>
        <w:pStyle w:val="Normal"/>
        <w:ind w:firstLine="540"/>
        <w:jc w:val="center"/>
        <w:rPr>
          <w:b/>
          <w:b/>
          <w:sz w:val="27"/>
          <w:szCs w:val="27"/>
        </w:rPr>
      </w:pPr>
      <w:r>
        <w:rPr>
          <w:b/>
          <w:sz w:val="28"/>
          <w:szCs w:val="28"/>
        </w:rPr>
        <w:t>за 9 місяців 2021 року</w:t>
      </w:r>
    </w:p>
    <w:p>
      <w:pPr>
        <w:pStyle w:val="PlainText"/>
        <w:ind w:firstLine="900"/>
        <w:jc w:val="both"/>
        <w:rPr>
          <w:rFonts w:ascii="Times New Roman" w:hAnsi="Times New Roman" w:cs="Times New Roman"/>
          <w:sz w:val="27"/>
          <w:szCs w:val="27"/>
          <w:lang w:val="uk-UA"/>
        </w:rPr>
      </w:pPr>
      <w:r>
        <w:rPr>
          <w:rFonts w:cs="Times New Roman" w:ascii="Times New Roman" w:hAnsi="Times New Roman"/>
          <w:sz w:val="27"/>
          <w:szCs w:val="27"/>
          <w:lang w:val="uk-UA"/>
        </w:rPr>
      </w:r>
    </w:p>
    <w:p>
      <w:pPr>
        <w:pStyle w:val="Normal"/>
        <w:ind w:firstLine="720"/>
        <w:jc w:val="both"/>
        <w:rPr>
          <w:sz w:val="27"/>
          <w:szCs w:val="27"/>
        </w:rPr>
      </w:pPr>
      <w:r>
        <w:rPr>
          <w:sz w:val="28"/>
          <w:szCs w:val="28"/>
        </w:rPr>
        <w:t xml:space="preserve">Комунальне підприємство «Луцьке електротехнічне підприємство – Луцьксвітло» діє на підставі статуту, затвердженого рішенням Луцької міської ради від 29 вересня 2021 року № 19/101. </w:t>
      </w:r>
    </w:p>
    <w:p>
      <w:pPr>
        <w:pStyle w:val="Normal"/>
        <w:ind w:firstLine="720"/>
        <w:jc w:val="both"/>
        <w:rPr>
          <w:sz w:val="28"/>
          <w:szCs w:val="28"/>
        </w:rPr>
      </w:pPr>
      <w:r>
        <w:rPr>
          <w:sz w:val="28"/>
          <w:szCs w:val="28"/>
        </w:rPr>
        <w:t>Засновником (власником) підприємства є Луцька міська територіальна громада в особі Луцької міської ради.</w:t>
      </w:r>
    </w:p>
    <w:p>
      <w:pPr>
        <w:pStyle w:val="Normal"/>
        <w:ind w:firstLine="720"/>
        <w:jc w:val="both"/>
        <w:rPr>
          <w:sz w:val="27"/>
          <w:szCs w:val="27"/>
        </w:rPr>
      </w:pPr>
      <w:r>
        <w:rPr>
          <w:sz w:val="28"/>
          <w:szCs w:val="28"/>
        </w:rPr>
        <w:t xml:space="preserve">Основною метою діяльності підприємства є забезпечення належного </w:t>
      </w:r>
      <w:bookmarkStart w:id="0" w:name="__DdeLink__1416_534462665"/>
      <w:r>
        <w:rPr>
          <w:sz w:val="28"/>
          <w:szCs w:val="28"/>
        </w:rPr>
        <w:t xml:space="preserve">утримання, експлуатації, ремонту, створення електромереж зовнішнього освітлення </w:t>
      </w:r>
      <w:bookmarkEnd w:id="0"/>
      <w:r>
        <w:rPr>
          <w:sz w:val="28"/>
          <w:szCs w:val="28"/>
        </w:rPr>
        <w:t>та технічних засобів регулювання дорожнього руху, розподілення і постачання електроенергії, перетворення електричної енергії в світлову, а також видалення сухостійних та аварійних насаджень, зокрема в охоронних зонах повітряних ліній і трансформаторних підстанцій.</w:t>
      </w:r>
    </w:p>
    <w:p>
      <w:pPr>
        <w:pStyle w:val="Normal"/>
        <w:ind w:firstLine="720"/>
        <w:jc w:val="both"/>
        <w:rPr>
          <w:sz w:val="27"/>
          <w:szCs w:val="27"/>
        </w:rPr>
      </w:pPr>
      <w:r>
        <w:rPr>
          <w:sz w:val="28"/>
          <w:szCs w:val="28"/>
        </w:rPr>
        <w:t>Основні види діяльності, що здійснює підприємство:</w:t>
      </w:r>
    </w:p>
    <w:p>
      <w:pPr>
        <w:pStyle w:val="Normal"/>
        <w:ind w:firstLine="720"/>
        <w:jc w:val="both"/>
        <w:rPr>
          <w:sz w:val="27"/>
          <w:szCs w:val="27"/>
        </w:rPr>
      </w:pPr>
      <w:r>
        <w:rPr>
          <w:sz w:val="28"/>
          <w:szCs w:val="28"/>
        </w:rPr>
        <w:t>- 35.13 Розподілення електроенергії;</w:t>
      </w:r>
    </w:p>
    <w:p>
      <w:pPr>
        <w:pStyle w:val="Normal"/>
        <w:ind w:firstLine="720"/>
        <w:jc w:val="both"/>
        <w:rPr>
          <w:sz w:val="27"/>
          <w:szCs w:val="27"/>
        </w:rPr>
      </w:pPr>
      <w:r>
        <w:rPr>
          <w:sz w:val="28"/>
          <w:szCs w:val="28"/>
        </w:rPr>
        <w:t>- 43.21 Електромонтажні роботи;</w:t>
      </w:r>
    </w:p>
    <w:p>
      <w:pPr>
        <w:pStyle w:val="Normal"/>
        <w:ind w:firstLine="720"/>
        <w:jc w:val="both"/>
        <w:rPr>
          <w:sz w:val="27"/>
          <w:szCs w:val="27"/>
        </w:rPr>
      </w:pPr>
      <w:r>
        <w:rPr>
          <w:sz w:val="28"/>
          <w:szCs w:val="28"/>
        </w:rPr>
        <w:t>- 74.90 Інша професійна, наукова та технічна діяльність;</w:t>
      </w:r>
    </w:p>
    <w:p>
      <w:pPr>
        <w:pStyle w:val="Normal"/>
        <w:ind w:firstLine="720"/>
        <w:jc w:val="both"/>
        <w:rPr>
          <w:sz w:val="28"/>
          <w:szCs w:val="28"/>
        </w:rPr>
      </w:pPr>
      <w:r>
        <w:rPr>
          <w:sz w:val="28"/>
          <w:szCs w:val="28"/>
        </w:rPr>
        <w:t>- 33.14 Ремонт і технічне обслуговування електричного устаткування;</w:t>
      </w:r>
    </w:p>
    <w:p>
      <w:pPr>
        <w:pStyle w:val="Normal"/>
        <w:ind w:firstLine="720"/>
        <w:jc w:val="both"/>
        <w:rPr>
          <w:sz w:val="27"/>
          <w:szCs w:val="27"/>
        </w:rPr>
      </w:pPr>
      <w:r>
        <w:rPr>
          <w:sz w:val="28"/>
          <w:szCs w:val="28"/>
        </w:rPr>
        <w:t>- 42.22 Будівництво споруд електропостачання та телекомунікацій.</w:t>
      </w:r>
    </w:p>
    <w:p>
      <w:pPr>
        <w:pStyle w:val="Normal"/>
        <w:ind w:firstLine="720"/>
        <w:jc w:val="both"/>
        <w:rPr>
          <w:sz w:val="28"/>
          <w:szCs w:val="28"/>
        </w:rPr>
      </w:pPr>
      <w:r>
        <w:rPr>
          <w:sz w:val="28"/>
          <w:szCs w:val="28"/>
        </w:rPr>
        <w:t>Пріоритетним напрямком роботи є утримання вуличного освітлення Луцької міської територіальної громади яке, як об’єкт благоустрою, включає в себе зовнішні електромережі, обладнання диспетчерського зв’язку, автоматику і телемеханіку, світильники всіх типів, прожекторні установки, виконавчі пункти (ВП) та пункти повторного включення (ПВ), опори всіх типів, кабельні електромережі, освітлювальну арматуру.</w:t>
      </w:r>
    </w:p>
    <w:p>
      <w:pPr>
        <w:pStyle w:val="PlainText"/>
        <w:ind w:firstLine="720"/>
        <w:jc w:val="both"/>
        <w:rPr>
          <w:sz w:val="28"/>
          <w:szCs w:val="28"/>
        </w:rPr>
      </w:pPr>
      <w:r>
        <w:rPr>
          <w:rFonts w:cs="Times New Roman" w:ascii="Times New Roman" w:hAnsi="Times New Roman"/>
          <w:sz w:val="28"/>
          <w:szCs w:val="28"/>
          <w:lang w:val="uk-UA"/>
        </w:rPr>
        <w:t>На балансі підприємства знаходяться: 16 866 світлоточок: в місті Луцьку – 11 828 одиниць, в населених пунктах МТГ – 5 038 одиниць. Протяжність освітлювальної вулично-дорожньої мережі 572,3 км: 396 км в місті Луцьку та 176,3 км в МТГ. Включення проводиться згідно із затвердженим графіком. Середньорічна кількість годин освітлення міста –2 750 год.</w:t>
      </w:r>
    </w:p>
    <w:p>
      <w:pPr>
        <w:pStyle w:val="Normal"/>
        <w:ind w:left="75" w:firstLine="720"/>
        <w:jc w:val="both"/>
        <w:rPr>
          <w:sz w:val="28"/>
          <w:szCs w:val="28"/>
        </w:rPr>
      </w:pPr>
      <w:r>
        <w:rPr>
          <w:color w:val="000000"/>
          <w:sz w:val="28"/>
          <w:szCs w:val="28"/>
        </w:rPr>
        <w:t xml:space="preserve">За 9 місяців 2021 року встановлено 53 шт. світильників та підвішено 4,2 км самоутримного ізольованого проводу (СІП). </w:t>
      </w:r>
    </w:p>
    <w:p>
      <w:pPr>
        <w:pStyle w:val="Normal"/>
        <w:ind w:left="75" w:firstLine="720"/>
        <w:jc w:val="both"/>
        <w:rPr/>
      </w:pPr>
      <w:r>
        <w:rPr>
          <w:color w:val="000000"/>
          <w:sz w:val="28"/>
          <w:szCs w:val="28"/>
        </w:rPr>
        <w:t>Другим важливим напрямком роботи КП «Луцьксвітло</w:t>
      </w:r>
      <w:bookmarkStart w:id="1" w:name="__DdeLink__502_2986953894"/>
      <w:r>
        <w:rPr>
          <w:color w:val="000000"/>
          <w:sz w:val="28"/>
          <w:szCs w:val="28"/>
        </w:rPr>
        <w:t>»</w:t>
      </w:r>
      <w:bookmarkEnd w:id="1"/>
      <w:r>
        <w:rPr>
          <w:color w:val="000000"/>
          <w:sz w:val="28"/>
          <w:szCs w:val="28"/>
        </w:rPr>
        <w:t xml:space="preserve"> є світлофори, які передано на баланс у 2007 році в кількості 35 одиниць. Кількість світлофорів, що обслуговуються КП «Луцьксвітло» складає 51 одиницю: 50 одиниць в м. Луцьку та 1 одиниця на території МТГ. </w:t>
      </w:r>
    </w:p>
    <w:p>
      <w:pPr>
        <w:pStyle w:val="Normal"/>
        <w:ind w:left="75" w:firstLine="720"/>
        <w:jc w:val="both"/>
        <w:rPr/>
      </w:pPr>
      <w:r>
        <w:rPr>
          <w:color w:val="000000"/>
          <w:sz w:val="28"/>
          <w:szCs w:val="28"/>
        </w:rPr>
        <w:t>КП «Луцьке електротехнічне підприємство – Луцьксвітло» здійснює заходи відповідно до Програми утримання та ремонту мереж зовнішнього освітлення та світлофорних об’єктів Луцької міської територіальної громади на 2021–2023 роки, затвердженої рішенням Луцької міської ради від 27.01.2021 № 5/10.</w:t>
      </w:r>
    </w:p>
    <w:p>
      <w:pPr>
        <w:pStyle w:val="Normal"/>
        <w:ind w:firstLine="720"/>
        <w:jc w:val="both"/>
        <w:rPr>
          <w:sz w:val="28"/>
          <w:szCs w:val="28"/>
        </w:rPr>
      </w:pPr>
      <w:r>
        <w:rPr>
          <w:sz w:val="28"/>
          <w:szCs w:val="28"/>
        </w:rPr>
        <w:t>Роботи з утримання вуличного освітлення та світлофорних об’єктів спрямовано на забезпечення та збереження їх технічного та естетичного стану, підвищення експлуатаційних якостей та продовження термінів їх служби, що включає:</w:t>
      </w:r>
    </w:p>
    <w:p>
      <w:pPr>
        <w:pStyle w:val="Normal"/>
        <w:ind w:firstLine="720"/>
        <w:jc w:val="both"/>
        <w:rPr/>
      </w:pPr>
      <w:r>
        <w:rPr>
          <w:sz w:val="28"/>
          <w:szCs w:val="28"/>
        </w:rPr>
        <w:t>- періодичні та позачергові огляди за справністю електромереж, устаткування та споруд;</w:t>
      </w:r>
    </w:p>
    <w:p>
      <w:pPr>
        <w:pStyle w:val="Normal"/>
        <w:ind w:firstLine="720"/>
        <w:jc w:val="both"/>
        <w:rPr>
          <w:sz w:val="28"/>
          <w:szCs w:val="28"/>
        </w:rPr>
      </w:pPr>
      <w:r>
        <w:rPr>
          <w:sz w:val="28"/>
          <w:szCs w:val="28"/>
        </w:rPr>
        <w:t>- заміна електроламп, ремонт світильників (за звітний період замінено 1160 ламп);</w:t>
      </w:r>
    </w:p>
    <w:p>
      <w:pPr>
        <w:pStyle w:val="Normal"/>
        <w:ind w:firstLine="720"/>
        <w:jc w:val="both"/>
        <w:rPr>
          <w:sz w:val="27"/>
          <w:szCs w:val="27"/>
        </w:rPr>
      </w:pPr>
      <w:r>
        <w:rPr>
          <w:sz w:val="28"/>
          <w:szCs w:val="28"/>
        </w:rPr>
        <w:t>- ліквідація пошкоджень електромереж, освітлювальної арматури та устаткування, пошкодженого внаслідок аварій;</w:t>
      </w:r>
    </w:p>
    <w:p>
      <w:pPr>
        <w:pStyle w:val="Normal"/>
        <w:ind w:firstLine="720"/>
        <w:jc w:val="both"/>
        <w:rPr>
          <w:sz w:val="27"/>
          <w:szCs w:val="27"/>
        </w:rPr>
      </w:pPr>
      <w:r>
        <w:rPr>
          <w:sz w:val="28"/>
          <w:szCs w:val="28"/>
        </w:rPr>
        <w:t xml:space="preserve">- виправлення окремих опор, підвісок, кронштейнів, фарбування арматури тощо; </w:t>
      </w:r>
    </w:p>
    <w:p>
      <w:pPr>
        <w:pStyle w:val="Normal"/>
        <w:ind w:firstLine="720"/>
        <w:jc w:val="both"/>
        <w:rPr>
          <w:sz w:val="28"/>
          <w:szCs w:val="28"/>
        </w:rPr>
      </w:pPr>
      <w:r>
        <w:rPr>
          <w:sz w:val="28"/>
          <w:szCs w:val="28"/>
        </w:rPr>
        <w:t>- поточний ремонт об’єктів зовнішнього освітлення – монтажні роботи, спрямовані на запобігання дрібним деформаціям і пошкодженням та негайна їх ліквідація.</w:t>
      </w:r>
    </w:p>
    <w:p>
      <w:pPr>
        <w:pStyle w:val="Normal"/>
        <w:ind w:firstLine="720"/>
        <w:jc w:val="both"/>
        <w:rPr>
          <w:sz w:val="28"/>
          <w:szCs w:val="28"/>
        </w:rPr>
      </w:pPr>
      <w:r>
        <w:rPr>
          <w:sz w:val="28"/>
          <w:szCs w:val="28"/>
        </w:rPr>
        <w:t xml:space="preserve">Окрім того: </w:t>
      </w:r>
    </w:p>
    <w:p>
      <w:pPr>
        <w:pStyle w:val="15"/>
        <w:spacing w:lineRule="auto" w:line="240"/>
        <w:ind w:left="0" w:firstLine="720"/>
        <w:jc w:val="both"/>
        <w:rPr>
          <w:sz w:val="28"/>
          <w:szCs w:val="28"/>
        </w:rPr>
      </w:pPr>
      <w:r>
        <w:rPr>
          <w:rFonts w:cs="Times New Roman" w:ascii="Times New Roman" w:hAnsi="Times New Roman"/>
          <w:sz w:val="28"/>
          <w:szCs w:val="28"/>
          <w:lang w:val="uk-UA"/>
        </w:rPr>
        <w:t>- проведено встановлення та демонтаж дорожніх знаків на вулично-дорожній мережі;</w:t>
      </w:r>
    </w:p>
    <w:p>
      <w:pPr>
        <w:pStyle w:val="15"/>
        <w:spacing w:lineRule="auto" w:line="240"/>
        <w:ind w:left="0" w:firstLine="720"/>
        <w:jc w:val="both"/>
        <w:rPr>
          <w:sz w:val="28"/>
          <w:szCs w:val="28"/>
        </w:rPr>
      </w:pPr>
      <w:r>
        <w:rPr>
          <w:rFonts w:cs="Times New Roman" w:ascii="Times New Roman" w:hAnsi="Times New Roman"/>
          <w:sz w:val="28"/>
          <w:szCs w:val="28"/>
          <w:lang w:val="uk-UA"/>
        </w:rPr>
        <w:t>- надано послуги з монтажу 60 металевих інформаційних табличок розміром 100х60 мм на світлофорних опорах та на 20 світлофорних об`єктах у місті Луцьку;</w:t>
      </w:r>
    </w:p>
    <w:p>
      <w:pPr>
        <w:pStyle w:val="15"/>
        <w:spacing w:lineRule="auto" w:line="240"/>
        <w:ind w:left="0" w:firstLine="720"/>
        <w:jc w:val="both"/>
        <w:rPr/>
      </w:pPr>
      <w:r>
        <w:rPr>
          <w:rFonts w:cs="Times New Roman" w:ascii="Times New Roman" w:hAnsi="Times New Roman"/>
          <w:sz w:val="28"/>
          <w:szCs w:val="28"/>
          <w:lang w:val="uk-UA"/>
        </w:rPr>
        <w:t xml:space="preserve">- проведено поточний ремонт посадкових майданчиків зупинки громадського транспорту в місті Луцьку за адресами: міська лікарня на просп. Відродження, 13, просп. Молоді, 2, дитячий садок № 11 на просп. Соборності, 4, РЦ </w:t>
      </w:r>
      <w:bookmarkStart w:id="2" w:name="__DdeLink__491_594989361"/>
      <w:r>
        <w:rPr>
          <w:rFonts w:cs="Times New Roman" w:ascii="Times New Roman" w:hAnsi="Times New Roman"/>
          <w:sz w:val="28"/>
          <w:szCs w:val="28"/>
          <w:lang w:val="uk-UA"/>
        </w:rPr>
        <w:t>«П</w:t>
      </w:r>
      <w:bookmarkEnd w:id="2"/>
      <w:r>
        <w:rPr>
          <w:rFonts w:cs="Times New Roman" w:ascii="Times New Roman" w:hAnsi="Times New Roman"/>
          <w:sz w:val="28"/>
          <w:szCs w:val="28"/>
          <w:lang w:val="uk-UA"/>
        </w:rPr>
        <w:t>ромінь» на просп. Василя Мойсея (непарна сторона), на просп. Василя Мойсея, 2;</w:t>
      </w:r>
    </w:p>
    <w:p>
      <w:pPr>
        <w:pStyle w:val="15"/>
        <w:spacing w:lineRule="auto" w:line="240"/>
        <w:ind w:left="0" w:firstLine="720"/>
        <w:jc w:val="both"/>
        <w:rPr/>
      </w:pPr>
      <w:r>
        <w:rPr>
          <w:rFonts w:cs="Times New Roman" w:ascii="Times New Roman" w:hAnsi="Times New Roman"/>
          <w:sz w:val="28"/>
          <w:szCs w:val="28"/>
          <w:lang w:val="uk-UA"/>
        </w:rPr>
        <w:t xml:space="preserve">- побудовано </w:t>
      </w:r>
      <w:r>
        <w:rPr>
          <w:rFonts w:cs="Times New Roman" w:ascii="Times New Roman" w:hAnsi="Times New Roman"/>
          <w:sz w:val="28"/>
          <w:szCs w:val="28"/>
        </w:rPr>
        <w:t>світлофорн</w:t>
      </w:r>
      <w:r>
        <w:rPr>
          <w:rFonts w:cs="Times New Roman" w:ascii="Times New Roman" w:hAnsi="Times New Roman"/>
          <w:sz w:val="28"/>
          <w:szCs w:val="28"/>
          <w:lang w:val="uk-UA"/>
        </w:rPr>
        <w:t xml:space="preserve">і </w:t>
      </w:r>
      <w:r>
        <w:rPr>
          <w:rFonts w:cs="Times New Roman" w:ascii="Times New Roman" w:hAnsi="Times New Roman"/>
          <w:sz w:val="28"/>
          <w:szCs w:val="28"/>
        </w:rPr>
        <w:t>об`єкт</w:t>
      </w:r>
      <w:r>
        <w:rPr>
          <w:rFonts w:cs="Times New Roman" w:ascii="Times New Roman" w:hAnsi="Times New Roman"/>
          <w:sz w:val="28"/>
          <w:szCs w:val="28"/>
          <w:lang w:val="uk-UA"/>
        </w:rPr>
        <w:t xml:space="preserve">и </w:t>
      </w:r>
      <w:r>
        <w:rPr>
          <w:rFonts w:cs="Times New Roman" w:ascii="Times New Roman" w:hAnsi="Times New Roman"/>
          <w:sz w:val="28"/>
          <w:szCs w:val="28"/>
        </w:rPr>
        <w:t>на вул. </w:t>
      </w:r>
      <w:r>
        <w:rPr>
          <w:rFonts w:cs="Times New Roman" w:ascii="Times New Roman" w:hAnsi="Times New Roman"/>
          <w:sz w:val="28"/>
          <w:szCs w:val="28"/>
          <w:lang w:val="uk-UA"/>
        </w:rPr>
        <w:t>Дубнівській в районі КЗ ЗСО «Луцький ліцей № 28 Луцької міської ради</w:t>
      </w:r>
      <w:r>
        <w:rPr>
          <w:rFonts w:cs="Times New Roman" w:ascii="Times New Roman" w:hAnsi="Times New Roman"/>
          <w:sz w:val="28"/>
          <w:szCs w:val="28"/>
          <w:lang w:val="uk-UA" w:eastAsia="uk-UA"/>
        </w:rPr>
        <w:t xml:space="preserve">», </w:t>
      </w:r>
      <w:r>
        <w:rPr>
          <w:rFonts w:cs="Times New Roman" w:ascii="Times New Roman" w:hAnsi="Times New Roman"/>
          <w:sz w:val="28"/>
          <w:szCs w:val="28"/>
          <w:lang w:val="uk-UA"/>
        </w:rPr>
        <w:t>на перехресті вулиць Героїв УПА та Салтикова-Щедріна в місті Луцьку;</w:t>
      </w:r>
    </w:p>
    <w:p>
      <w:pPr>
        <w:pStyle w:val="15"/>
        <w:spacing w:lineRule="auto" w:line="240"/>
        <w:ind w:left="0" w:firstLine="720"/>
        <w:jc w:val="both"/>
        <w:rPr>
          <w:sz w:val="28"/>
          <w:szCs w:val="28"/>
        </w:rPr>
      </w:pPr>
      <w:r>
        <w:rPr>
          <w:rFonts w:cs="Times New Roman" w:ascii="Times New Roman" w:hAnsi="Times New Roman"/>
          <w:sz w:val="28"/>
          <w:szCs w:val="28"/>
          <w:lang w:val="uk-UA"/>
        </w:rPr>
        <w:t>- проведено капітальний ремонт світлофорного об’єкту на перехресті вулиць Львівська – Потебні в місті Луцьку.</w:t>
      </w:r>
    </w:p>
    <w:p>
      <w:pPr>
        <w:pStyle w:val="Normal"/>
        <w:jc w:val="center"/>
        <w:rPr>
          <w:b/>
          <w:b/>
          <w:sz w:val="28"/>
          <w:szCs w:val="28"/>
        </w:rPr>
      </w:pPr>
      <w:r>
        <w:rPr>
          <w:b/>
          <w:sz w:val="28"/>
          <w:szCs w:val="28"/>
        </w:rPr>
        <w:t xml:space="preserve">Структура доходів підприємства за 9 місяців 2021 року </w:t>
      </w:r>
    </w:p>
    <w:p>
      <w:pPr>
        <w:pStyle w:val="Normal"/>
        <w:jc w:val="center"/>
        <w:rPr>
          <w:b/>
          <w:b/>
          <w:sz w:val="28"/>
          <w:szCs w:val="28"/>
        </w:rPr>
      </w:pPr>
      <w:r>
        <w:rPr>
          <w:b/>
          <w:sz w:val="28"/>
          <w:szCs w:val="28"/>
        </w:rPr>
        <w:t xml:space="preserve">в порівнянні з відповідним періодом минулого року </w:t>
      </w:r>
    </w:p>
    <w:p>
      <w:pPr>
        <w:pStyle w:val="Normal"/>
        <w:jc w:val="center"/>
        <w:rPr>
          <w:sz w:val="27"/>
          <w:szCs w:val="27"/>
        </w:rPr>
      </w:pPr>
      <w:r>
        <w:rPr>
          <w:sz w:val="27"/>
          <w:szCs w:val="27"/>
        </w:rPr>
      </w:r>
    </w:p>
    <w:p>
      <w:pPr>
        <w:pStyle w:val="Normal"/>
        <w:tabs>
          <w:tab w:val="clear" w:pos="709"/>
          <w:tab w:val="left" w:pos="6090" w:leader="none"/>
        </w:tabs>
        <w:jc w:val="right"/>
        <w:rPr>
          <w:sz w:val="27"/>
          <w:szCs w:val="27"/>
        </w:rPr>
      </w:pPr>
      <w:r>
        <w:rPr/>
        <w:t>(з ПДВ в тис. грн)</w:t>
      </w:r>
    </w:p>
    <w:tbl>
      <w:tblPr>
        <w:tblW w:w="9478" w:type="dxa"/>
        <w:jc w:val="left"/>
        <w:tblInd w:w="128" w:type="dxa"/>
        <w:tblCellMar>
          <w:top w:w="0" w:type="dxa"/>
          <w:left w:w="108" w:type="dxa"/>
          <w:bottom w:w="0" w:type="dxa"/>
          <w:right w:w="108" w:type="dxa"/>
        </w:tblCellMar>
        <w:tblLook w:firstRow="0" w:noVBand="0" w:lastRow="0" w:firstColumn="0" w:lastColumn="0" w:noHBand="0" w:val="0000"/>
      </w:tblPr>
      <w:tblGrid>
        <w:gridCol w:w="616"/>
        <w:gridCol w:w="4449"/>
        <w:gridCol w:w="1290"/>
        <w:gridCol w:w="1561"/>
        <w:gridCol w:w="1562"/>
      </w:tblGrid>
      <w:tr>
        <w:trPr>
          <w:trHeight w:val="423" w:hRule="atLeast"/>
        </w:trPr>
        <w:tc>
          <w:tcPr>
            <w:tcW w:w="616" w:type="dxa"/>
            <w:tcBorders>
              <w:top w:val="single" w:sz="4" w:space="0" w:color="000000"/>
              <w:left w:val="single" w:sz="4" w:space="0" w:color="000000"/>
              <w:bottom w:val="single" w:sz="4" w:space="0" w:color="000000"/>
            </w:tcBorders>
            <w:shd w:color="auto" w:fill="auto" w:val="clear"/>
          </w:tcPr>
          <w:p>
            <w:pPr>
              <w:pStyle w:val="Normal"/>
              <w:widowControl w:val="false"/>
              <w:jc w:val="center"/>
              <w:rPr>
                <w:color w:val="FF0000"/>
              </w:rPr>
            </w:pPr>
            <w:r>
              <w:rPr>
                <w:color w:val="000000"/>
                <w:sz w:val="27"/>
                <w:szCs w:val="27"/>
              </w:rPr>
              <w:t xml:space="preserve">№ </w:t>
            </w:r>
            <w:r>
              <w:rPr>
                <w:color w:val="000000"/>
                <w:sz w:val="27"/>
                <w:szCs w:val="27"/>
              </w:rPr>
              <w:t>з/п</w:t>
            </w:r>
          </w:p>
        </w:tc>
        <w:tc>
          <w:tcPr>
            <w:tcW w:w="4449"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center"/>
              <w:rPr>
                <w:color w:val="FF0000"/>
                <w:sz w:val="27"/>
                <w:szCs w:val="27"/>
              </w:rPr>
            </w:pPr>
            <w:r>
              <w:rPr>
                <w:color w:val="FF0000"/>
                <w:sz w:val="27"/>
                <w:szCs w:val="27"/>
              </w:rPr>
            </w:r>
          </w:p>
        </w:tc>
        <w:tc>
          <w:tcPr>
            <w:tcW w:w="1290" w:type="dxa"/>
            <w:tcBorders>
              <w:top w:val="single" w:sz="4" w:space="0" w:color="000000"/>
              <w:left w:val="single" w:sz="4" w:space="0" w:color="000000"/>
              <w:bottom w:val="single" w:sz="4" w:space="0" w:color="000000"/>
            </w:tcBorders>
            <w:shd w:color="auto" w:fill="auto" w:val="clear"/>
          </w:tcPr>
          <w:p>
            <w:pPr>
              <w:pStyle w:val="Normal"/>
              <w:widowControl w:val="false"/>
              <w:jc w:val="center"/>
              <w:rPr>
                <w:color w:val="000000"/>
              </w:rPr>
            </w:pPr>
            <w:r>
              <w:rPr>
                <w:color w:val="000000"/>
                <w:sz w:val="27"/>
                <w:szCs w:val="27"/>
              </w:rPr>
              <w:t>9 місяців 2021 р.</w:t>
            </w:r>
          </w:p>
        </w:tc>
        <w:tc>
          <w:tcPr>
            <w:tcW w:w="1561" w:type="dxa"/>
            <w:tcBorders>
              <w:top w:val="single" w:sz="4" w:space="0" w:color="000000"/>
              <w:left w:val="single" w:sz="4" w:space="0" w:color="000000"/>
              <w:bottom w:val="single" w:sz="4" w:space="0" w:color="000000"/>
            </w:tcBorders>
            <w:shd w:color="auto" w:fill="auto" w:val="clear"/>
          </w:tcPr>
          <w:p>
            <w:pPr>
              <w:pStyle w:val="Normal"/>
              <w:widowControl w:val="false"/>
              <w:jc w:val="center"/>
              <w:rPr>
                <w:color w:val="000000"/>
              </w:rPr>
            </w:pPr>
            <w:r>
              <w:rPr>
                <w:color w:val="000000"/>
                <w:sz w:val="27"/>
                <w:szCs w:val="27"/>
              </w:rPr>
              <w:t>9 місяців 2020 р.</w:t>
            </w:r>
          </w:p>
        </w:tc>
        <w:tc>
          <w:tcPr>
            <w:tcW w:w="15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color w:val="FF0000"/>
                <w:sz w:val="27"/>
                <w:szCs w:val="27"/>
              </w:rPr>
            </w:pPr>
            <w:r>
              <w:rPr>
                <w:color w:val="000000"/>
                <w:sz w:val="27"/>
                <w:szCs w:val="27"/>
              </w:rPr>
              <w:t>Відхилення</w:t>
            </w:r>
          </w:p>
          <w:p>
            <w:pPr>
              <w:pStyle w:val="Normal"/>
              <w:widowControl w:val="false"/>
              <w:jc w:val="center"/>
              <w:rPr>
                <w:color w:val="FF0000"/>
                <w:sz w:val="27"/>
                <w:szCs w:val="27"/>
              </w:rPr>
            </w:pPr>
            <w:r>
              <w:rPr>
                <w:color w:val="000000"/>
                <w:sz w:val="27"/>
                <w:szCs w:val="27"/>
              </w:rPr>
              <w:t>+,-</w:t>
            </w:r>
          </w:p>
        </w:tc>
      </w:tr>
      <w:tr>
        <w:trPr/>
        <w:tc>
          <w:tcPr>
            <w:tcW w:w="616"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center"/>
              <w:rPr>
                <w:sz w:val="27"/>
                <w:szCs w:val="27"/>
              </w:rPr>
            </w:pPr>
            <w:r>
              <w:rPr>
                <w:sz w:val="27"/>
                <w:szCs w:val="27"/>
              </w:rPr>
              <w:t>І</w:t>
            </w:r>
          </w:p>
        </w:tc>
        <w:tc>
          <w:tcPr>
            <w:tcW w:w="4449" w:type="dxa"/>
            <w:tcBorders>
              <w:top w:val="single" w:sz="4" w:space="0" w:color="000000"/>
              <w:left w:val="single" w:sz="4" w:space="0" w:color="000000"/>
              <w:bottom w:val="single" w:sz="4" w:space="0" w:color="000000"/>
            </w:tcBorders>
            <w:shd w:color="auto" w:fill="auto" w:val="clear"/>
          </w:tcPr>
          <w:p>
            <w:pPr>
              <w:pStyle w:val="Normal"/>
              <w:widowControl w:val="false"/>
              <w:jc w:val="both"/>
              <w:rPr/>
            </w:pPr>
            <w:r>
              <w:rPr>
                <w:b/>
                <w:bCs/>
                <w:sz w:val="27"/>
                <w:szCs w:val="27"/>
              </w:rPr>
              <w:t>Дохід</w:t>
            </w:r>
            <w:r>
              <w:rPr>
                <w:sz w:val="27"/>
                <w:szCs w:val="27"/>
              </w:rPr>
              <w:t xml:space="preserve"> (виручка) від реалізації</w:t>
            </w:r>
          </w:p>
        </w:tc>
        <w:tc>
          <w:tcPr>
            <w:tcW w:w="1290" w:type="dxa"/>
            <w:tcBorders>
              <w:top w:val="single" w:sz="4" w:space="0" w:color="000000"/>
              <w:left w:val="single" w:sz="4" w:space="0" w:color="000000"/>
              <w:bottom w:val="single" w:sz="4" w:space="0" w:color="000000"/>
            </w:tcBorders>
            <w:shd w:color="auto" w:fill="auto" w:val="clear"/>
          </w:tcPr>
          <w:p>
            <w:pPr>
              <w:pStyle w:val="Normal"/>
              <w:widowControl w:val="false"/>
              <w:jc w:val="right"/>
              <w:rPr>
                <w:sz w:val="27"/>
                <w:szCs w:val="27"/>
              </w:rPr>
            </w:pPr>
            <w:r>
              <w:rPr>
                <w:sz w:val="27"/>
                <w:szCs w:val="27"/>
              </w:rPr>
              <w:t>21 143,1</w:t>
            </w:r>
          </w:p>
        </w:tc>
        <w:tc>
          <w:tcPr>
            <w:tcW w:w="1561" w:type="dxa"/>
            <w:tcBorders>
              <w:top w:val="single" w:sz="4" w:space="0" w:color="000000"/>
              <w:left w:val="single" w:sz="4" w:space="0" w:color="000000"/>
              <w:bottom w:val="single" w:sz="4" w:space="0" w:color="000000"/>
            </w:tcBorders>
            <w:shd w:color="auto" w:fill="auto" w:val="clear"/>
          </w:tcPr>
          <w:p>
            <w:pPr>
              <w:pStyle w:val="Normal"/>
              <w:widowControl w:val="false"/>
              <w:jc w:val="right"/>
              <w:rPr/>
            </w:pPr>
            <w:r>
              <w:rPr>
                <w:sz w:val="27"/>
                <w:szCs w:val="27"/>
              </w:rPr>
              <w:t>20 758,0</w:t>
            </w:r>
          </w:p>
        </w:tc>
        <w:tc>
          <w:tcPr>
            <w:tcW w:w="15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jc w:val="right"/>
              <w:rPr>
                <w:sz w:val="27"/>
                <w:szCs w:val="27"/>
              </w:rPr>
            </w:pPr>
            <w:r>
              <w:rPr>
                <w:sz w:val="27"/>
                <w:szCs w:val="27"/>
              </w:rPr>
            </w:r>
          </w:p>
        </w:tc>
      </w:tr>
      <w:tr>
        <w:trPr/>
        <w:tc>
          <w:tcPr>
            <w:tcW w:w="616"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center"/>
              <w:rPr>
                <w:sz w:val="27"/>
                <w:szCs w:val="27"/>
              </w:rPr>
            </w:pPr>
            <w:r>
              <w:rPr>
                <w:sz w:val="27"/>
                <w:szCs w:val="27"/>
              </w:rPr>
            </w:r>
          </w:p>
        </w:tc>
        <w:tc>
          <w:tcPr>
            <w:tcW w:w="4449" w:type="dxa"/>
            <w:tcBorders>
              <w:top w:val="single" w:sz="4" w:space="0" w:color="000000"/>
              <w:left w:val="single" w:sz="4" w:space="0" w:color="000000"/>
              <w:bottom w:val="single" w:sz="4" w:space="0" w:color="000000"/>
            </w:tcBorders>
            <w:shd w:color="auto" w:fill="auto" w:val="clear"/>
          </w:tcPr>
          <w:p>
            <w:pPr>
              <w:pStyle w:val="Normal"/>
              <w:widowControl w:val="false"/>
              <w:jc w:val="both"/>
              <w:rPr>
                <w:sz w:val="27"/>
                <w:szCs w:val="27"/>
              </w:rPr>
            </w:pPr>
            <w:r>
              <w:rPr>
                <w:sz w:val="27"/>
                <w:szCs w:val="27"/>
              </w:rPr>
              <w:t>в т. ч. фінансування з бюджету міської</w:t>
            </w:r>
          </w:p>
        </w:tc>
        <w:tc>
          <w:tcPr>
            <w:tcW w:w="1290" w:type="dxa"/>
            <w:tcBorders>
              <w:top w:val="single" w:sz="4" w:space="0" w:color="000000"/>
              <w:left w:val="single" w:sz="4" w:space="0" w:color="000000"/>
              <w:bottom w:val="single" w:sz="4" w:space="0" w:color="000000"/>
            </w:tcBorders>
            <w:shd w:color="auto" w:fill="auto" w:val="clear"/>
          </w:tcPr>
          <w:p>
            <w:pPr>
              <w:pStyle w:val="Normal"/>
              <w:widowControl w:val="false"/>
              <w:jc w:val="right"/>
              <w:rPr>
                <w:highlight w:val="white"/>
              </w:rPr>
            </w:pPr>
            <w:r>
              <w:rPr>
                <w:sz w:val="27"/>
                <w:szCs w:val="27"/>
                <w:shd w:fill="FFFFFF" w:val="clear"/>
              </w:rPr>
              <w:t>17 260,0</w:t>
            </w:r>
          </w:p>
        </w:tc>
        <w:tc>
          <w:tcPr>
            <w:tcW w:w="1561" w:type="dxa"/>
            <w:tcBorders>
              <w:top w:val="single" w:sz="4" w:space="0" w:color="000000"/>
              <w:left w:val="single" w:sz="4" w:space="0" w:color="000000"/>
              <w:bottom w:val="single" w:sz="4" w:space="0" w:color="000000"/>
            </w:tcBorders>
            <w:shd w:color="auto" w:fill="auto" w:val="clear"/>
          </w:tcPr>
          <w:p>
            <w:pPr>
              <w:pStyle w:val="Normal"/>
              <w:widowControl w:val="false"/>
              <w:jc w:val="right"/>
              <w:rPr>
                <w:highlight w:val="white"/>
              </w:rPr>
            </w:pPr>
            <w:r>
              <w:rPr>
                <w:sz w:val="27"/>
                <w:szCs w:val="27"/>
                <w:shd w:fill="FFFFFF" w:val="clear"/>
              </w:rPr>
              <w:t>13 460,0</w:t>
            </w:r>
          </w:p>
        </w:tc>
        <w:tc>
          <w:tcPr>
            <w:tcW w:w="15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sz w:val="27"/>
                <w:szCs w:val="27"/>
              </w:rPr>
            </w:pPr>
            <w:r>
              <w:rPr>
                <w:sz w:val="27"/>
                <w:szCs w:val="27"/>
              </w:rPr>
              <w:t>+3 800</w:t>
            </w:r>
          </w:p>
        </w:tc>
      </w:tr>
      <w:tr>
        <w:trPr/>
        <w:tc>
          <w:tcPr>
            <w:tcW w:w="616" w:type="dxa"/>
            <w:tcBorders>
              <w:top w:val="single" w:sz="4" w:space="0" w:color="000000"/>
              <w:left w:val="single" w:sz="4" w:space="0" w:color="000000"/>
              <w:bottom w:val="single" w:sz="4" w:space="0" w:color="000000"/>
            </w:tcBorders>
            <w:shd w:color="auto" w:fill="auto" w:val="clear"/>
          </w:tcPr>
          <w:p>
            <w:pPr>
              <w:pStyle w:val="Normal"/>
              <w:widowControl w:val="false"/>
              <w:jc w:val="center"/>
              <w:rPr>
                <w:sz w:val="27"/>
                <w:szCs w:val="27"/>
              </w:rPr>
            </w:pPr>
            <w:r>
              <w:rPr>
                <w:sz w:val="27"/>
                <w:szCs w:val="27"/>
              </w:rPr>
              <w:t>1.</w:t>
            </w:r>
          </w:p>
        </w:tc>
        <w:tc>
          <w:tcPr>
            <w:tcW w:w="4449" w:type="dxa"/>
            <w:tcBorders>
              <w:top w:val="single" w:sz="4" w:space="0" w:color="000000"/>
              <w:left w:val="single" w:sz="4" w:space="0" w:color="000000"/>
              <w:bottom w:val="single" w:sz="4" w:space="0" w:color="000000"/>
            </w:tcBorders>
            <w:shd w:color="auto" w:fill="auto" w:val="clear"/>
          </w:tcPr>
          <w:p>
            <w:pPr>
              <w:pStyle w:val="Normal"/>
              <w:widowControl w:val="false"/>
              <w:jc w:val="both"/>
              <w:rPr>
                <w:sz w:val="27"/>
                <w:szCs w:val="27"/>
              </w:rPr>
            </w:pPr>
            <w:r>
              <w:rPr>
                <w:sz w:val="27"/>
                <w:szCs w:val="27"/>
              </w:rPr>
              <w:t>Утримання, технічне обслуговування та ремонт мереж зовнішнього освітлення та світлофорних об’єктів</w:t>
            </w:r>
          </w:p>
        </w:tc>
        <w:tc>
          <w:tcPr>
            <w:tcW w:w="1290"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right"/>
              <w:rPr>
                <w:sz w:val="27"/>
                <w:szCs w:val="27"/>
                <w:highlight w:val="white"/>
              </w:rPr>
            </w:pPr>
            <w:r>
              <w:rPr>
                <w:sz w:val="27"/>
                <w:szCs w:val="27"/>
                <w:highlight w:val="white"/>
              </w:rPr>
            </w:r>
          </w:p>
          <w:p>
            <w:pPr>
              <w:pStyle w:val="Normal"/>
              <w:widowControl w:val="false"/>
              <w:jc w:val="right"/>
              <w:rPr>
                <w:highlight w:val="white"/>
              </w:rPr>
            </w:pPr>
            <w:r>
              <w:rPr>
                <w:sz w:val="27"/>
                <w:szCs w:val="27"/>
                <w:shd w:fill="FFFFFF" w:val="clear"/>
              </w:rPr>
              <w:t>7 060,0</w:t>
            </w:r>
          </w:p>
        </w:tc>
        <w:tc>
          <w:tcPr>
            <w:tcW w:w="1561"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right"/>
              <w:rPr>
                <w:sz w:val="27"/>
                <w:szCs w:val="27"/>
                <w:highlight w:val="white"/>
              </w:rPr>
            </w:pPr>
            <w:r>
              <w:rPr>
                <w:sz w:val="27"/>
                <w:szCs w:val="27"/>
                <w:highlight w:val="white"/>
              </w:rPr>
            </w:r>
          </w:p>
          <w:p>
            <w:pPr>
              <w:pStyle w:val="Normal"/>
              <w:widowControl w:val="false"/>
              <w:jc w:val="right"/>
              <w:rPr>
                <w:highlight w:val="white"/>
              </w:rPr>
            </w:pPr>
            <w:r>
              <w:rPr>
                <w:sz w:val="27"/>
                <w:szCs w:val="27"/>
                <w:shd w:fill="FFFFFF" w:val="clear"/>
              </w:rPr>
              <w:t>6 820,0</w:t>
            </w:r>
          </w:p>
        </w:tc>
        <w:tc>
          <w:tcPr>
            <w:tcW w:w="15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jc w:val="right"/>
              <w:rPr>
                <w:sz w:val="27"/>
                <w:szCs w:val="27"/>
              </w:rPr>
            </w:pPr>
            <w:r>
              <w:rPr>
                <w:sz w:val="27"/>
                <w:szCs w:val="27"/>
              </w:rPr>
            </w:r>
          </w:p>
          <w:p>
            <w:pPr>
              <w:pStyle w:val="Normal"/>
              <w:widowControl w:val="false"/>
              <w:jc w:val="right"/>
              <w:rPr>
                <w:sz w:val="27"/>
                <w:szCs w:val="27"/>
              </w:rPr>
            </w:pPr>
            <w:r>
              <w:rPr>
                <w:sz w:val="27"/>
                <w:szCs w:val="27"/>
              </w:rPr>
              <w:t>+240</w:t>
            </w:r>
          </w:p>
        </w:tc>
      </w:tr>
      <w:tr>
        <w:trPr/>
        <w:tc>
          <w:tcPr>
            <w:tcW w:w="616" w:type="dxa"/>
            <w:tcBorders>
              <w:top w:val="single" w:sz="4" w:space="0" w:color="000000"/>
              <w:left w:val="single" w:sz="4" w:space="0" w:color="000000"/>
              <w:bottom w:val="single" w:sz="4" w:space="0" w:color="000000"/>
            </w:tcBorders>
            <w:shd w:color="auto" w:fill="auto" w:val="clear"/>
          </w:tcPr>
          <w:p>
            <w:pPr>
              <w:pStyle w:val="Normal"/>
              <w:widowControl w:val="false"/>
              <w:jc w:val="center"/>
              <w:rPr>
                <w:sz w:val="27"/>
                <w:szCs w:val="27"/>
              </w:rPr>
            </w:pPr>
            <w:r>
              <w:rPr>
                <w:sz w:val="27"/>
                <w:szCs w:val="27"/>
              </w:rPr>
              <w:t>2.</w:t>
            </w:r>
          </w:p>
        </w:tc>
        <w:tc>
          <w:tcPr>
            <w:tcW w:w="4449" w:type="dxa"/>
            <w:tcBorders>
              <w:top w:val="single" w:sz="4" w:space="0" w:color="000000"/>
              <w:left w:val="single" w:sz="4" w:space="0" w:color="000000"/>
              <w:bottom w:val="single" w:sz="4" w:space="0" w:color="000000"/>
            </w:tcBorders>
            <w:shd w:color="auto" w:fill="auto" w:val="clear"/>
          </w:tcPr>
          <w:p>
            <w:pPr>
              <w:pStyle w:val="Normal"/>
              <w:widowControl w:val="false"/>
              <w:jc w:val="both"/>
              <w:rPr>
                <w:sz w:val="27"/>
                <w:szCs w:val="27"/>
              </w:rPr>
            </w:pPr>
            <w:r>
              <w:rPr>
                <w:sz w:val="27"/>
                <w:szCs w:val="27"/>
              </w:rPr>
              <w:t>Електроенергія на освітлення вулиць Луцької міської територіальної громади та забезпечення роботи світлофорних об’єктів</w:t>
            </w:r>
          </w:p>
        </w:tc>
        <w:tc>
          <w:tcPr>
            <w:tcW w:w="1290"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right"/>
              <w:rPr>
                <w:sz w:val="27"/>
                <w:szCs w:val="27"/>
              </w:rPr>
            </w:pPr>
            <w:r>
              <w:rPr>
                <w:sz w:val="27"/>
                <w:szCs w:val="27"/>
              </w:rPr>
            </w:r>
          </w:p>
          <w:p>
            <w:pPr>
              <w:pStyle w:val="Normal"/>
              <w:widowControl w:val="false"/>
              <w:jc w:val="right"/>
              <w:rPr/>
            </w:pPr>
            <w:r>
              <w:rPr>
                <w:sz w:val="27"/>
                <w:szCs w:val="27"/>
              </w:rPr>
              <w:t>10 200,0</w:t>
            </w:r>
          </w:p>
        </w:tc>
        <w:tc>
          <w:tcPr>
            <w:tcW w:w="1561"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right"/>
              <w:rPr>
                <w:sz w:val="27"/>
                <w:szCs w:val="27"/>
              </w:rPr>
            </w:pPr>
            <w:r>
              <w:rPr>
                <w:sz w:val="27"/>
                <w:szCs w:val="27"/>
              </w:rPr>
            </w:r>
          </w:p>
          <w:p>
            <w:pPr>
              <w:pStyle w:val="Normal"/>
              <w:widowControl w:val="false"/>
              <w:jc w:val="right"/>
              <w:rPr/>
            </w:pPr>
            <w:r>
              <w:rPr>
                <w:sz w:val="27"/>
                <w:szCs w:val="27"/>
              </w:rPr>
              <w:t>6 640,0</w:t>
            </w:r>
          </w:p>
        </w:tc>
        <w:tc>
          <w:tcPr>
            <w:tcW w:w="15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jc w:val="right"/>
              <w:rPr>
                <w:sz w:val="27"/>
                <w:szCs w:val="27"/>
              </w:rPr>
            </w:pPr>
            <w:r>
              <w:rPr>
                <w:sz w:val="27"/>
                <w:szCs w:val="27"/>
              </w:rPr>
            </w:r>
          </w:p>
          <w:p>
            <w:pPr>
              <w:pStyle w:val="Normal"/>
              <w:widowControl w:val="false"/>
              <w:jc w:val="right"/>
              <w:rPr>
                <w:sz w:val="27"/>
                <w:szCs w:val="27"/>
              </w:rPr>
            </w:pPr>
            <w:r>
              <w:rPr>
                <w:sz w:val="27"/>
                <w:szCs w:val="27"/>
              </w:rPr>
              <w:t>+3 560</w:t>
            </w:r>
          </w:p>
        </w:tc>
      </w:tr>
      <w:tr>
        <w:trPr/>
        <w:tc>
          <w:tcPr>
            <w:tcW w:w="616" w:type="dxa"/>
            <w:tcBorders>
              <w:top w:val="single" w:sz="4" w:space="0" w:color="000000"/>
              <w:left w:val="single" w:sz="4" w:space="0" w:color="000000"/>
              <w:bottom w:val="single" w:sz="4" w:space="0" w:color="000000"/>
            </w:tcBorders>
            <w:shd w:color="auto" w:fill="auto" w:val="clear"/>
          </w:tcPr>
          <w:p>
            <w:pPr>
              <w:pStyle w:val="Normal"/>
              <w:widowControl w:val="false"/>
              <w:jc w:val="center"/>
              <w:rPr>
                <w:sz w:val="27"/>
                <w:szCs w:val="27"/>
              </w:rPr>
            </w:pPr>
            <w:r>
              <w:rPr>
                <w:sz w:val="27"/>
                <w:szCs w:val="27"/>
              </w:rPr>
              <w:t>ІІ</w:t>
            </w:r>
          </w:p>
        </w:tc>
        <w:tc>
          <w:tcPr>
            <w:tcW w:w="4449" w:type="dxa"/>
            <w:tcBorders>
              <w:top w:val="single" w:sz="4" w:space="0" w:color="000000"/>
              <w:left w:val="single" w:sz="4" w:space="0" w:color="000000"/>
              <w:bottom w:val="single" w:sz="4" w:space="0" w:color="000000"/>
            </w:tcBorders>
            <w:shd w:color="auto" w:fill="auto" w:val="clear"/>
          </w:tcPr>
          <w:p>
            <w:pPr>
              <w:pStyle w:val="Normal"/>
              <w:widowControl w:val="false"/>
              <w:jc w:val="both"/>
              <w:rPr/>
            </w:pPr>
            <w:r>
              <w:rPr>
                <w:b/>
                <w:sz w:val="27"/>
                <w:szCs w:val="27"/>
              </w:rPr>
              <w:t>Інші роботи, послуги згідно договорів</w:t>
            </w:r>
          </w:p>
        </w:tc>
        <w:tc>
          <w:tcPr>
            <w:tcW w:w="1290" w:type="dxa"/>
            <w:tcBorders>
              <w:top w:val="single" w:sz="4" w:space="0" w:color="000000"/>
              <w:left w:val="single" w:sz="4" w:space="0" w:color="000000"/>
              <w:bottom w:val="single" w:sz="4" w:space="0" w:color="000000"/>
            </w:tcBorders>
            <w:shd w:color="auto" w:fill="auto" w:val="clear"/>
          </w:tcPr>
          <w:p>
            <w:pPr>
              <w:pStyle w:val="Normal"/>
              <w:widowControl w:val="false"/>
              <w:jc w:val="right"/>
              <w:rPr>
                <w:sz w:val="27"/>
                <w:szCs w:val="27"/>
              </w:rPr>
            </w:pPr>
            <w:r>
              <w:rPr>
                <w:sz w:val="27"/>
                <w:szCs w:val="27"/>
              </w:rPr>
              <w:t>3 883,1</w:t>
            </w:r>
          </w:p>
        </w:tc>
        <w:tc>
          <w:tcPr>
            <w:tcW w:w="1561" w:type="dxa"/>
            <w:tcBorders>
              <w:top w:val="single" w:sz="4" w:space="0" w:color="000000"/>
              <w:left w:val="single" w:sz="4" w:space="0" w:color="000000"/>
              <w:bottom w:val="single" w:sz="4" w:space="0" w:color="000000"/>
            </w:tcBorders>
            <w:shd w:color="auto" w:fill="auto" w:val="clear"/>
          </w:tcPr>
          <w:p>
            <w:pPr>
              <w:pStyle w:val="Normal"/>
              <w:widowControl w:val="false"/>
              <w:jc w:val="right"/>
              <w:rPr/>
            </w:pPr>
            <w:r>
              <w:rPr>
                <w:sz w:val="27"/>
                <w:szCs w:val="27"/>
              </w:rPr>
              <w:t>7 298,0</w:t>
            </w:r>
          </w:p>
        </w:tc>
        <w:tc>
          <w:tcPr>
            <w:tcW w:w="15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sz w:val="27"/>
                <w:szCs w:val="27"/>
              </w:rPr>
            </w:pPr>
            <w:r>
              <w:rPr>
                <w:sz w:val="27"/>
                <w:szCs w:val="27"/>
              </w:rPr>
              <w:t>-3 414,9</w:t>
            </w:r>
          </w:p>
        </w:tc>
      </w:tr>
      <w:tr>
        <w:trPr/>
        <w:tc>
          <w:tcPr>
            <w:tcW w:w="616"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center"/>
              <w:rPr>
                <w:b/>
                <w:b/>
                <w:sz w:val="27"/>
                <w:szCs w:val="27"/>
              </w:rPr>
            </w:pPr>
            <w:r>
              <w:rPr>
                <w:b/>
                <w:sz w:val="27"/>
                <w:szCs w:val="27"/>
              </w:rPr>
            </w:r>
          </w:p>
        </w:tc>
        <w:tc>
          <w:tcPr>
            <w:tcW w:w="4449" w:type="dxa"/>
            <w:tcBorders>
              <w:top w:val="single" w:sz="4" w:space="0" w:color="000000"/>
              <w:left w:val="single" w:sz="4" w:space="0" w:color="000000"/>
              <w:bottom w:val="single" w:sz="4" w:space="0" w:color="000000"/>
            </w:tcBorders>
            <w:shd w:color="auto" w:fill="auto" w:val="clear"/>
          </w:tcPr>
          <w:p>
            <w:pPr>
              <w:pStyle w:val="Normal"/>
              <w:widowControl w:val="false"/>
              <w:rPr/>
            </w:pPr>
            <w:r>
              <w:rPr>
                <w:sz w:val="27"/>
                <w:szCs w:val="27"/>
              </w:rPr>
              <w:t>в т. ч.</w:t>
            </w:r>
          </w:p>
        </w:tc>
        <w:tc>
          <w:tcPr>
            <w:tcW w:w="1290"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right"/>
              <w:rPr>
                <w:b/>
                <w:b/>
                <w:sz w:val="27"/>
                <w:szCs w:val="27"/>
              </w:rPr>
            </w:pPr>
            <w:r>
              <w:rPr>
                <w:b/>
                <w:sz w:val="27"/>
                <w:szCs w:val="27"/>
              </w:rPr>
            </w:r>
          </w:p>
        </w:tc>
        <w:tc>
          <w:tcPr>
            <w:tcW w:w="1561"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right"/>
              <w:rPr>
                <w:b/>
                <w:b/>
                <w:sz w:val="27"/>
                <w:szCs w:val="27"/>
              </w:rPr>
            </w:pPr>
            <w:r>
              <w:rPr>
                <w:b/>
                <w:sz w:val="27"/>
                <w:szCs w:val="27"/>
              </w:rPr>
            </w:r>
          </w:p>
        </w:tc>
        <w:tc>
          <w:tcPr>
            <w:tcW w:w="15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jc w:val="right"/>
              <w:rPr>
                <w:b/>
                <w:b/>
                <w:sz w:val="27"/>
                <w:szCs w:val="27"/>
              </w:rPr>
            </w:pPr>
            <w:r>
              <w:rPr>
                <w:b/>
                <w:sz w:val="27"/>
                <w:szCs w:val="27"/>
              </w:rPr>
            </w:r>
          </w:p>
        </w:tc>
      </w:tr>
      <w:tr>
        <w:trPr/>
        <w:tc>
          <w:tcPr>
            <w:tcW w:w="616" w:type="dxa"/>
            <w:tcBorders>
              <w:top w:val="single" w:sz="4" w:space="0" w:color="000000"/>
              <w:left w:val="single" w:sz="4" w:space="0" w:color="000000"/>
              <w:bottom w:val="single" w:sz="4" w:space="0" w:color="000000"/>
            </w:tcBorders>
            <w:shd w:color="auto" w:fill="auto" w:val="clear"/>
          </w:tcPr>
          <w:p>
            <w:pPr>
              <w:pStyle w:val="Normal"/>
              <w:widowControl w:val="false"/>
              <w:jc w:val="center"/>
              <w:rPr>
                <w:sz w:val="27"/>
                <w:szCs w:val="27"/>
              </w:rPr>
            </w:pPr>
            <w:r>
              <w:rPr>
                <w:sz w:val="27"/>
                <w:szCs w:val="27"/>
              </w:rPr>
              <w:t>1.</w:t>
            </w:r>
          </w:p>
        </w:tc>
        <w:tc>
          <w:tcPr>
            <w:tcW w:w="4449" w:type="dxa"/>
            <w:tcBorders>
              <w:top w:val="single" w:sz="4" w:space="0" w:color="000000"/>
              <w:left w:val="single" w:sz="4" w:space="0" w:color="000000"/>
              <w:bottom w:val="single" w:sz="4" w:space="0" w:color="000000"/>
            </w:tcBorders>
            <w:shd w:color="auto" w:fill="auto" w:val="clear"/>
          </w:tcPr>
          <w:p>
            <w:pPr>
              <w:pStyle w:val="Normal"/>
              <w:widowControl w:val="false"/>
              <w:jc w:val="both"/>
              <w:rPr>
                <w:sz w:val="27"/>
                <w:szCs w:val="27"/>
              </w:rPr>
            </w:pPr>
            <w:r>
              <w:rPr>
                <w:sz w:val="27"/>
                <w:szCs w:val="27"/>
              </w:rPr>
              <w:t>Обслуговування електромереж рекламних засобів, оптоволоконного кабелю</w:t>
            </w:r>
          </w:p>
        </w:tc>
        <w:tc>
          <w:tcPr>
            <w:tcW w:w="1290" w:type="dxa"/>
            <w:tcBorders>
              <w:top w:val="single" w:sz="4" w:space="0" w:color="000000"/>
              <w:left w:val="single" w:sz="4" w:space="0" w:color="000000"/>
              <w:bottom w:val="single" w:sz="4" w:space="0" w:color="000000"/>
            </w:tcBorders>
            <w:shd w:color="auto" w:fill="auto" w:val="clear"/>
          </w:tcPr>
          <w:p>
            <w:pPr>
              <w:pStyle w:val="Normal"/>
              <w:widowControl w:val="false"/>
              <w:jc w:val="right"/>
              <w:rPr>
                <w:sz w:val="27"/>
                <w:szCs w:val="27"/>
              </w:rPr>
            </w:pPr>
            <w:r>
              <w:rPr>
                <w:sz w:val="27"/>
                <w:szCs w:val="27"/>
              </w:rPr>
              <w:t>947,9</w:t>
            </w:r>
          </w:p>
        </w:tc>
        <w:tc>
          <w:tcPr>
            <w:tcW w:w="1561" w:type="dxa"/>
            <w:tcBorders>
              <w:top w:val="single" w:sz="4" w:space="0" w:color="000000"/>
              <w:left w:val="single" w:sz="4" w:space="0" w:color="000000"/>
              <w:bottom w:val="single" w:sz="4" w:space="0" w:color="000000"/>
            </w:tcBorders>
            <w:shd w:color="auto" w:fill="auto" w:val="clear"/>
          </w:tcPr>
          <w:p>
            <w:pPr>
              <w:pStyle w:val="Normal"/>
              <w:widowControl w:val="false"/>
              <w:jc w:val="right"/>
              <w:rPr>
                <w:sz w:val="27"/>
                <w:szCs w:val="27"/>
              </w:rPr>
            </w:pPr>
            <w:r>
              <w:rPr>
                <w:sz w:val="27"/>
                <w:szCs w:val="27"/>
              </w:rPr>
              <w:t>757,1</w:t>
            </w:r>
          </w:p>
        </w:tc>
        <w:tc>
          <w:tcPr>
            <w:tcW w:w="15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sz w:val="27"/>
                <w:szCs w:val="27"/>
              </w:rPr>
            </w:pPr>
            <w:r>
              <w:rPr>
                <w:sz w:val="27"/>
                <w:szCs w:val="27"/>
              </w:rPr>
              <w:t>+190,8</w:t>
            </w:r>
          </w:p>
        </w:tc>
      </w:tr>
      <w:tr>
        <w:trPr/>
        <w:tc>
          <w:tcPr>
            <w:tcW w:w="616" w:type="dxa"/>
            <w:tcBorders>
              <w:top w:val="single" w:sz="4" w:space="0" w:color="000000"/>
              <w:left w:val="single" w:sz="4" w:space="0" w:color="000000"/>
              <w:bottom w:val="single" w:sz="4" w:space="0" w:color="000000"/>
            </w:tcBorders>
            <w:shd w:color="auto" w:fill="auto" w:val="clear"/>
          </w:tcPr>
          <w:p>
            <w:pPr>
              <w:pStyle w:val="Normal"/>
              <w:widowControl w:val="false"/>
              <w:jc w:val="center"/>
              <w:rPr>
                <w:sz w:val="27"/>
                <w:szCs w:val="27"/>
              </w:rPr>
            </w:pPr>
            <w:r>
              <w:rPr>
                <w:sz w:val="27"/>
                <w:szCs w:val="27"/>
              </w:rPr>
              <w:t>2.</w:t>
            </w:r>
          </w:p>
        </w:tc>
        <w:tc>
          <w:tcPr>
            <w:tcW w:w="4449" w:type="dxa"/>
            <w:tcBorders>
              <w:top w:val="single" w:sz="4" w:space="0" w:color="000000"/>
              <w:left w:val="single" w:sz="4" w:space="0" w:color="000000"/>
              <w:bottom w:val="single" w:sz="4" w:space="0" w:color="000000"/>
            </w:tcBorders>
            <w:shd w:color="auto" w:fill="auto" w:val="clear"/>
          </w:tcPr>
          <w:p>
            <w:pPr>
              <w:pStyle w:val="Normal"/>
              <w:widowControl w:val="false"/>
              <w:jc w:val="both"/>
              <w:rPr>
                <w:sz w:val="27"/>
                <w:szCs w:val="27"/>
              </w:rPr>
            </w:pPr>
            <w:r>
              <w:rPr>
                <w:sz w:val="27"/>
                <w:szCs w:val="27"/>
              </w:rPr>
              <w:t xml:space="preserve">Інші об’єкти  </w:t>
            </w:r>
          </w:p>
        </w:tc>
        <w:tc>
          <w:tcPr>
            <w:tcW w:w="1290" w:type="dxa"/>
            <w:tcBorders>
              <w:top w:val="single" w:sz="4" w:space="0" w:color="000000"/>
              <w:left w:val="single" w:sz="4" w:space="0" w:color="000000"/>
              <w:bottom w:val="single" w:sz="4" w:space="0" w:color="000000"/>
            </w:tcBorders>
            <w:shd w:color="auto" w:fill="auto" w:val="clear"/>
          </w:tcPr>
          <w:p>
            <w:pPr>
              <w:pStyle w:val="Normal"/>
              <w:widowControl w:val="false"/>
              <w:jc w:val="right"/>
              <w:rPr>
                <w:sz w:val="27"/>
                <w:szCs w:val="27"/>
              </w:rPr>
            </w:pPr>
            <w:r>
              <w:rPr>
                <w:sz w:val="27"/>
                <w:szCs w:val="27"/>
              </w:rPr>
              <w:t>2 720</w:t>
            </w:r>
          </w:p>
        </w:tc>
        <w:tc>
          <w:tcPr>
            <w:tcW w:w="1561" w:type="dxa"/>
            <w:tcBorders>
              <w:top w:val="single" w:sz="4" w:space="0" w:color="000000"/>
              <w:left w:val="single" w:sz="4" w:space="0" w:color="000000"/>
              <w:bottom w:val="single" w:sz="4" w:space="0" w:color="000000"/>
            </w:tcBorders>
            <w:shd w:color="auto" w:fill="auto" w:val="clear"/>
          </w:tcPr>
          <w:p>
            <w:pPr>
              <w:pStyle w:val="Normal"/>
              <w:widowControl w:val="false"/>
              <w:jc w:val="right"/>
              <w:rPr>
                <w:sz w:val="27"/>
                <w:szCs w:val="27"/>
              </w:rPr>
            </w:pPr>
            <w:r>
              <w:rPr>
                <w:sz w:val="27"/>
                <w:szCs w:val="27"/>
              </w:rPr>
              <w:t>6 455,4</w:t>
            </w:r>
          </w:p>
        </w:tc>
        <w:tc>
          <w:tcPr>
            <w:tcW w:w="15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sz w:val="27"/>
                <w:szCs w:val="27"/>
              </w:rPr>
            </w:pPr>
            <w:r>
              <w:rPr>
                <w:sz w:val="27"/>
                <w:szCs w:val="27"/>
              </w:rPr>
              <w:t>-3 735,4</w:t>
            </w:r>
          </w:p>
        </w:tc>
      </w:tr>
      <w:tr>
        <w:trPr/>
        <w:tc>
          <w:tcPr>
            <w:tcW w:w="616" w:type="dxa"/>
            <w:tcBorders>
              <w:top w:val="single" w:sz="4" w:space="0" w:color="000000"/>
              <w:left w:val="single" w:sz="4" w:space="0" w:color="000000"/>
              <w:bottom w:val="single" w:sz="4" w:space="0" w:color="000000"/>
            </w:tcBorders>
            <w:shd w:color="auto" w:fill="auto" w:val="clear"/>
          </w:tcPr>
          <w:p>
            <w:pPr>
              <w:pStyle w:val="Normal"/>
              <w:widowControl w:val="false"/>
              <w:jc w:val="center"/>
              <w:rPr>
                <w:sz w:val="27"/>
                <w:szCs w:val="27"/>
              </w:rPr>
            </w:pPr>
            <w:r>
              <w:rPr>
                <w:sz w:val="27"/>
                <w:szCs w:val="27"/>
              </w:rPr>
              <w:t>3.</w:t>
            </w:r>
          </w:p>
        </w:tc>
        <w:tc>
          <w:tcPr>
            <w:tcW w:w="4449" w:type="dxa"/>
            <w:tcBorders>
              <w:top w:val="single" w:sz="4" w:space="0" w:color="000000"/>
              <w:left w:val="single" w:sz="4" w:space="0" w:color="000000"/>
              <w:bottom w:val="single" w:sz="4" w:space="0" w:color="000000"/>
            </w:tcBorders>
            <w:shd w:color="auto" w:fill="auto" w:val="clear"/>
          </w:tcPr>
          <w:p>
            <w:pPr>
              <w:pStyle w:val="Normal"/>
              <w:widowControl w:val="false"/>
              <w:jc w:val="both"/>
              <w:rPr>
                <w:sz w:val="27"/>
                <w:szCs w:val="27"/>
              </w:rPr>
            </w:pPr>
            <w:r>
              <w:rPr>
                <w:sz w:val="27"/>
                <w:szCs w:val="27"/>
              </w:rPr>
              <w:t>Видача технічних умов</w:t>
            </w:r>
          </w:p>
        </w:tc>
        <w:tc>
          <w:tcPr>
            <w:tcW w:w="1290" w:type="dxa"/>
            <w:tcBorders>
              <w:top w:val="single" w:sz="4" w:space="0" w:color="000000"/>
              <w:left w:val="single" w:sz="4" w:space="0" w:color="000000"/>
              <w:bottom w:val="single" w:sz="4" w:space="0" w:color="000000"/>
            </w:tcBorders>
            <w:shd w:color="auto" w:fill="auto" w:val="clear"/>
          </w:tcPr>
          <w:p>
            <w:pPr>
              <w:pStyle w:val="Normal"/>
              <w:widowControl w:val="false"/>
              <w:jc w:val="right"/>
              <w:rPr>
                <w:sz w:val="27"/>
                <w:szCs w:val="27"/>
              </w:rPr>
            </w:pPr>
            <w:r>
              <w:rPr>
                <w:sz w:val="27"/>
                <w:szCs w:val="27"/>
              </w:rPr>
              <w:t>18,1</w:t>
            </w:r>
          </w:p>
        </w:tc>
        <w:tc>
          <w:tcPr>
            <w:tcW w:w="1561" w:type="dxa"/>
            <w:tcBorders>
              <w:top w:val="single" w:sz="4" w:space="0" w:color="000000"/>
              <w:left w:val="single" w:sz="4" w:space="0" w:color="000000"/>
              <w:bottom w:val="single" w:sz="4" w:space="0" w:color="000000"/>
            </w:tcBorders>
            <w:shd w:color="auto" w:fill="auto" w:val="clear"/>
          </w:tcPr>
          <w:p>
            <w:pPr>
              <w:pStyle w:val="Normal"/>
              <w:widowControl w:val="false"/>
              <w:jc w:val="right"/>
              <w:rPr>
                <w:sz w:val="27"/>
                <w:szCs w:val="27"/>
              </w:rPr>
            </w:pPr>
            <w:r>
              <w:rPr>
                <w:sz w:val="27"/>
                <w:szCs w:val="27"/>
              </w:rPr>
              <w:t>7,2</w:t>
            </w:r>
          </w:p>
        </w:tc>
        <w:tc>
          <w:tcPr>
            <w:tcW w:w="15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sz w:val="27"/>
                <w:szCs w:val="27"/>
              </w:rPr>
            </w:pPr>
            <w:r>
              <w:rPr>
                <w:sz w:val="27"/>
                <w:szCs w:val="27"/>
              </w:rPr>
              <w:t>+10,9</w:t>
            </w:r>
          </w:p>
        </w:tc>
      </w:tr>
      <w:tr>
        <w:trPr/>
        <w:tc>
          <w:tcPr>
            <w:tcW w:w="616" w:type="dxa"/>
            <w:tcBorders>
              <w:top w:val="single" w:sz="4" w:space="0" w:color="000000"/>
              <w:left w:val="single" w:sz="4" w:space="0" w:color="000000"/>
              <w:bottom w:val="single" w:sz="4" w:space="0" w:color="000000"/>
            </w:tcBorders>
            <w:shd w:color="auto" w:fill="auto" w:val="clear"/>
          </w:tcPr>
          <w:p>
            <w:pPr>
              <w:pStyle w:val="Normal"/>
              <w:widowControl w:val="false"/>
              <w:jc w:val="center"/>
              <w:rPr>
                <w:sz w:val="27"/>
                <w:szCs w:val="27"/>
              </w:rPr>
            </w:pPr>
            <w:r>
              <w:rPr>
                <w:sz w:val="27"/>
                <w:szCs w:val="27"/>
              </w:rPr>
              <w:t>4.</w:t>
            </w:r>
          </w:p>
        </w:tc>
        <w:tc>
          <w:tcPr>
            <w:tcW w:w="4449" w:type="dxa"/>
            <w:tcBorders>
              <w:top w:val="single" w:sz="4" w:space="0" w:color="000000"/>
              <w:left w:val="single" w:sz="4" w:space="0" w:color="000000"/>
              <w:bottom w:val="single" w:sz="4" w:space="0" w:color="000000"/>
            </w:tcBorders>
            <w:shd w:color="auto" w:fill="auto" w:val="clear"/>
          </w:tcPr>
          <w:p>
            <w:pPr>
              <w:pStyle w:val="Normal"/>
              <w:widowControl w:val="false"/>
              <w:jc w:val="both"/>
              <w:rPr>
                <w:sz w:val="27"/>
                <w:szCs w:val="27"/>
              </w:rPr>
            </w:pPr>
            <w:r>
              <w:rPr>
                <w:sz w:val="27"/>
                <w:szCs w:val="27"/>
              </w:rPr>
              <w:t>Послуги автотранспорту</w:t>
            </w:r>
          </w:p>
        </w:tc>
        <w:tc>
          <w:tcPr>
            <w:tcW w:w="1290" w:type="dxa"/>
            <w:tcBorders>
              <w:top w:val="single" w:sz="4" w:space="0" w:color="000000"/>
              <w:left w:val="single" w:sz="4" w:space="0" w:color="000000"/>
              <w:bottom w:val="single" w:sz="4" w:space="0" w:color="000000"/>
            </w:tcBorders>
            <w:shd w:color="auto" w:fill="auto" w:val="clear"/>
          </w:tcPr>
          <w:p>
            <w:pPr>
              <w:pStyle w:val="Normal"/>
              <w:widowControl w:val="false"/>
              <w:jc w:val="right"/>
              <w:rPr>
                <w:sz w:val="27"/>
                <w:szCs w:val="27"/>
              </w:rPr>
            </w:pPr>
            <w:r>
              <w:rPr>
                <w:sz w:val="27"/>
                <w:szCs w:val="27"/>
              </w:rPr>
              <w:t>197,1</w:t>
            </w:r>
          </w:p>
        </w:tc>
        <w:tc>
          <w:tcPr>
            <w:tcW w:w="1561" w:type="dxa"/>
            <w:tcBorders>
              <w:top w:val="single" w:sz="4" w:space="0" w:color="000000"/>
              <w:left w:val="single" w:sz="4" w:space="0" w:color="000000"/>
              <w:bottom w:val="single" w:sz="4" w:space="0" w:color="000000"/>
            </w:tcBorders>
            <w:shd w:color="auto" w:fill="auto" w:val="clear"/>
          </w:tcPr>
          <w:p>
            <w:pPr>
              <w:pStyle w:val="Normal"/>
              <w:widowControl w:val="false"/>
              <w:jc w:val="right"/>
              <w:rPr>
                <w:sz w:val="27"/>
                <w:szCs w:val="27"/>
              </w:rPr>
            </w:pPr>
            <w:r>
              <w:rPr>
                <w:sz w:val="27"/>
                <w:szCs w:val="27"/>
              </w:rPr>
              <w:t>78,3</w:t>
            </w:r>
          </w:p>
        </w:tc>
        <w:tc>
          <w:tcPr>
            <w:tcW w:w="15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sz w:val="27"/>
                <w:szCs w:val="27"/>
              </w:rPr>
            </w:pPr>
            <w:r>
              <w:rPr>
                <w:sz w:val="27"/>
                <w:szCs w:val="27"/>
              </w:rPr>
              <w:t>+118,8</w:t>
            </w:r>
          </w:p>
        </w:tc>
      </w:tr>
      <w:tr>
        <w:trPr/>
        <w:tc>
          <w:tcPr>
            <w:tcW w:w="616" w:type="dxa"/>
            <w:tcBorders>
              <w:top w:val="single" w:sz="4" w:space="0" w:color="000000"/>
              <w:left w:val="single" w:sz="4" w:space="0" w:color="000000"/>
              <w:bottom w:val="single" w:sz="4" w:space="0" w:color="000000"/>
            </w:tcBorders>
            <w:shd w:color="auto" w:fill="auto" w:val="clear"/>
          </w:tcPr>
          <w:p>
            <w:pPr>
              <w:pStyle w:val="Normal"/>
              <w:widowControl w:val="false"/>
              <w:jc w:val="center"/>
              <w:rPr>
                <w:sz w:val="27"/>
                <w:szCs w:val="27"/>
                <w:lang w:val="en-US"/>
              </w:rPr>
            </w:pPr>
            <w:r>
              <w:rPr>
                <w:sz w:val="27"/>
                <w:szCs w:val="27"/>
                <w:lang w:val="en-US"/>
              </w:rPr>
              <w:t>III</w:t>
            </w:r>
          </w:p>
        </w:tc>
        <w:tc>
          <w:tcPr>
            <w:tcW w:w="4449" w:type="dxa"/>
            <w:tcBorders>
              <w:top w:val="single" w:sz="4" w:space="0" w:color="000000"/>
              <w:left w:val="single" w:sz="4" w:space="0" w:color="000000"/>
              <w:bottom w:val="single" w:sz="4" w:space="0" w:color="000000"/>
            </w:tcBorders>
            <w:shd w:color="auto" w:fill="auto" w:val="clear"/>
          </w:tcPr>
          <w:p>
            <w:pPr>
              <w:pStyle w:val="Normal"/>
              <w:widowControl w:val="false"/>
              <w:jc w:val="both"/>
              <w:rPr/>
            </w:pPr>
            <w:r>
              <w:rPr>
                <w:b/>
                <w:sz w:val="27"/>
                <w:szCs w:val="27"/>
              </w:rPr>
              <w:t>Інші доходи</w:t>
            </w:r>
            <w:r>
              <w:rPr>
                <w:sz w:val="27"/>
                <w:szCs w:val="27"/>
              </w:rPr>
              <w:t xml:space="preserve"> (амортизація б/о ОЗ, страхове відшкодування, здача металобрухту та ін.)</w:t>
            </w:r>
          </w:p>
        </w:tc>
        <w:tc>
          <w:tcPr>
            <w:tcW w:w="1290" w:type="dxa"/>
            <w:tcBorders>
              <w:top w:val="single" w:sz="4" w:space="0" w:color="000000"/>
              <w:left w:val="single" w:sz="4" w:space="0" w:color="000000"/>
              <w:bottom w:val="single" w:sz="4" w:space="0" w:color="000000"/>
            </w:tcBorders>
            <w:shd w:color="auto" w:fill="auto" w:val="clear"/>
          </w:tcPr>
          <w:p>
            <w:pPr>
              <w:pStyle w:val="Normal"/>
              <w:widowControl w:val="false"/>
              <w:jc w:val="right"/>
              <w:rPr/>
            </w:pPr>
            <w:r>
              <w:rPr>
                <w:sz w:val="27"/>
                <w:szCs w:val="27"/>
              </w:rPr>
              <w:t>2 462,0</w:t>
            </w:r>
          </w:p>
        </w:tc>
        <w:tc>
          <w:tcPr>
            <w:tcW w:w="1561" w:type="dxa"/>
            <w:tcBorders>
              <w:top w:val="single" w:sz="4" w:space="0" w:color="000000"/>
              <w:left w:val="single" w:sz="4" w:space="0" w:color="000000"/>
              <w:bottom w:val="single" w:sz="4" w:space="0" w:color="000000"/>
            </w:tcBorders>
            <w:shd w:color="auto" w:fill="auto" w:val="clear"/>
          </w:tcPr>
          <w:p>
            <w:pPr>
              <w:pStyle w:val="Normal"/>
              <w:widowControl w:val="false"/>
              <w:jc w:val="right"/>
              <w:rPr/>
            </w:pPr>
            <w:r>
              <w:rPr>
                <w:sz w:val="27"/>
                <w:szCs w:val="27"/>
              </w:rPr>
              <w:t>2010,0</w:t>
            </w:r>
          </w:p>
        </w:tc>
        <w:tc>
          <w:tcPr>
            <w:tcW w:w="15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sz w:val="27"/>
                <w:szCs w:val="27"/>
              </w:rPr>
            </w:pPr>
            <w:r>
              <w:rPr>
                <w:sz w:val="27"/>
                <w:szCs w:val="27"/>
              </w:rPr>
              <w:t>+452</w:t>
            </w:r>
          </w:p>
        </w:tc>
      </w:tr>
      <w:tr>
        <w:trPr/>
        <w:tc>
          <w:tcPr>
            <w:tcW w:w="616" w:type="dxa"/>
            <w:tcBorders>
              <w:top w:val="single" w:sz="4" w:space="0" w:color="000000"/>
              <w:left w:val="single" w:sz="4" w:space="0" w:color="000000"/>
              <w:bottom w:val="single" w:sz="4" w:space="0" w:color="000000"/>
            </w:tcBorders>
            <w:shd w:color="auto" w:fill="auto" w:val="clear"/>
          </w:tcPr>
          <w:p>
            <w:pPr>
              <w:pStyle w:val="Normal"/>
              <w:widowControl w:val="false"/>
              <w:jc w:val="center"/>
              <w:rPr>
                <w:sz w:val="27"/>
                <w:szCs w:val="27"/>
                <w:lang w:val="en-US"/>
              </w:rPr>
            </w:pPr>
            <w:r>
              <w:rPr>
                <w:sz w:val="27"/>
                <w:szCs w:val="27"/>
                <w:lang w:val="en-US"/>
              </w:rPr>
              <w:t>IV</w:t>
            </w:r>
          </w:p>
        </w:tc>
        <w:tc>
          <w:tcPr>
            <w:tcW w:w="4449" w:type="dxa"/>
            <w:tcBorders>
              <w:top w:val="single" w:sz="4" w:space="0" w:color="000000"/>
              <w:left w:val="single" w:sz="4" w:space="0" w:color="000000"/>
              <w:bottom w:val="single" w:sz="4" w:space="0" w:color="000000"/>
            </w:tcBorders>
            <w:shd w:color="auto" w:fill="auto" w:val="clear"/>
          </w:tcPr>
          <w:p>
            <w:pPr>
              <w:pStyle w:val="Normal"/>
              <w:widowControl w:val="false"/>
              <w:jc w:val="both"/>
              <w:rPr>
                <w:sz w:val="27"/>
                <w:szCs w:val="27"/>
              </w:rPr>
            </w:pPr>
            <w:r>
              <w:rPr>
                <w:sz w:val="27"/>
                <w:szCs w:val="27"/>
              </w:rPr>
              <w:t>Податок на додану вартість</w:t>
            </w:r>
          </w:p>
        </w:tc>
        <w:tc>
          <w:tcPr>
            <w:tcW w:w="1290" w:type="dxa"/>
            <w:tcBorders>
              <w:top w:val="single" w:sz="4" w:space="0" w:color="000000"/>
              <w:left w:val="single" w:sz="4" w:space="0" w:color="000000"/>
              <w:bottom w:val="single" w:sz="4" w:space="0" w:color="000000"/>
            </w:tcBorders>
            <w:shd w:color="auto" w:fill="auto" w:val="clear"/>
          </w:tcPr>
          <w:p>
            <w:pPr>
              <w:pStyle w:val="Normal"/>
              <w:widowControl w:val="false"/>
              <w:jc w:val="right"/>
              <w:rPr>
                <w:sz w:val="27"/>
                <w:szCs w:val="27"/>
              </w:rPr>
            </w:pPr>
            <w:r>
              <w:rPr>
                <w:sz w:val="27"/>
                <w:szCs w:val="27"/>
              </w:rPr>
              <w:t>2 556,1</w:t>
            </w:r>
          </w:p>
        </w:tc>
        <w:tc>
          <w:tcPr>
            <w:tcW w:w="1561" w:type="dxa"/>
            <w:tcBorders>
              <w:top w:val="single" w:sz="4" w:space="0" w:color="000000"/>
              <w:left w:val="single" w:sz="4" w:space="0" w:color="000000"/>
              <w:bottom w:val="single" w:sz="4" w:space="0" w:color="000000"/>
            </w:tcBorders>
            <w:shd w:color="auto" w:fill="auto" w:val="clear"/>
          </w:tcPr>
          <w:p>
            <w:pPr>
              <w:pStyle w:val="Normal"/>
              <w:widowControl w:val="false"/>
              <w:jc w:val="right"/>
              <w:rPr/>
            </w:pPr>
            <w:r>
              <w:rPr>
                <w:sz w:val="27"/>
                <w:szCs w:val="27"/>
              </w:rPr>
              <w:t>1 893,0</w:t>
            </w:r>
          </w:p>
        </w:tc>
        <w:tc>
          <w:tcPr>
            <w:tcW w:w="15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sz w:val="27"/>
                <w:szCs w:val="27"/>
              </w:rPr>
            </w:pPr>
            <w:r>
              <w:rPr>
                <w:sz w:val="27"/>
                <w:szCs w:val="27"/>
              </w:rPr>
              <w:t>+663,1</w:t>
            </w:r>
          </w:p>
        </w:tc>
      </w:tr>
      <w:tr>
        <w:trPr/>
        <w:tc>
          <w:tcPr>
            <w:tcW w:w="616" w:type="dxa"/>
            <w:tcBorders>
              <w:top w:val="single" w:sz="4" w:space="0" w:color="000000"/>
              <w:left w:val="single" w:sz="4" w:space="0" w:color="000000"/>
              <w:bottom w:val="single" w:sz="4" w:space="0" w:color="000000"/>
            </w:tcBorders>
            <w:shd w:color="auto" w:fill="auto" w:val="clear"/>
          </w:tcPr>
          <w:p>
            <w:pPr>
              <w:pStyle w:val="Normal"/>
              <w:widowControl w:val="false"/>
              <w:jc w:val="center"/>
              <w:rPr>
                <w:sz w:val="27"/>
                <w:szCs w:val="27"/>
                <w:lang w:val="en-US"/>
              </w:rPr>
            </w:pPr>
            <w:r>
              <w:rPr>
                <w:sz w:val="27"/>
                <w:szCs w:val="27"/>
                <w:lang w:val="en-US"/>
              </w:rPr>
              <w:t>V</w:t>
            </w:r>
          </w:p>
        </w:tc>
        <w:tc>
          <w:tcPr>
            <w:tcW w:w="4449" w:type="dxa"/>
            <w:tcBorders>
              <w:top w:val="single" w:sz="4" w:space="0" w:color="000000"/>
              <w:left w:val="single" w:sz="4" w:space="0" w:color="000000"/>
              <w:bottom w:val="single" w:sz="4" w:space="0" w:color="000000"/>
            </w:tcBorders>
            <w:shd w:color="auto" w:fill="auto" w:val="clear"/>
          </w:tcPr>
          <w:p>
            <w:pPr>
              <w:pStyle w:val="Normal"/>
              <w:widowControl w:val="false"/>
              <w:jc w:val="both"/>
              <w:rPr>
                <w:b/>
                <w:b/>
                <w:sz w:val="27"/>
                <w:szCs w:val="27"/>
              </w:rPr>
            </w:pPr>
            <w:r>
              <w:rPr>
                <w:b/>
                <w:sz w:val="27"/>
                <w:szCs w:val="27"/>
              </w:rPr>
              <w:t>Всього чистий дохід</w:t>
            </w:r>
          </w:p>
        </w:tc>
        <w:tc>
          <w:tcPr>
            <w:tcW w:w="1290" w:type="dxa"/>
            <w:tcBorders>
              <w:top w:val="single" w:sz="4" w:space="0" w:color="000000"/>
              <w:left w:val="single" w:sz="4" w:space="0" w:color="000000"/>
              <w:bottom w:val="single" w:sz="4" w:space="0" w:color="000000"/>
            </w:tcBorders>
            <w:shd w:color="auto" w:fill="auto" w:val="clear"/>
          </w:tcPr>
          <w:p>
            <w:pPr>
              <w:pStyle w:val="Normal"/>
              <w:widowControl w:val="false"/>
              <w:jc w:val="right"/>
              <w:rPr>
                <w:b/>
                <w:b/>
                <w:sz w:val="27"/>
                <w:szCs w:val="27"/>
              </w:rPr>
            </w:pPr>
            <w:r>
              <w:rPr>
                <w:b/>
                <w:sz w:val="27"/>
                <w:szCs w:val="27"/>
              </w:rPr>
              <w:t>21 049</w:t>
            </w:r>
          </w:p>
        </w:tc>
        <w:tc>
          <w:tcPr>
            <w:tcW w:w="1561" w:type="dxa"/>
            <w:tcBorders>
              <w:top w:val="single" w:sz="4" w:space="0" w:color="000000"/>
              <w:left w:val="single" w:sz="4" w:space="0" w:color="000000"/>
              <w:bottom w:val="single" w:sz="4" w:space="0" w:color="000000"/>
            </w:tcBorders>
            <w:shd w:color="auto" w:fill="auto" w:val="clear"/>
          </w:tcPr>
          <w:p>
            <w:pPr>
              <w:pStyle w:val="Normal"/>
              <w:widowControl w:val="false"/>
              <w:jc w:val="right"/>
              <w:rPr>
                <w:b/>
                <w:b/>
                <w:sz w:val="27"/>
                <w:szCs w:val="27"/>
              </w:rPr>
            </w:pPr>
            <w:r>
              <w:rPr>
                <w:b/>
                <w:sz w:val="27"/>
                <w:szCs w:val="27"/>
              </w:rPr>
              <w:t>20 875</w:t>
            </w:r>
          </w:p>
        </w:tc>
        <w:tc>
          <w:tcPr>
            <w:tcW w:w="15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b/>
                <w:b/>
                <w:sz w:val="27"/>
                <w:szCs w:val="27"/>
              </w:rPr>
            </w:pPr>
            <w:r>
              <w:rPr>
                <w:b/>
                <w:sz w:val="27"/>
                <w:szCs w:val="27"/>
              </w:rPr>
              <w:t>+174</w:t>
            </w:r>
          </w:p>
        </w:tc>
      </w:tr>
    </w:tbl>
    <w:p>
      <w:pPr>
        <w:pStyle w:val="Style22"/>
        <w:widowControl/>
        <w:spacing w:lineRule="auto" w:line="240"/>
        <w:ind w:firstLine="567"/>
        <w:jc w:val="both"/>
        <w:rPr>
          <w:rStyle w:val="FontStyle11"/>
          <w:sz w:val="28"/>
          <w:szCs w:val="28"/>
          <w:lang w:val="uk-UA" w:eastAsia="uk-UA"/>
        </w:rPr>
      </w:pPr>
      <w:r>
        <w:rPr>
          <w:sz w:val="28"/>
          <w:szCs w:val="28"/>
          <w:lang w:val="uk-UA" w:eastAsia="uk-UA"/>
        </w:rPr>
      </w:r>
    </w:p>
    <w:p>
      <w:pPr>
        <w:pStyle w:val="Style22"/>
        <w:widowControl/>
        <w:spacing w:lineRule="auto" w:line="240"/>
        <w:ind w:firstLine="567"/>
        <w:jc w:val="both"/>
        <w:rPr>
          <w:lang w:val="uk-UA"/>
        </w:rPr>
      </w:pPr>
      <w:r>
        <w:rPr>
          <w:rStyle w:val="FontStyle11"/>
          <w:sz w:val="28"/>
          <w:szCs w:val="28"/>
          <w:lang w:val="uk-UA" w:eastAsia="uk-UA"/>
        </w:rPr>
        <w:t>Відповідно з даними бухгалтерського обліку (баланс та звіт про фінансові результати) фінансовий результат за 9 місяців 2021 року склав 5,0 тис. грн прибутку, за відповідний період 2020 року ‒ 18,0 тис. грн прибутку.</w:t>
      </w:r>
    </w:p>
    <w:p>
      <w:pPr>
        <w:pStyle w:val="Style22"/>
        <w:widowControl/>
        <w:spacing w:lineRule="auto" w:line="240"/>
        <w:ind w:firstLine="567"/>
        <w:jc w:val="both"/>
        <w:rPr>
          <w:lang w:val="uk-UA"/>
        </w:rPr>
      </w:pPr>
      <w:r>
        <w:rPr>
          <w:rStyle w:val="FontStyle11"/>
          <w:sz w:val="28"/>
          <w:szCs w:val="28"/>
          <w:lang w:val="uk-UA" w:eastAsia="uk-UA"/>
        </w:rPr>
        <w:t xml:space="preserve">В структурі доходів підприємства за звітний період 2021 року, у зв'язку із зростанням вартості, частка електроенергії на освітлення вулиць та забезпечення роботи світлофорних об’єктів становила 48,2 %, за 9 місяців 2020 року ‒ 32,0 %. </w:t>
      </w:r>
    </w:p>
    <w:p>
      <w:pPr>
        <w:pStyle w:val="Style22"/>
        <w:widowControl/>
        <w:spacing w:lineRule="auto" w:line="240"/>
        <w:ind w:firstLine="510"/>
        <w:jc w:val="both"/>
        <w:rPr>
          <w:lang w:val="uk-UA"/>
        </w:rPr>
      </w:pPr>
      <w:r>
        <w:rPr>
          <w:sz w:val="28"/>
          <w:szCs w:val="28"/>
          <w:lang w:val="uk-UA"/>
        </w:rPr>
        <w:t>У 2019 році КП «Луцьксвітло» стало переможцем в закупівлі робіт з капітального ремонту світлофорних об’єктів в м. Луцьку в рамках реалізації проєкту «Покращення безпеки транскордонної дорожньої інфраструктури Хелма і Луцька». Загальна сума договору на 2019-2020 роки –11 890,0 тис. грн.</w:t>
      </w:r>
    </w:p>
    <w:p>
      <w:pPr>
        <w:pStyle w:val="Style22"/>
        <w:widowControl/>
        <w:spacing w:lineRule="auto" w:line="240"/>
        <w:ind w:firstLine="567"/>
        <w:jc w:val="both"/>
        <w:rPr>
          <w:lang w:val="uk-UA"/>
        </w:rPr>
      </w:pPr>
      <w:r>
        <w:rPr>
          <w:rStyle w:val="FontStyle11"/>
          <w:sz w:val="28"/>
          <w:szCs w:val="28"/>
          <w:lang w:val="uk-UA" w:eastAsia="uk-UA"/>
        </w:rPr>
        <w:t xml:space="preserve">Це суттєво вплинуло на дохід від реалізації інших робіт та послуг згідно здоговорами у 2020 році. </w:t>
      </w:r>
    </w:p>
    <w:p>
      <w:pPr>
        <w:pStyle w:val="Style22"/>
        <w:widowControl/>
        <w:spacing w:lineRule="auto" w:line="240"/>
        <w:ind w:firstLine="696"/>
        <w:jc w:val="both"/>
        <w:rPr>
          <w:lang w:val="uk-UA"/>
        </w:rPr>
      </w:pPr>
      <w:r>
        <w:rPr>
          <w:lang w:val="uk-UA"/>
        </w:rPr>
      </w:r>
    </w:p>
    <w:p>
      <w:pPr>
        <w:pStyle w:val="Style22"/>
        <w:widowControl/>
        <w:spacing w:lineRule="auto" w:line="240"/>
        <w:ind w:hanging="0"/>
        <w:jc w:val="center"/>
        <w:rPr>
          <w:b/>
          <w:b/>
          <w:bCs/>
          <w:sz w:val="28"/>
          <w:szCs w:val="28"/>
          <w:lang w:val="uk-UA"/>
        </w:rPr>
      </w:pPr>
      <w:r>
        <w:rPr>
          <w:b/>
          <w:bCs/>
          <w:sz w:val="28"/>
          <w:szCs w:val="28"/>
          <w:lang w:val="uk-UA"/>
        </w:rPr>
        <w:t>Порівняльний аналіз структури доходів та витрат підприємства</w:t>
      </w:r>
    </w:p>
    <w:p>
      <w:pPr>
        <w:pStyle w:val="Style22"/>
        <w:widowControl/>
        <w:spacing w:lineRule="auto" w:line="240"/>
        <w:ind w:hanging="0"/>
        <w:jc w:val="center"/>
        <w:rPr>
          <w:sz w:val="28"/>
          <w:szCs w:val="28"/>
          <w:lang w:val="uk-UA"/>
        </w:rPr>
      </w:pPr>
      <w:r>
        <w:rPr>
          <w:b/>
          <w:bCs/>
          <w:sz w:val="28"/>
          <w:szCs w:val="28"/>
          <w:lang w:val="uk-UA"/>
        </w:rPr>
        <w:t>(</w:t>
      </w:r>
      <w:r>
        <w:rPr>
          <w:rStyle w:val="FontStyle11"/>
          <w:b/>
          <w:bCs/>
          <w:sz w:val="28"/>
          <w:szCs w:val="28"/>
          <w:lang w:val="uk-UA" w:eastAsia="uk-UA"/>
        </w:rPr>
        <w:t xml:space="preserve">тис. </w:t>
      </w:r>
      <w:r>
        <w:rPr>
          <w:b/>
          <w:bCs/>
          <w:sz w:val="28"/>
          <w:szCs w:val="28"/>
          <w:lang w:val="uk-UA"/>
        </w:rPr>
        <w:t>грн)</w:t>
      </w:r>
    </w:p>
    <w:p>
      <w:pPr>
        <w:pStyle w:val="Style41"/>
        <w:widowControl/>
        <w:tabs>
          <w:tab w:val="clear" w:pos="709"/>
          <w:tab w:val="left" w:pos="158" w:leader="none"/>
          <w:tab w:val="left" w:pos="5580" w:leader="none"/>
        </w:tabs>
        <w:spacing w:lineRule="auto" w:line="240"/>
        <w:ind w:firstLine="720"/>
        <w:jc w:val="center"/>
        <w:rPr>
          <w:rStyle w:val="FontStyle11"/>
          <w:sz w:val="27"/>
          <w:szCs w:val="27"/>
          <w:lang w:val="uk-UA" w:eastAsia="uk-UA"/>
        </w:rPr>
      </w:pPr>
      <w:r>
        <w:rPr>
          <w:sz w:val="27"/>
          <w:szCs w:val="27"/>
          <w:lang w:val="uk-UA" w:eastAsia="uk-UA"/>
        </w:rPr>
      </w:r>
    </w:p>
    <w:tbl>
      <w:tblPr>
        <w:tblW w:w="9863" w:type="dxa"/>
        <w:jc w:val="left"/>
        <w:tblInd w:w="27" w:type="dxa"/>
        <w:tblCellMar>
          <w:top w:w="0" w:type="dxa"/>
          <w:left w:w="108" w:type="dxa"/>
          <w:bottom w:w="0" w:type="dxa"/>
          <w:right w:w="108" w:type="dxa"/>
        </w:tblCellMar>
        <w:tblLook w:firstRow="0" w:noVBand="0" w:lastRow="0" w:firstColumn="0" w:lastColumn="0" w:noHBand="0" w:val="0000"/>
      </w:tblPr>
      <w:tblGrid>
        <w:gridCol w:w="4590"/>
        <w:gridCol w:w="2047"/>
        <w:gridCol w:w="1643"/>
        <w:gridCol w:w="1582"/>
      </w:tblGrid>
      <w:tr>
        <w:trPr/>
        <w:tc>
          <w:tcPr>
            <w:tcW w:w="4590" w:type="dxa"/>
            <w:tcBorders>
              <w:top w:val="single" w:sz="4" w:space="0" w:color="000000"/>
              <w:left w:val="single" w:sz="4" w:space="0" w:color="000000"/>
              <w:bottom w:val="single" w:sz="4" w:space="0" w:color="000000"/>
            </w:tcBorders>
            <w:shd w:color="auto" w:fill="auto" w:val="clear"/>
          </w:tcPr>
          <w:p>
            <w:pPr>
              <w:pStyle w:val="Style41"/>
              <w:tabs>
                <w:tab w:val="clear" w:pos="709"/>
                <w:tab w:val="left" w:pos="158" w:leader="none"/>
              </w:tabs>
              <w:snapToGrid w:val="false"/>
              <w:spacing w:lineRule="auto" w:line="240"/>
              <w:ind w:firstLine="720"/>
              <w:jc w:val="center"/>
              <w:rPr>
                <w:sz w:val="27"/>
                <w:szCs w:val="27"/>
                <w:lang w:val="uk-UA"/>
              </w:rPr>
            </w:pPr>
            <w:r>
              <w:rPr>
                <w:sz w:val="27"/>
                <w:szCs w:val="27"/>
                <w:lang w:val="uk-UA"/>
              </w:rPr>
            </w:r>
          </w:p>
        </w:tc>
        <w:tc>
          <w:tcPr>
            <w:tcW w:w="2047" w:type="dxa"/>
            <w:tcBorders>
              <w:top w:val="single" w:sz="4" w:space="0" w:color="000000"/>
              <w:left w:val="single" w:sz="4" w:space="0" w:color="000000"/>
              <w:bottom w:val="single" w:sz="4" w:space="0" w:color="000000"/>
            </w:tcBorders>
            <w:shd w:color="auto" w:fill="auto" w:val="clear"/>
            <w:vAlign w:val="center"/>
          </w:tcPr>
          <w:p>
            <w:pPr>
              <w:pStyle w:val="Style41"/>
              <w:tabs>
                <w:tab w:val="clear" w:pos="709"/>
                <w:tab w:val="left" w:pos="158" w:leader="none"/>
              </w:tabs>
              <w:spacing w:lineRule="auto" w:line="240"/>
              <w:ind w:hanging="108"/>
              <w:jc w:val="center"/>
              <w:rPr/>
            </w:pPr>
            <w:r>
              <w:rPr>
                <w:rStyle w:val="FontStyle11"/>
                <w:b/>
                <w:sz w:val="27"/>
                <w:szCs w:val="27"/>
                <w:lang w:val="uk-UA" w:eastAsia="uk-UA"/>
              </w:rPr>
              <w:t xml:space="preserve">9 місяців 2021 </w:t>
            </w:r>
            <w:r>
              <w:rPr>
                <w:rStyle w:val="FontStyle11"/>
                <w:b/>
                <w:sz w:val="27"/>
                <w:szCs w:val="27"/>
                <w:lang w:val="uk-UA" w:eastAsia="uk-UA"/>
              </w:rPr>
              <w:t>року</w:t>
            </w:r>
          </w:p>
        </w:tc>
        <w:tc>
          <w:tcPr>
            <w:tcW w:w="1643" w:type="dxa"/>
            <w:tcBorders>
              <w:top w:val="single" w:sz="4" w:space="0" w:color="000000"/>
              <w:left w:val="single" w:sz="4" w:space="0" w:color="000000"/>
              <w:bottom w:val="single" w:sz="4" w:space="0" w:color="000000"/>
            </w:tcBorders>
            <w:shd w:color="auto" w:fill="auto" w:val="clear"/>
          </w:tcPr>
          <w:p>
            <w:pPr>
              <w:pStyle w:val="Style41"/>
              <w:tabs>
                <w:tab w:val="clear" w:pos="709"/>
                <w:tab w:val="left" w:pos="158" w:leader="none"/>
              </w:tabs>
              <w:spacing w:lineRule="auto" w:line="240"/>
              <w:ind w:left="-108" w:hanging="0"/>
              <w:jc w:val="center"/>
              <w:rPr/>
            </w:pPr>
            <w:r>
              <w:rPr>
                <w:rStyle w:val="FontStyle11"/>
                <w:b/>
                <w:sz w:val="27"/>
                <w:szCs w:val="27"/>
                <w:lang w:val="uk-UA" w:eastAsia="uk-UA"/>
              </w:rPr>
              <w:t>9 місяців 2020 р</w:t>
            </w:r>
            <w:r>
              <w:rPr>
                <w:rStyle w:val="FontStyle11"/>
                <w:b/>
                <w:sz w:val="27"/>
                <w:szCs w:val="27"/>
                <w:lang w:val="uk-UA" w:eastAsia="uk-UA"/>
              </w:rPr>
              <w:t>оку</w:t>
            </w:r>
          </w:p>
        </w:tc>
        <w:tc>
          <w:tcPr>
            <w:tcW w:w="1582" w:type="dxa"/>
            <w:tcBorders>
              <w:top w:val="single" w:sz="4" w:space="0" w:color="000000"/>
              <w:left w:val="single" w:sz="4" w:space="0" w:color="000000"/>
              <w:bottom w:val="single" w:sz="4" w:space="0" w:color="000000"/>
              <w:right w:val="single" w:sz="4" w:space="0" w:color="000000"/>
            </w:tcBorders>
            <w:shd w:color="auto" w:fill="auto" w:val="clear"/>
          </w:tcPr>
          <w:p>
            <w:pPr>
              <w:pStyle w:val="Style41"/>
              <w:tabs>
                <w:tab w:val="clear" w:pos="709"/>
                <w:tab w:val="left" w:pos="158" w:leader="none"/>
              </w:tabs>
              <w:spacing w:lineRule="auto" w:line="240"/>
              <w:ind w:hanging="108"/>
              <w:jc w:val="center"/>
              <w:rPr>
                <w:lang w:val="uk-UA"/>
              </w:rPr>
            </w:pPr>
            <w:r>
              <w:rPr>
                <w:rStyle w:val="FontStyle11"/>
                <w:b/>
                <w:sz w:val="27"/>
                <w:szCs w:val="27"/>
                <w:lang w:val="uk-UA" w:eastAsia="uk-UA"/>
              </w:rPr>
              <w:t>Відхилення +</w:t>
            </w:r>
            <w:r>
              <w:rPr>
                <w:rStyle w:val="FontStyle11"/>
                <w:sz w:val="27"/>
                <w:szCs w:val="27"/>
                <w:lang w:val="uk-UA" w:eastAsia="uk-UA"/>
              </w:rPr>
              <w:t>,</w:t>
            </w:r>
            <w:r>
              <w:rPr>
                <w:rStyle w:val="FontStyle11"/>
                <w:b/>
                <w:sz w:val="27"/>
                <w:szCs w:val="27"/>
                <w:lang w:val="uk-UA" w:eastAsia="uk-UA"/>
              </w:rPr>
              <w:t>-</w:t>
            </w:r>
          </w:p>
        </w:tc>
      </w:tr>
      <w:tr>
        <w:trPr/>
        <w:tc>
          <w:tcPr>
            <w:tcW w:w="4590" w:type="dxa"/>
            <w:tcBorders>
              <w:top w:val="single" w:sz="4" w:space="0" w:color="000000"/>
              <w:left w:val="single" w:sz="4" w:space="0" w:color="000000"/>
              <w:bottom w:val="single" w:sz="4" w:space="0" w:color="000000"/>
            </w:tcBorders>
            <w:shd w:color="auto" w:fill="auto" w:val="clear"/>
          </w:tcPr>
          <w:p>
            <w:pPr>
              <w:pStyle w:val="Style71"/>
              <w:jc w:val="both"/>
              <w:rPr>
                <w:lang w:val="uk-UA"/>
              </w:rPr>
            </w:pPr>
            <w:r>
              <w:rPr>
                <w:rStyle w:val="FontStyle12"/>
                <w:sz w:val="27"/>
                <w:szCs w:val="27"/>
                <w:lang w:val="uk-UA" w:eastAsia="uk-UA"/>
              </w:rPr>
              <w:t>Доходи всього, в т. ч.:</w:t>
            </w:r>
          </w:p>
        </w:tc>
        <w:tc>
          <w:tcPr>
            <w:tcW w:w="2047" w:type="dxa"/>
            <w:tcBorders>
              <w:top w:val="single" w:sz="4" w:space="0" w:color="000000"/>
              <w:left w:val="single" w:sz="4" w:space="0" w:color="000000"/>
              <w:bottom w:val="single" w:sz="4" w:space="0" w:color="000000"/>
            </w:tcBorders>
            <w:shd w:color="auto" w:fill="auto" w:val="clear"/>
          </w:tcPr>
          <w:p>
            <w:pPr>
              <w:pStyle w:val="Style71"/>
              <w:ind w:left="-496" w:firstLine="388"/>
              <w:jc w:val="right"/>
              <w:rPr>
                <w:lang w:val="uk-UA"/>
              </w:rPr>
            </w:pPr>
            <w:r>
              <w:rPr>
                <w:rStyle w:val="FontStyle12"/>
                <w:b w:val="false"/>
                <w:bCs w:val="false"/>
                <w:sz w:val="27"/>
                <w:szCs w:val="27"/>
                <w:highlight w:val="white"/>
                <w:lang w:val="uk-UA" w:eastAsia="uk-UA"/>
              </w:rPr>
              <w:t>21 049,0</w:t>
            </w:r>
          </w:p>
        </w:tc>
        <w:tc>
          <w:tcPr>
            <w:tcW w:w="1643" w:type="dxa"/>
            <w:tcBorders>
              <w:top w:val="single" w:sz="4" w:space="0" w:color="000000"/>
              <w:left w:val="single" w:sz="4" w:space="0" w:color="000000"/>
              <w:bottom w:val="single" w:sz="4" w:space="0" w:color="000000"/>
            </w:tcBorders>
            <w:shd w:color="auto" w:fill="auto" w:val="clear"/>
          </w:tcPr>
          <w:p>
            <w:pPr>
              <w:pStyle w:val="Style71"/>
              <w:ind w:left="-496" w:firstLine="388"/>
              <w:jc w:val="right"/>
              <w:rPr>
                <w:lang w:val="uk-UA"/>
              </w:rPr>
            </w:pPr>
            <w:r>
              <w:rPr>
                <w:rStyle w:val="FontStyle12"/>
                <w:b w:val="false"/>
                <w:bCs w:val="false"/>
                <w:sz w:val="27"/>
                <w:szCs w:val="27"/>
                <w:highlight w:val="white"/>
                <w:lang w:val="uk-UA" w:eastAsia="uk-UA"/>
              </w:rPr>
              <w:t>20 875,0</w:t>
            </w:r>
          </w:p>
        </w:tc>
        <w:tc>
          <w:tcPr>
            <w:tcW w:w="1582" w:type="dxa"/>
            <w:tcBorders>
              <w:top w:val="single" w:sz="4" w:space="0" w:color="000000"/>
              <w:left w:val="single" w:sz="4" w:space="0" w:color="000000"/>
              <w:bottom w:val="single" w:sz="4" w:space="0" w:color="000000"/>
              <w:right w:val="single" w:sz="4" w:space="0" w:color="000000"/>
            </w:tcBorders>
            <w:shd w:color="auto" w:fill="auto" w:val="clear"/>
          </w:tcPr>
          <w:p>
            <w:pPr>
              <w:pStyle w:val="Style71"/>
              <w:ind w:left="-496" w:firstLine="388"/>
              <w:jc w:val="right"/>
              <w:rPr>
                <w:lang w:val="uk-UA"/>
              </w:rPr>
            </w:pPr>
            <w:r>
              <w:rPr>
                <w:rStyle w:val="FontStyle12"/>
                <w:b w:val="false"/>
                <w:bCs w:val="false"/>
                <w:sz w:val="27"/>
                <w:szCs w:val="27"/>
                <w:highlight w:val="white"/>
                <w:lang w:val="uk-UA" w:eastAsia="uk-UA"/>
              </w:rPr>
              <w:t>+174</w:t>
            </w:r>
          </w:p>
        </w:tc>
      </w:tr>
      <w:tr>
        <w:trPr>
          <w:trHeight w:val="405" w:hRule="atLeast"/>
        </w:trPr>
        <w:tc>
          <w:tcPr>
            <w:tcW w:w="4590" w:type="dxa"/>
            <w:tcBorders>
              <w:top w:val="single" w:sz="4" w:space="0" w:color="000000"/>
              <w:left w:val="single" w:sz="4" w:space="0" w:color="000000"/>
              <w:bottom w:val="single" w:sz="4" w:space="0" w:color="000000"/>
            </w:tcBorders>
            <w:shd w:color="auto" w:fill="auto" w:val="clear"/>
          </w:tcPr>
          <w:p>
            <w:pPr>
              <w:pStyle w:val="Style31"/>
              <w:ind w:right="72" w:hanging="0"/>
              <w:jc w:val="both"/>
              <w:rPr>
                <w:lang w:val="uk-UA"/>
              </w:rPr>
            </w:pPr>
            <w:r>
              <w:rPr>
                <w:sz w:val="27"/>
                <w:szCs w:val="27"/>
                <w:lang w:val="uk-UA"/>
              </w:rPr>
              <w:t>- </w:t>
            </w:r>
            <w:r>
              <w:rPr>
                <w:rStyle w:val="FontStyle11"/>
                <w:sz w:val="27"/>
                <w:szCs w:val="27"/>
                <w:lang w:val="uk-UA" w:eastAsia="uk-UA"/>
              </w:rPr>
              <w:t>від реалізації товарів, робіт, послуг (чистий дохід)</w:t>
            </w:r>
          </w:p>
        </w:tc>
        <w:tc>
          <w:tcPr>
            <w:tcW w:w="2047" w:type="dxa"/>
            <w:tcBorders>
              <w:top w:val="single" w:sz="4" w:space="0" w:color="000000"/>
              <w:left w:val="single" w:sz="4" w:space="0" w:color="000000"/>
              <w:bottom w:val="single" w:sz="4" w:space="0" w:color="000000"/>
            </w:tcBorders>
            <w:shd w:color="auto" w:fill="auto" w:val="clear"/>
          </w:tcPr>
          <w:p>
            <w:pPr>
              <w:pStyle w:val="Style31"/>
              <w:ind w:hanging="108"/>
              <w:jc w:val="right"/>
              <w:rPr>
                <w:lang w:val="uk-UA"/>
              </w:rPr>
            </w:pPr>
            <w:r>
              <w:rPr>
                <w:rStyle w:val="FontStyle11"/>
                <w:sz w:val="27"/>
                <w:szCs w:val="27"/>
                <w:highlight w:val="white"/>
                <w:lang w:val="uk-UA" w:eastAsia="uk-UA"/>
              </w:rPr>
              <w:t>21 143,1</w:t>
            </w:r>
          </w:p>
        </w:tc>
        <w:tc>
          <w:tcPr>
            <w:tcW w:w="1643" w:type="dxa"/>
            <w:tcBorders>
              <w:top w:val="single" w:sz="4" w:space="0" w:color="000000"/>
              <w:left w:val="single" w:sz="4" w:space="0" w:color="000000"/>
              <w:bottom w:val="single" w:sz="4" w:space="0" w:color="000000"/>
            </w:tcBorders>
            <w:shd w:color="auto" w:fill="auto" w:val="clear"/>
          </w:tcPr>
          <w:p>
            <w:pPr>
              <w:pStyle w:val="Style31"/>
              <w:ind w:hanging="108"/>
              <w:jc w:val="right"/>
              <w:rPr>
                <w:lang w:val="uk-UA"/>
              </w:rPr>
            </w:pPr>
            <w:r>
              <w:rPr>
                <w:rStyle w:val="FontStyle11"/>
                <w:sz w:val="27"/>
                <w:szCs w:val="27"/>
                <w:highlight w:val="white"/>
                <w:lang w:val="uk-UA" w:eastAsia="uk-UA"/>
              </w:rPr>
              <w:t>20 758,0</w:t>
            </w:r>
          </w:p>
        </w:tc>
        <w:tc>
          <w:tcPr>
            <w:tcW w:w="1582" w:type="dxa"/>
            <w:tcBorders>
              <w:top w:val="single" w:sz="4" w:space="0" w:color="000000"/>
              <w:left w:val="single" w:sz="4" w:space="0" w:color="000000"/>
              <w:bottom w:val="single" w:sz="4" w:space="0" w:color="000000"/>
              <w:right w:val="single" w:sz="4" w:space="0" w:color="000000"/>
            </w:tcBorders>
            <w:shd w:color="auto" w:fill="auto" w:val="clear"/>
          </w:tcPr>
          <w:p>
            <w:pPr>
              <w:pStyle w:val="Style31"/>
              <w:ind w:hanging="108"/>
              <w:jc w:val="right"/>
              <w:rPr>
                <w:lang w:val="uk-UA"/>
              </w:rPr>
            </w:pPr>
            <w:r>
              <w:rPr>
                <w:rStyle w:val="FontStyle11"/>
                <w:sz w:val="27"/>
                <w:szCs w:val="27"/>
                <w:highlight w:val="white"/>
                <w:lang w:val="uk-UA" w:eastAsia="uk-UA"/>
              </w:rPr>
              <w:t>+385,1</w:t>
            </w:r>
          </w:p>
        </w:tc>
      </w:tr>
      <w:tr>
        <w:trPr/>
        <w:tc>
          <w:tcPr>
            <w:tcW w:w="4590" w:type="dxa"/>
            <w:tcBorders>
              <w:top w:val="single" w:sz="4" w:space="0" w:color="000000"/>
              <w:left w:val="single" w:sz="4" w:space="0" w:color="000000"/>
              <w:bottom w:val="single" w:sz="4" w:space="0" w:color="000000"/>
            </w:tcBorders>
            <w:shd w:color="auto" w:fill="auto" w:val="clear"/>
          </w:tcPr>
          <w:p>
            <w:pPr>
              <w:pStyle w:val="Style31"/>
              <w:rPr>
                <w:lang w:val="uk-UA"/>
              </w:rPr>
            </w:pPr>
            <w:r>
              <w:rPr>
                <w:rStyle w:val="FontStyle11"/>
                <w:sz w:val="27"/>
                <w:szCs w:val="27"/>
                <w:lang w:val="uk-UA" w:eastAsia="uk-UA"/>
              </w:rPr>
              <w:t>в т. ч. фінансування з бюджету міської територіальної громади</w:t>
            </w:r>
          </w:p>
        </w:tc>
        <w:tc>
          <w:tcPr>
            <w:tcW w:w="2047" w:type="dxa"/>
            <w:tcBorders>
              <w:top w:val="single" w:sz="4" w:space="0" w:color="000000"/>
              <w:left w:val="single" w:sz="4" w:space="0" w:color="000000"/>
              <w:bottom w:val="single" w:sz="4" w:space="0" w:color="000000"/>
            </w:tcBorders>
            <w:shd w:color="auto" w:fill="auto" w:val="clear"/>
          </w:tcPr>
          <w:p>
            <w:pPr>
              <w:pStyle w:val="Style31"/>
              <w:jc w:val="right"/>
              <w:rPr>
                <w:lang w:val="uk-UA"/>
              </w:rPr>
            </w:pPr>
            <w:r>
              <w:rPr>
                <w:rStyle w:val="FontStyle11"/>
                <w:sz w:val="27"/>
                <w:szCs w:val="27"/>
                <w:highlight w:val="white"/>
                <w:lang w:val="uk-UA" w:eastAsia="uk-UA"/>
              </w:rPr>
              <w:t>17 260,0</w:t>
            </w:r>
          </w:p>
        </w:tc>
        <w:tc>
          <w:tcPr>
            <w:tcW w:w="1643" w:type="dxa"/>
            <w:tcBorders>
              <w:top w:val="single" w:sz="4" w:space="0" w:color="000000"/>
              <w:left w:val="single" w:sz="4" w:space="0" w:color="000000"/>
              <w:bottom w:val="single" w:sz="4" w:space="0" w:color="000000"/>
            </w:tcBorders>
            <w:shd w:color="auto" w:fill="auto" w:val="clear"/>
          </w:tcPr>
          <w:p>
            <w:pPr>
              <w:pStyle w:val="Style31"/>
              <w:jc w:val="right"/>
              <w:rPr>
                <w:lang w:val="uk-UA"/>
              </w:rPr>
            </w:pPr>
            <w:r>
              <w:rPr>
                <w:rStyle w:val="FontStyle11"/>
                <w:sz w:val="27"/>
                <w:szCs w:val="27"/>
                <w:highlight w:val="white"/>
                <w:lang w:val="uk-UA" w:eastAsia="uk-UA"/>
              </w:rPr>
              <w:t>13 460,0</w:t>
            </w:r>
          </w:p>
        </w:tc>
        <w:tc>
          <w:tcPr>
            <w:tcW w:w="1582" w:type="dxa"/>
            <w:tcBorders>
              <w:top w:val="single" w:sz="4" w:space="0" w:color="000000"/>
              <w:left w:val="single" w:sz="4" w:space="0" w:color="000000"/>
              <w:bottom w:val="single" w:sz="4" w:space="0" w:color="000000"/>
              <w:right w:val="single" w:sz="4" w:space="0" w:color="000000"/>
            </w:tcBorders>
            <w:shd w:color="auto" w:fill="auto" w:val="clear"/>
          </w:tcPr>
          <w:p>
            <w:pPr>
              <w:pStyle w:val="Style31"/>
              <w:jc w:val="right"/>
              <w:rPr>
                <w:lang w:val="uk-UA"/>
              </w:rPr>
            </w:pPr>
            <w:r>
              <w:rPr>
                <w:rStyle w:val="FontStyle11"/>
                <w:sz w:val="27"/>
                <w:szCs w:val="27"/>
                <w:highlight w:val="white"/>
                <w:lang w:val="uk-UA" w:eastAsia="uk-UA"/>
              </w:rPr>
              <w:t>+3 800</w:t>
            </w:r>
          </w:p>
        </w:tc>
      </w:tr>
      <w:tr>
        <w:trPr/>
        <w:tc>
          <w:tcPr>
            <w:tcW w:w="4590" w:type="dxa"/>
            <w:tcBorders>
              <w:top w:val="single" w:sz="4" w:space="0" w:color="000000"/>
              <w:left w:val="single" w:sz="4" w:space="0" w:color="000000"/>
              <w:bottom w:val="single" w:sz="4" w:space="0" w:color="000000"/>
            </w:tcBorders>
            <w:shd w:color="auto" w:fill="auto" w:val="clear"/>
          </w:tcPr>
          <w:p>
            <w:pPr>
              <w:pStyle w:val="Style31"/>
              <w:rPr>
                <w:lang w:val="uk-UA"/>
              </w:rPr>
            </w:pPr>
            <w:r>
              <w:rPr>
                <w:rStyle w:val="FontStyle11"/>
                <w:sz w:val="27"/>
                <w:szCs w:val="27"/>
                <w:lang w:val="uk-UA" w:eastAsia="uk-UA"/>
              </w:rPr>
              <w:t xml:space="preserve">- роботи за договорами  </w:t>
            </w:r>
          </w:p>
        </w:tc>
        <w:tc>
          <w:tcPr>
            <w:tcW w:w="2047" w:type="dxa"/>
            <w:tcBorders>
              <w:top w:val="single" w:sz="4" w:space="0" w:color="000000"/>
              <w:left w:val="single" w:sz="4" w:space="0" w:color="000000"/>
              <w:bottom w:val="single" w:sz="4" w:space="0" w:color="000000"/>
            </w:tcBorders>
            <w:shd w:color="auto" w:fill="auto" w:val="clear"/>
          </w:tcPr>
          <w:p>
            <w:pPr>
              <w:pStyle w:val="Style31"/>
              <w:jc w:val="right"/>
              <w:rPr>
                <w:lang w:val="uk-UA"/>
              </w:rPr>
            </w:pPr>
            <w:r>
              <w:rPr>
                <w:rStyle w:val="FontStyle11"/>
                <w:sz w:val="27"/>
                <w:szCs w:val="27"/>
                <w:highlight w:val="white"/>
                <w:lang w:val="uk-UA" w:eastAsia="uk-UA"/>
              </w:rPr>
              <w:t>3 883,1</w:t>
            </w:r>
          </w:p>
        </w:tc>
        <w:tc>
          <w:tcPr>
            <w:tcW w:w="1643" w:type="dxa"/>
            <w:tcBorders>
              <w:top w:val="single" w:sz="4" w:space="0" w:color="000000"/>
              <w:left w:val="single" w:sz="4" w:space="0" w:color="000000"/>
              <w:bottom w:val="single" w:sz="4" w:space="0" w:color="000000"/>
            </w:tcBorders>
            <w:shd w:color="auto" w:fill="auto" w:val="clear"/>
          </w:tcPr>
          <w:p>
            <w:pPr>
              <w:pStyle w:val="Style31"/>
              <w:jc w:val="right"/>
              <w:rPr>
                <w:lang w:val="uk-UA"/>
              </w:rPr>
            </w:pPr>
            <w:r>
              <w:rPr>
                <w:rStyle w:val="FontStyle11"/>
                <w:sz w:val="27"/>
                <w:szCs w:val="27"/>
                <w:highlight w:val="white"/>
                <w:lang w:val="uk-UA" w:eastAsia="uk-UA"/>
              </w:rPr>
              <w:t>7 298,0</w:t>
            </w:r>
          </w:p>
        </w:tc>
        <w:tc>
          <w:tcPr>
            <w:tcW w:w="1582" w:type="dxa"/>
            <w:tcBorders>
              <w:top w:val="single" w:sz="4" w:space="0" w:color="000000"/>
              <w:left w:val="single" w:sz="4" w:space="0" w:color="000000"/>
              <w:bottom w:val="single" w:sz="4" w:space="0" w:color="000000"/>
              <w:right w:val="single" w:sz="4" w:space="0" w:color="000000"/>
            </w:tcBorders>
            <w:shd w:color="auto" w:fill="auto" w:val="clear"/>
          </w:tcPr>
          <w:p>
            <w:pPr>
              <w:pStyle w:val="Style31"/>
              <w:jc w:val="right"/>
              <w:rPr>
                <w:lang w:val="uk-UA"/>
              </w:rPr>
            </w:pPr>
            <w:r>
              <w:rPr>
                <w:rStyle w:val="FontStyle11"/>
                <w:sz w:val="27"/>
                <w:szCs w:val="27"/>
                <w:highlight w:val="white"/>
                <w:lang w:val="uk-UA" w:eastAsia="uk-UA"/>
              </w:rPr>
              <w:t>-3 414,9</w:t>
            </w:r>
          </w:p>
        </w:tc>
      </w:tr>
      <w:tr>
        <w:trPr/>
        <w:tc>
          <w:tcPr>
            <w:tcW w:w="4590" w:type="dxa"/>
            <w:tcBorders>
              <w:top w:val="single" w:sz="4" w:space="0" w:color="000000"/>
              <w:left w:val="single" w:sz="4" w:space="0" w:color="000000"/>
              <w:bottom w:val="single" w:sz="4" w:space="0" w:color="000000"/>
            </w:tcBorders>
            <w:shd w:color="auto" w:fill="auto" w:val="clear"/>
          </w:tcPr>
          <w:p>
            <w:pPr>
              <w:pStyle w:val="Style31"/>
              <w:rPr>
                <w:lang w:val="uk-UA"/>
              </w:rPr>
            </w:pPr>
            <w:r>
              <w:rPr>
                <w:rStyle w:val="FontStyle11"/>
                <w:sz w:val="27"/>
                <w:szCs w:val="27"/>
                <w:lang w:val="uk-UA" w:eastAsia="uk-UA"/>
              </w:rPr>
              <w:t>- інші фінансові доходи</w:t>
            </w:r>
          </w:p>
        </w:tc>
        <w:tc>
          <w:tcPr>
            <w:tcW w:w="2047" w:type="dxa"/>
            <w:tcBorders>
              <w:top w:val="single" w:sz="4" w:space="0" w:color="000000"/>
              <w:left w:val="single" w:sz="4" w:space="0" w:color="000000"/>
              <w:bottom w:val="single" w:sz="4" w:space="0" w:color="000000"/>
            </w:tcBorders>
            <w:shd w:color="auto" w:fill="auto" w:val="clear"/>
          </w:tcPr>
          <w:p>
            <w:pPr>
              <w:pStyle w:val="Style31"/>
              <w:snapToGrid w:val="false"/>
              <w:jc w:val="right"/>
              <w:rPr>
                <w:sz w:val="27"/>
                <w:szCs w:val="27"/>
                <w:highlight w:val="white"/>
                <w:lang w:val="uk-UA"/>
              </w:rPr>
            </w:pPr>
            <w:r>
              <w:rPr>
                <w:sz w:val="27"/>
                <w:szCs w:val="27"/>
                <w:highlight w:val="white"/>
                <w:lang w:val="uk-UA"/>
              </w:rPr>
            </w:r>
          </w:p>
        </w:tc>
        <w:tc>
          <w:tcPr>
            <w:tcW w:w="1643" w:type="dxa"/>
            <w:tcBorders>
              <w:top w:val="single" w:sz="4" w:space="0" w:color="000000"/>
              <w:left w:val="single" w:sz="4" w:space="0" w:color="000000"/>
              <w:bottom w:val="single" w:sz="4" w:space="0" w:color="000000"/>
            </w:tcBorders>
            <w:shd w:color="auto" w:fill="auto" w:val="clear"/>
          </w:tcPr>
          <w:p>
            <w:pPr>
              <w:pStyle w:val="Style31"/>
              <w:snapToGrid w:val="false"/>
              <w:jc w:val="right"/>
              <w:rPr>
                <w:sz w:val="27"/>
                <w:szCs w:val="27"/>
                <w:highlight w:val="white"/>
                <w:lang w:val="uk-UA"/>
              </w:rPr>
            </w:pPr>
            <w:r>
              <w:rPr>
                <w:sz w:val="27"/>
                <w:szCs w:val="27"/>
                <w:highlight w:val="white"/>
                <w:lang w:val="uk-UA"/>
              </w:rPr>
            </w:r>
          </w:p>
        </w:tc>
        <w:tc>
          <w:tcPr>
            <w:tcW w:w="1582" w:type="dxa"/>
            <w:tcBorders>
              <w:top w:val="single" w:sz="4" w:space="0" w:color="000000"/>
              <w:left w:val="single" w:sz="4" w:space="0" w:color="000000"/>
              <w:bottom w:val="single" w:sz="4" w:space="0" w:color="000000"/>
              <w:right w:val="single" w:sz="4" w:space="0" w:color="000000"/>
            </w:tcBorders>
            <w:shd w:color="auto" w:fill="auto" w:val="clear"/>
          </w:tcPr>
          <w:p>
            <w:pPr>
              <w:pStyle w:val="Style31"/>
              <w:snapToGrid w:val="false"/>
              <w:jc w:val="right"/>
              <w:rPr>
                <w:sz w:val="27"/>
                <w:szCs w:val="27"/>
                <w:highlight w:val="white"/>
                <w:lang w:val="uk-UA"/>
              </w:rPr>
            </w:pPr>
            <w:r>
              <w:rPr>
                <w:sz w:val="27"/>
                <w:szCs w:val="27"/>
                <w:highlight w:val="white"/>
                <w:lang w:val="uk-UA"/>
              </w:rPr>
            </w:r>
          </w:p>
        </w:tc>
      </w:tr>
      <w:tr>
        <w:trPr/>
        <w:tc>
          <w:tcPr>
            <w:tcW w:w="4590" w:type="dxa"/>
            <w:tcBorders>
              <w:top w:val="single" w:sz="4" w:space="0" w:color="000000"/>
              <w:left w:val="single" w:sz="4" w:space="0" w:color="000000"/>
              <w:bottom w:val="single" w:sz="4" w:space="0" w:color="000000"/>
            </w:tcBorders>
            <w:shd w:color="auto" w:fill="auto" w:val="clear"/>
          </w:tcPr>
          <w:p>
            <w:pPr>
              <w:pStyle w:val="Style31"/>
              <w:rPr>
                <w:lang w:val="uk-UA"/>
              </w:rPr>
            </w:pPr>
            <w:r>
              <w:rPr>
                <w:sz w:val="27"/>
                <w:szCs w:val="27"/>
                <w:lang w:val="uk-UA"/>
              </w:rPr>
              <w:t>- </w:t>
            </w:r>
            <w:r>
              <w:rPr>
                <w:rStyle w:val="FontStyle11"/>
                <w:sz w:val="27"/>
                <w:szCs w:val="27"/>
                <w:lang w:val="uk-UA" w:eastAsia="uk-UA"/>
              </w:rPr>
              <w:t>інші доходи</w:t>
            </w:r>
          </w:p>
        </w:tc>
        <w:tc>
          <w:tcPr>
            <w:tcW w:w="2047" w:type="dxa"/>
            <w:tcBorders>
              <w:top w:val="single" w:sz="4" w:space="0" w:color="000000"/>
              <w:left w:val="single" w:sz="4" w:space="0" w:color="000000"/>
              <w:bottom w:val="single" w:sz="4" w:space="0" w:color="000000"/>
            </w:tcBorders>
            <w:shd w:color="auto" w:fill="auto" w:val="clear"/>
          </w:tcPr>
          <w:p>
            <w:pPr>
              <w:pStyle w:val="Style31"/>
              <w:jc w:val="right"/>
              <w:rPr>
                <w:lang w:val="uk-UA"/>
              </w:rPr>
            </w:pPr>
            <w:r>
              <w:rPr>
                <w:rStyle w:val="FontStyle11"/>
                <w:sz w:val="27"/>
                <w:szCs w:val="27"/>
                <w:highlight w:val="white"/>
                <w:lang w:val="uk-UA" w:eastAsia="uk-UA"/>
              </w:rPr>
              <w:t>2 462,0</w:t>
            </w:r>
          </w:p>
        </w:tc>
        <w:tc>
          <w:tcPr>
            <w:tcW w:w="1643" w:type="dxa"/>
            <w:tcBorders>
              <w:top w:val="single" w:sz="4" w:space="0" w:color="000000"/>
              <w:left w:val="single" w:sz="4" w:space="0" w:color="000000"/>
              <w:bottom w:val="single" w:sz="4" w:space="0" w:color="000000"/>
            </w:tcBorders>
            <w:shd w:color="auto" w:fill="auto" w:val="clear"/>
          </w:tcPr>
          <w:p>
            <w:pPr>
              <w:pStyle w:val="Style31"/>
              <w:jc w:val="right"/>
              <w:rPr>
                <w:lang w:val="uk-UA"/>
              </w:rPr>
            </w:pPr>
            <w:r>
              <w:rPr>
                <w:rStyle w:val="FontStyle11"/>
                <w:sz w:val="27"/>
                <w:szCs w:val="27"/>
                <w:highlight w:val="white"/>
                <w:lang w:val="uk-UA" w:eastAsia="uk-UA"/>
              </w:rPr>
              <w:t>2 010,0</w:t>
            </w:r>
          </w:p>
        </w:tc>
        <w:tc>
          <w:tcPr>
            <w:tcW w:w="1582" w:type="dxa"/>
            <w:tcBorders>
              <w:top w:val="single" w:sz="4" w:space="0" w:color="000000"/>
              <w:left w:val="single" w:sz="4" w:space="0" w:color="000000"/>
              <w:bottom w:val="single" w:sz="4" w:space="0" w:color="000000"/>
              <w:right w:val="single" w:sz="4" w:space="0" w:color="000000"/>
            </w:tcBorders>
            <w:shd w:color="auto" w:fill="auto" w:val="clear"/>
          </w:tcPr>
          <w:p>
            <w:pPr>
              <w:pStyle w:val="Style31"/>
              <w:jc w:val="right"/>
              <w:rPr>
                <w:lang w:val="uk-UA"/>
              </w:rPr>
            </w:pPr>
            <w:r>
              <w:rPr>
                <w:rStyle w:val="FontStyle11"/>
                <w:sz w:val="27"/>
                <w:szCs w:val="27"/>
                <w:highlight w:val="white"/>
                <w:lang w:val="uk-UA" w:eastAsia="uk-UA"/>
              </w:rPr>
              <w:t>+452</w:t>
            </w:r>
          </w:p>
        </w:tc>
      </w:tr>
      <w:tr>
        <w:trPr/>
        <w:tc>
          <w:tcPr>
            <w:tcW w:w="4590" w:type="dxa"/>
            <w:tcBorders>
              <w:top w:val="single" w:sz="4" w:space="0" w:color="000000"/>
              <w:left w:val="single" w:sz="4" w:space="0" w:color="000000"/>
              <w:bottom w:val="single" w:sz="4" w:space="0" w:color="000000"/>
            </w:tcBorders>
            <w:shd w:color="auto" w:fill="auto" w:val="clear"/>
          </w:tcPr>
          <w:p>
            <w:pPr>
              <w:pStyle w:val="Style31"/>
              <w:rPr/>
            </w:pPr>
            <w:r>
              <w:rPr>
                <w:sz w:val="27"/>
                <w:szCs w:val="27"/>
                <w:lang w:val="uk-UA"/>
              </w:rPr>
              <w:t>-</w:t>
            </w:r>
            <w:r>
              <w:rPr>
                <w:sz w:val="27"/>
                <w:szCs w:val="27"/>
              </w:rPr>
              <w:t> </w:t>
            </w:r>
            <w:r>
              <w:rPr>
                <w:rStyle w:val="FontStyle11"/>
                <w:sz w:val="27"/>
                <w:szCs w:val="27"/>
                <w:lang w:val="uk-UA" w:eastAsia="uk-UA"/>
              </w:rPr>
              <w:t>ПДВ</w:t>
            </w:r>
          </w:p>
        </w:tc>
        <w:tc>
          <w:tcPr>
            <w:tcW w:w="2047" w:type="dxa"/>
            <w:tcBorders>
              <w:top w:val="single" w:sz="4" w:space="0" w:color="000000"/>
              <w:left w:val="single" w:sz="4" w:space="0" w:color="000000"/>
              <w:bottom w:val="single" w:sz="4" w:space="0" w:color="000000"/>
            </w:tcBorders>
            <w:shd w:color="auto" w:fill="auto" w:val="clear"/>
          </w:tcPr>
          <w:p>
            <w:pPr>
              <w:pStyle w:val="Style31"/>
              <w:jc w:val="right"/>
              <w:rPr/>
            </w:pPr>
            <w:r>
              <w:rPr>
                <w:rStyle w:val="FontStyle11"/>
                <w:sz w:val="27"/>
                <w:szCs w:val="27"/>
                <w:highlight w:val="white"/>
                <w:lang w:val="uk-UA" w:eastAsia="uk-UA"/>
              </w:rPr>
              <w:t>2 556,1</w:t>
            </w:r>
          </w:p>
        </w:tc>
        <w:tc>
          <w:tcPr>
            <w:tcW w:w="1643" w:type="dxa"/>
            <w:tcBorders>
              <w:top w:val="single" w:sz="4" w:space="0" w:color="000000"/>
              <w:left w:val="single" w:sz="4" w:space="0" w:color="000000"/>
              <w:bottom w:val="single" w:sz="4" w:space="0" w:color="000000"/>
            </w:tcBorders>
            <w:shd w:color="auto" w:fill="auto" w:val="clear"/>
          </w:tcPr>
          <w:p>
            <w:pPr>
              <w:pStyle w:val="Style31"/>
              <w:jc w:val="right"/>
              <w:rPr/>
            </w:pPr>
            <w:r>
              <w:rPr>
                <w:rStyle w:val="FontStyle11"/>
                <w:sz w:val="27"/>
                <w:szCs w:val="27"/>
                <w:highlight w:val="white"/>
                <w:lang w:val="uk-UA" w:eastAsia="uk-UA"/>
              </w:rPr>
              <w:t>1 893,0</w:t>
            </w:r>
          </w:p>
        </w:tc>
        <w:tc>
          <w:tcPr>
            <w:tcW w:w="1582" w:type="dxa"/>
            <w:tcBorders>
              <w:top w:val="single" w:sz="4" w:space="0" w:color="000000"/>
              <w:left w:val="single" w:sz="4" w:space="0" w:color="000000"/>
              <w:bottom w:val="single" w:sz="4" w:space="0" w:color="000000"/>
              <w:right w:val="single" w:sz="4" w:space="0" w:color="000000"/>
            </w:tcBorders>
            <w:shd w:color="auto" w:fill="auto" w:val="clear"/>
          </w:tcPr>
          <w:p>
            <w:pPr>
              <w:pStyle w:val="Style31"/>
              <w:jc w:val="right"/>
              <w:rPr/>
            </w:pPr>
            <w:r>
              <w:rPr>
                <w:rStyle w:val="FontStyle11"/>
                <w:sz w:val="27"/>
                <w:szCs w:val="27"/>
                <w:highlight w:val="white"/>
                <w:lang w:val="uk-UA" w:eastAsia="uk-UA"/>
              </w:rPr>
              <w:t>+663,1</w:t>
            </w:r>
          </w:p>
        </w:tc>
      </w:tr>
      <w:tr>
        <w:trPr/>
        <w:tc>
          <w:tcPr>
            <w:tcW w:w="4590" w:type="dxa"/>
            <w:tcBorders>
              <w:top w:val="single" w:sz="4" w:space="0" w:color="000000"/>
              <w:left w:val="single" w:sz="4" w:space="0" w:color="000000"/>
              <w:bottom w:val="single" w:sz="4" w:space="0" w:color="000000"/>
            </w:tcBorders>
            <w:shd w:color="auto" w:fill="auto" w:val="clear"/>
          </w:tcPr>
          <w:p>
            <w:pPr>
              <w:pStyle w:val="Style71"/>
              <w:rPr/>
            </w:pPr>
            <w:r>
              <w:rPr>
                <w:rStyle w:val="FontStyle12"/>
                <w:sz w:val="27"/>
                <w:szCs w:val="27"/>
                <w:lang w:val="uk-UA" w:eastAsia="uk-UA"/>
              </w:rPr>
              <w:t>Витрати всього:</w:t>
            </w:r>
          </w:p>
        </w:tc>
        <w:tc>
          <w:tcPr>
            <w:tcW w:w="2047" w:type="dxa"/>
            <w:tcBorders>
              <w:top w:val="single" w:sz="4" w:space="0" w:color="000000"/>
              <w:left w:val="single" w:sz="4" w:space="0" w:color="000000"/>
              <w:bottom w:val="single" w:sz="4" w:space="0" w:color="000000"/>
            </w:tcBorders>
            <w:shd w:color="auto" w:fill="auto" w:val="clear"/>
          </w:tcPr>
          <w:p>
            <w:pPr>
              <w:pStyle w:val="Style71"/>
              <w:jc w:val="right"/>
              <w:rPr/>
            </w:pPr>
            <w:r>
              <w:rPr>
                <w:rStyle w:val="FontStyle12"/>
                <w:b w:val="false"/>
                <w:bCs w:val="false"/>
                <w:sz w:val="27"/>
                <w:szCs w:val="27"/>
                <w:highlight w:val="white"/>
                <w:lang w:val="uk-UA" w:eastAsia="uk-UA"/>
              </w:rPr>
              <w:t>21 044,0</w:t>
            </w:r>
          </w:p>
        </w:tc>
        <w:tc>
          <w:tcPr>
            <w:tcW w:w="1643" w:type="dxa"/>
            <w:tcBorders>
              <w:top w:val="single" w:sz="4" w:space="0" w:color="000000"/>
              <w:left w:val="single" w:sz="4" w:space="0" w:color="000000"/>
              <w:bottom w:val="single" w:sz="4" w:space="0" w:color="000000"/>
            </w:tcBorders>
            <w:shd w:color="auto" w:fill="auto" w:val="clear"/>
          </w:tcPr>
          <w:p>
            <w:pPr>
              <w:pStyle w:val="Style71"/>
              <w:jc w:val="right"/>
              <w:rPr/>
            </w:pPr>
            <w:r>
              <w:rPr>
                <w:rStyle w:val="FontStyle12"/>
                <w:b w:val="false"/>
                <w:bCs w:val="false"/>
                <w:sz w:val="27"/>
                <w:szCs w:val="27"/>
                <w:highlight w:val="white"/>
                <w:lang w:val="uk-UA" w:eastAsia="uk-UA"/>
              </w:rPr>
              <w:t>20 788,0</w:t>
            </w:r>
          </w:p>
        </w:tc>
        <w:tc>
          <w:tcPr>
            <w:tcW w:w="1582" w:type="dxa"/>
            <w:tcBorders>
              <w:top w:val="single" w:sz="4" w:space="0" w:color="000000"/>
              <w:left w:val="single" w:sz="4" w:space="0" w:color="000000"/>
              <w:bottom w:val="single" w:sz="4" w:space="0" w:color="000000"/>
              <w:right w:val="single" w:sz="4" w:space="0" w:color="000000"/>
            </w:tcBorders>
            <w:shd w:color="auto" w:fill="auto" w:val="clear"/>
          </w:tcPr>
          <w:p>
            <w:pPr>
              <w:pStyle w:val="Style71"/>
              <w:jc w:val="right"/>
              <w:rPr/>
            </w:pPr>
            <w:r>
              <w:rPr>
                <w:rStyle w:val="FontStyle12"/>
                <w:b w:val="false"/>
                <w:bCs w:val="false"/>
                <w:sz w:val="27"/>
                <w:szCs w:val="27"/>
                <w:highlight w:val="white"/>
                <w:lang w:val="uk-UA" w:eastAsia="uk-UA"/>
              </w:rPr>
              <w:t>+256</w:t>
            </w:r>
          </w:p>
        </w:tc>
      </w:tr>
      <w:tr>
        <w:trPr>
          <w:trHeight w:val="167" w:hRule="atLeast"/>
        </w:trPr>
        <w:tc>
          <w:tcPr>
            <w:tcW w:w="4590" w:type="dxa"/>
            <w:tcBorders>
              <w:top w:val="single" w:sz="4" w:space="0" w:color="000000"/>
              <w:left w:val="single" w:sz="4" w:space="0" w:color="000000"/>
              <w:bottom w:val="single" w:sz="4" w:space="0" w:color="000000"/>
            </w:tcBorders>
            <w:shd w:color="auto" w:fill="auto" w:val="clear"/>
          </w:tcPr>
          <w:p>
            <w:pPr>
              <w:pStyle w:val="Style71"/>
              <w:rPr/>
            </w:pPr>
            <w:r>
              <w:rPr>
                <w:rStyle w:val="FontStyle12"/>
                <w:b w:val="false"/>
                <w:sz w:val="27"/>
                <w:szCs w:val="27"/>
                <w:lang w:val="uk-UA" w:eastAsia="uk-UA"/>
              </w:rPr>
              <w:t xml:space="preserve">в тому числі : </w:t>
            </w:r>
          </w:p>
        </w:tc>
        <w:tc>
          <w:tcPr>
            <w:tcW w:w="2047" w:type="dxa"/>
            <w:tcBorders>
              <w:top w:val="single" w:sz="4" w:space="0" w:color="000000"/>
              <w:left w:val="single" w:sz="4" w:space="0" w:color="000000"/>
              <w:bottom w:val="single" w:sz="4" w:space="0" w:color="000000"/>
            </w:tcBorders>
            <w:shd w:color="auto" w:fill="auto" w:val="clear"/>
          </w:tcPr>
          <w:p>
            <w:pPr>
              <w:pStyle w:val="Style71"/>
              <w:snapToGrid w:val="false"/>
              <w:jc w:val="right"/>
              <w:rPr>
                <w:sz w:val="27"/>
                <w:szCs w:val="27"/>
                <w:highlight w:val="white"/>
              </w:rPr>
            </w:pPr>
            <w:r>
              <w:rPr>
                <w:sz w:val="27"/>
                <w:szCs w:val="27"/>
                <w:highlight w:val="white"/>
              </w:rPr>
            </w:r>
          </w:p>
        </w:tc>
        <w:tc>
          <w:tcPr>
            <w:tcW w:w="1643" w:type="dxa"/>
            <w:tcBorders>
              <w:top w:val="single" w:sz="4" w:space="0" w:color="000000"/>
              <w:left w:val="single" w:sz="4" w:space="0" w:color="000000"/>
              <w:bottom w:val="single" w:sz="4" w:space="0" w:color="000000"/>
            </w:tcBorders>
            <w:shd w:color="auto" w:fill="auto" w:val="clear"/>
          </w:tcPr>
          <w:p>
            <w:pPr>
              <w:pStyle w:val="Style71"/>
              <w:snapToGrid w:val="false"/>
              <w:jc w:val="right"/>
              <w:rPr>
                <w:sz w:val="27"/>
                <w:szCs w:val="27"/>
                <w:highlight w:val="white"/>
              </w:rPr>
            </w:pPr>
            <w:r>
              <w:rPr>
                <w:sz w:val="27"/>
                <w:szCs w:val="27"/>
                <w:highlight w:val="white"/>
              </w:rPr>
            </w:r>
          </w:p>
        </w:tc>
        <w:tc>
          <w:tcPr>
            <w:tcW w:w="1582" w:type="dxa"/>
            <w:tcBorders>
              <w:top w:val="single" w:sz="4" w:space="0" w:color="000000"/>
              <w:left w:val="single" w:sz="4" w:space="0" w:color="000000"/>
              <w:bottom w:val="single" w:sz="4" w:space="0" w:color="000000"/>
              <w:right w:val="single" w:sz="4" w:space="0" w:color="000000"/>
            </w:tcBorders>
            <w:shd w:color="auto" w:fill="auto" w:val="clear"/>
          </w:tcPr>
          <w:p>
            <w:pPr>
              <w:pStyle w:val="Style71"/>
              <w:snapToGrid w:val="false"/>
              <w:jc w:val="right"/>
              <w:rPr>
                <w:sz w:val="27"/>
                <w:szCs w:val="27"/>
                <w:highlight w:val="white"/>
              </w:rPr>
            </w:pPr>
            <w:r>
              <w:rPr>
                <w:sz w:val="27"/>
                <w:szCs w:val="27"/>
                <w:highlight w:val="white"/>
              </w:rPr>
            </w:r>
          </w:p>
        </w:tc>
      </w:tr>
      <w:tr>
        <w:trPr/>
        <w:tc>
          <w:tcPr>
            <w:tcW w:w="4590" w:type="dxa"/>
            <w:tcBorders>
              <w:top w:val="single" w:sz="4" w:space="0" w:color="000000"/>
              <w:left w:val="single" w:sz="4" w:space="0" w:color="000000"/>
              <w:bottom w:val="single" w:sz="4" w:space="0" w:color="000000"/>
            </w:tcBorders>
            <w:shd w:color="auto" w:fill="auto" w:val="clear"/>
          </w:tcPr>
          <w:p>
            <w:pPr>
              <w:pStyle w:val="Style71"/>
              <w:rPr/>
            </w:pPr>
            <w:r>
              <w:rPr>
                <w:sz w:val="27"/>
                <w:szCs w:val="27"/>
                <w:lang w:val="uk-UA"/>
              </w:rPr>
              <w:t>-</w:t>
            </w:r>
            <w:r>
              <w:rPr>
                <w:sz w:val="27"/>
                <w:szCs w:val="27"/>
              </w:rPr>
              <w:t> </w:t>
            </w:r>
            <w:r>
              <w:rPr>
                <w:rStyle w:val="FontStyle11"/>
                <w:sz w:val="27"/>
                <w:szCs w:val="27"/>
                <w:lang w:val="uk-UA" w:eastAsia="uk-UA"/>
              </w:rPr>
              <w:t>матеріальні затрати</w:t>
            </w:r>
          </w:p>
        </w:tc>
        <w:tc>
          <w:tcPr>
            <w:tcW w:w="2047" w:type="dxa"/>
            <w:tcBorders>
              <w:top w:val="single" w:sz="4" w:space="0" w:color="000000"/>
              <w:left w:val="single" w:sz="4" w:space="0" w:color="000000"/>
              <w:bottom w:val="single" w:sz="4" w:space="0" w:color="000000"/>
            </w:tcBorders>
            <w:shd w:color="auto" w:fill="auto" w:val="clear"/>
          </w:tcPr>
          <w:p>
            <w:pPr>
              <w:pStyle w:val="Style71"/>
              <w:jc w:val="right"/>
              <w:rPr/>
            </w:pPr>
            <w:r>
              <w:rPr>
                <w:rStyle w:val="FontStyle12"/>
                <w:b w:val="false"/>
                <w:sz w:val="27"/>
                <w:szCs w:val="27"/>
                <w:highlight w:val="white"/>
                <w:lang w:val="uk-UA" w:eastAsia="uk-UA"/>
              </w:rPr>
              <w:t>1 584,0</w:t>
            </w:r>
          </w:p>
        </w:tc>
        <w:tc>
          <w:tcPr>
            <w:tcW w:w="1643" w:type="dxa"/>
            <w:tcBorders>
              <w:top w:val="single" w:sz="4" w:space="0" w:color="000000"/>
              <w:left w:val="single" w:sz="4" w:space="0" w:color="000000"/>
              <w:bottom w:val="single" w:sz="4" w:space="0" w:color="000000"/>
            </w:tcBorders>
            <w:shd w:color="auto" w:fill="auto" w:val="clear"/>
          </w:tcPr>
          <w:p>
            <w:pPr>
              <w:pStyle w:val="Style71"/>
              <w:jc w:val="right"/>
              <w:rPr/>
            </w:pPr>
            <w:r>
              <w:rPr>
                <w:rStyle w:val="FontStyle12"/>
                <w:b w:val="false"/>
                <w:sz w:val="27"/>
                <w:szCs w:val="27"/>
                <w:highlight w:val="white"/>
                <w:lang w:val="uk-UA" w:eastAsia="uk-UA"/>
              </w:rPr>
              <w:t>11 675,0</w:t>
            </w:r>
          </w:p>
        </w:tc>
        <w:tc>
          <w:tcPr>
            <w:tcW w:w="1582" w:type="dxa"/>
            <w:tcBorders>
              <w:top w:val="single" w:sz="4" w:space="0" w:color="000000"/>
              <w:left w:val="single" w:sz="4" w:space="0" w:color="000000"/>
              <w:bottom w:val="single" w:sz="4" w:space="0" w:color="000000"/>
              <w:right w:val="single" w:sz="4" w:space="0" w:color="000000"/>
            </w:tcBorders>
            <w:shd w:color="auto" w:fill="auto" w:val="clear"/>
          </w:tcPr>
          <w:p>
            <w:pPr>
              <w:pStyle w:val="Style71"/>
              <w:jc w:val="right"/>
              <w:rPr/>
            </w:pPr>
            <w:r>
              <w:rPr>
                <w:rStyle w:val="FontStyle12"/>
                <w:b w:val="false"/>
                <w:sz w:val="27"/>
                <w:szCs w:val="27"/>
                <w:highlight w:val="white"/>
                <w:lang w:val="uk-UA" w:eastAsia="uk-UA"/>
              </w:rPr>
              <w:t>-10 091</w:t>
            </w:r>
          </w:p>
        </w:tc>
      </w:tr>
      <w:tr>
        <w:trPr/>
        <w:tc>
          <w:tcPr>
            <w:tcW w:w="4590" w:type="dxa"/>
            <w:tcBorders>
              <w:top w:val="single" w:sz="4" w:space="0" w:color="000000"/>
              <w:left w:val="single" w:sz="4" w:space="0" w:color="000000"/>
              <w:bottom w:val="single" w:sz="4" w:space="0" w:color="000000"/>
            </w:tcBorders>
            <w:shd w:color="auto" w:fill="auto" w:val="clear"/>
          </w:tcPr>
          <w:p>
            <w:pPr>
              <w:pStyle w:val="Style71"/>
              <w:rPr/>
            </w:pPr>
            <w:r>
              <w:rPr>
                <w:sz w:val="27"/>
                <w:szCs w:val="27"/>
                <w:lang w:val="uk-UA"/>
              </w:rPr>
              <w:t>-</w:t>
            </w:r>
            <w:r>
              <w:rPr>
                <w:sz w:val="27"/>
                <w:szCs w:val="27"/>
              </w:rPr>
              <w:t> </w:t>
            </w:r>
            <w:r>
              <w:rPr>
                <w:rStyle w:val="FontStyle11"/>
                <w:sz w:val="27"/>
                <w:szCs w:val="27"/>
                <w:lang w:val="uk-UA" w:eastAsia="uk-UA"/>
              </w:rPr>
              <w:t>оплата праці</w:t>
            </w:r>
          </w:p>
        </w:tc>
        <w:tc>
          <w:tcPr>
            <w:tcW w:w="2047" w:type="dxa"/>
            <w:tcBorders>
              <w:top w:val="single" w:sz="4" w:space="0" w:color="000000"/>
              <w:left w:val="single" w:sz="4" w:space="0" w:color="000000"/>
              <w:bottom w:val="single" w:sz="4" w:space="0" w:color="000000"/>
            </w:tcBorders>
            <w:shd w:color="auto" w:fill="auto" w:val="clear"/>
          </w:tcPr>
          <w:p>
            <w:pPr>
              <w:pStyle w:val="Style71"/>
              <w:jc w:val="right"/>
              <w:rPr/>
            </w:pPr>
            <w:r>
              <w:rPr>
                <w:rStyle w:val="FontStyle12"/>
                <w:b w:val="false"/>
                <w:sz w:val="27"/>
                <w:szCs w:val="27"/>
                <w:highlight w:val="white"/>
                <w:lang w:val="uk-UA" w:eastAsia="uk-UA"/>
              </w:rPr>
              <w:t>5 295,0</w:t>
            </w:r>
          </w:p>
        </w:tc>
        <w:tc>
          <w:tcPr>
            <w:tcW w:w="1643" w:type="dxa"/>
            <w:tcBorders>
              <w:top w:val="single" w:sz="4" w:space="0" w:color="000000"/>
              <w:left w:val="single" w:sz="4" w:space="0" w:color="000000"/>
              <w:bottom w:val="single" w:sz="4" w:space="0" w:color="000000"/>
            </w:tcBorders>
            <w:shd w:color="auto" w:fill="auto" w:val="clear"/>
          </w:tcPr>
          <w:p>
            <w:pPr>
              <w:pStyle w:val="Style71"/>
              <w:jc w:val="right"/>
              <w:rPr/>
            </w:pPr>
            <w:r>
              <w:rPr>
                <w:rStyle w:val="FontStyle12"/>
                <w:b w:val="false"/>
                <w:sz w:val="27"/>
                <w:szCs w:val="27"/>
                <w:highlight w:val="white"/>
                <w:lang w:val="uk-UA" w:eastAsia="uk-UA"/>
              </w:rPr>
              <w:t>5 356,0</w:t>
            </w:r>
          </w:p>
        </w:tc>
        <w:tc>
          <w:tcPr>
            <w:tcW w:w="1582" w:type="dxa"/>
            <w:tcBorders>
              <w:top w:val="single" w:sz="4" w:space="0" w:color="000000"/>
              <w:left w:val="single" w:sz="4" w:space="0" w:color="000000"/>
              <w:bottom w:val="single" w:sz="4" w:space="0" w:color="000000"/>
              <w:right w:val="single" w:sz="4" w:space="0" w:color="000000"/>
            </w:tcBorders>
            <w:shd w:color="auto" w:fill="auto" w:val="clear"/>
          </w:tcPr>
          <w:p>
            <w:pPr>
              <w:pStyle w:val="Style71"/>
              <w:jc w:val="right"/>
              <w:rPr/>
            </w:pPr>
            <w:r>
              <w:rPr>
                <w:rStyle w:val="FontStyle12"/>
                <w:b w:val="false"/>
                <w:sz w:val="27"/>
                <w:szCs w:val="27"/>
                <w:highlight w:val="white"/>
                <w:lang w:val="uk-UA" w:eastAsia="uk-UA"/>
              </w:rPr>
              <w:t>-61</w:t>
            </w:r>
          </w:p>
        </w:tc>
      </w:tr>
      <w:tr>
        <w:trPr/>
        <w:tc>
          <w:tcPr>
            <w:tcW w:w="4590" w:type="dxa"/>
            <w:tcBorders>
              <w:top w:val="single" w:sz="4" w:space="0" w:color="000000"/>
              <w:left w:val="single" w:sz="4" w:space="0" w:color="000000"/>
              <w:bottom w:val="single" w:sz="4" w:space="0" w:color="000000"/>
            </w:tcBorders>
            <w:shd w:color="auto" w:fill="auto" w:val="clear"/>
          </w:tcPr>
          <w:p>
            <w:pPr>
              <w:pStyle w:val="Style71"/>
              <w:rPr/>
            </w:pPr>
            <w:r>
              <w:rPr>
                <w:sz w:val="27"/>
                <w:szCs w:val="27"/>
                <w:lang w:val="uk-UA"/>
              </w:rPr>
              <w:t>-</w:t>
            </w:r>
            <w:r>
              <w:rPr>
                <w:sz w:val="27"/>
                <w:szCs w:val="27"/>
              </w:rPr>
              <w:t> </w:t>
            </w:r>
            <w:r>
              <w:rPr>
                <w:rStyle w:val="FontStyle11"/>
                <w:sz w:val="27"/>
                <w:szCs w:val="27"/>
                <w:lang w:val="uk-UA" w:eastAsia="uk-UA"/>
              </w:rPr>
              <w:t>відрахування на соціальні заходи</w:t>
            </w:r>
          </w:p>
        </w:tc>
        <w:tc>
          <w:tcPr>
            <w:tcW w:w="2047" w:type="dxa"/>
            <w:tcBorders>
              <w:top w:val="single" w:sz="4" w:space="0" w:color="000000"/>
              <w:left w:val="single" w:sz="4" w:space="0" w:color="000000"/>
              <w:bottom w:val="single" w:sz="4" w:space="0" w:color="000000"/>
            </w:tcBorders>
            <w:shd w:color="auto" w:fill="auto" w:val="clear"/>
          </w:tcPr>
          <w:p>
            <w:pPr>
              <w:pStyle w:val="Style71"/>
              <w:jc w:val="right"/>
              <w:rPr/>
            </w:pPr>
            <w:r>
              <w:rPr>
                <w:rStyle w:val="FontStyle12"/>
                <w:b w:val="false"/>
                <w:sz w:val="27"/>
                <w:szCs w:val="27"/>
                <w:highlight w:val="white"/>
                <w:lang w:val="uk-UA" w:eastAsia="uk-UA"/>
              </w:rPr>
              <w:t>1 092,0</w:t>
            </w:r>
          </w:p>
        </w:tc>
        <w:tc>
          <w:tcPr>
            <w:tcW w:w="1643" w:type="dxa"/>
            <w:tcBorders>
              <w:top w:val="single" w:sz="4" w:space="0" w:color="000000"/>
              <w:left w:val="single" w:sz="4" w:space="0" w:color="000000"/>
              <w:bottom w:val="single" w:sz="4" w:space="0" w:color="000000"/>
            </w:tcBorders>
            <w:shd w:color="auto" w:fill="auto" w:val="clear"/>
          </w:tcPr>
          <w:p>
            <w:pPr>
              <w:pStyle w:val="Style71"/>
              <w:jc w:val="right"/>
              <w:rPr/>
            </w:pPr>
            <w:r>
              <w:rPr>
                <w:rStyle w:val="FontStyle12"/>
                <w:b w:val="false"/>
                <w:sz w:val="27"/>
                <w:szCs w:val="27"/>
                <w:highlight w:val="white"/>
                <w:lang w:val="uk-UA" w:eastAsia="uk-UA"/>
              </w:rPr>
              <w:t>1 101,0</w:t>
            </w:r>
          </w:p>
        </w:tc>
        <w:tc>
          <w:tcPr>
            <w:tcW w:w="1582" w:type="dxa"/>
            <w:tcBorders>
              <w:top w:val="single" w:sz="4" w:space="0" w:color="000000"/>
              <w:left w:val="single" w:sz="4" w:space="0" w:color="000000"/>
              <w:bottom w:val="single" w:sz="4" w:space="0" w:color="000000"/>
              <w:right w:val="single" w:sz="4" w:space="0" w:color="000000"/>
            </w:tcBorders>
            <w:shd w:color="auto" w:fill="auto" w:val="clear"/>
          </w:tcPr>
          <w:p>
            <w:pPr>
              <w:pStyle w:val="Style71"/>
              <w:jc w:val="right"/>
              <w:rPr/>
            </w:pPr>
            <w:r>
              <w:rPr>
                <w:rStyle w:val="FontStyle12"/>
                <w:b w:val="false"/>
                <w:sz w:val="27"/>
                <w:szCs w:val="27"/>
                <w:highlight w:val="white"/>
                <w:lang w:val="uk-UA" w:eastAsia="uk-UA"/>
              </w:rPr>
              <w:t>-9</w:t>
            </w:r>
          </w:p>
        </w:tc>
      </w:tr>
      <w:tr>
        <w:trPr/>
        <w:tc>
          <w:tcPr>
            <w:tcW w:w="4590" w:type="dxa"/>
            <w:tcBorders>
              <w:top w:val="single" w:sz="4" w:space="0" w:color="000000"/>
              <w:left w:val="single" w:sz="4" w:space="0" w:color="000000"/>
              <w:bottom w:val="single" w:sz="4" w:space="0" w:color="000000"/>
            </w:tcBorders>
            <w:shd w:color="auto" w:fill="auto" w:val="clear"/>
          </w:tcPr>
          <w:p>
            <w:pPr>
              <w:pStyle w:val="Style31"/>
              <w:jc w:val="both"/>
              <w:rPr/>
            </w:pPr>
            <w:r>
              <w:rPr>
                <w:sz w:val="27"/>
                <w:szCs w:val="27"/>
                <w:lang w:val="uk-UA"/>
              </w:rPr>
              <w:t>-</w:t>
            </w:r>
            <w:r>
              <w:rPr>
                <w:sz w:val="27"/>
                <w:szCs w:val="27"/>
              </w:rPr>
              <w:t> </w:t>
            </w:r>
            <w:r>
              <w:rPr>
                <w:rStyle w:val="FontStyle11"/>
                <w:sz w:val="27"/>
                <w:szCs w:val="27"/>
                <w:lang w:val="uk-UA" w:eastAsia="uk-UA"/>
              </w:rPr>
              <w:t xml:space="preserve">амортизація </w:t>
            </w:r>
          </w:p>
        </w:tc>
        <w:tc>
          <w:tcPr>
            <w:tcW w:w="2047" w:type="dxa"/>
            <w:tcBorders>
              <w:top w:val="single" w:sz="4" w:space="0" w:color="000000"/>
              <w:left w:val="single" w:sz="4" w:space="0" w:color="000000"/>
              <w:bottom w:val="single" w:sz="4" w:space="0" w:color="000000"/>
            </w:tcBorders>
            <w:shd w:color="auto" w:fill="auto" w:val="clear"/>
          </w:tcPr>
          <w:p>
            <w:pPr>
              <w:pStyle w:val="Style61"/>
              <w:spacing w:lineRule="auto" w:line="240"/>
              <w:ind w:hanging="0"/>
              <w:jc w:val="right"/>
              <w:rPr/>
            </w:pPr>
            <w:r>
              <w:rPr>
                <w:rStyle w:val="FontStyle11"/>
                <w:sz w:val="27"/>
                <w:szCs w:val="27"/>
                <w:highlight w:val="white"/>
                <w:lang w:val="uk-UA" w:eastAsia="uk-UA"/>
              </w:rPr>
              <w:t>2 799,0</w:t>
            </w:r>
          </w:p>
        </w:tc>
        <w:tc>
          <w:tcPr>
            <w:tcW w:w="1643" w:type="dxa"/>
            <w:tcBorders>
              <w:top w:val="single" w:sz="4" w:space="0" w:color="000000"/>
              <w:left w:val="single" w:sz="4" w:space="0" w:color="000000"/>
              <w:bottom w:val="single" w:sz="4" w:space="0" w:color="000000"/>
            </w:tcBorders>
            <w:shd w:color="auto" w:fill="auto" w:val="clear"/>
          </w:tcPr>
          <w:p>
            <w:pPr>
              <w:pStyle w:val="Style61"/>
              <w:spacing w:lineRule="auto" w:line="240"/>
              <w:ind w:hanging="0"/>
              <w:jc w:val="right"/>
              <w:rPr/>
            </w:pPr>
            <w:r>
              <w:rPr>
                <w:rStyle w:val="FontStyle11"/>
                <w:sz w:val="27"/>
                <w:szCs w:val="27"/>
                <w:highlight w:val="white"/>
                <w:lang w:val="uk-UA" w:eastAsia="uk-UA"/>
              </w:rPr>
              <w:t>2 071,0</w:t>
            </w:r>
          </w:p>
        </w:tc>
        <w:tc>
          <w:tcPr>
            <w:tcW w:w="1582" w:type="dxa"/>
            <w:tcBorders>
              <w:top w:val="single" w:sz="4" w:space="0" w:color="000000"/>
              <w:left w:val="single" w:sz="4" w:space="0" w:color="000000"/>
              <w:bottom w:val="single" w:sz="4" w:space="0" w:color="000000"/>
              <w:right w:val="single" w:sz="4" w:space="0" w:color="000000"/>
            </w:tcBorders>
            <w:shd w:color="auto" w:fill="auto" w:val="clear"/>
          </w:tcPr>
          <w:p>
            <w:pPr>
              <w:pStyle w:val="Style61"/>
              <w:spacing w:lineRule="auto" w:line="240"/>
              <w:ind w:hanging="0"/>
              <w:jc w:val="right"/>
              <w:rPr/>
            </w:pPr>
            <w:r>
              <w:rPr>
                <w:rStyle w:val="FontStyle11"/>
                <w:sz w:val="27"/>
                <w:szCs w:val="27"/>
                <w:highlight w:val="white"/>
                <w:lang w:val="uk-UA" w:eastAsia="uk-UA"/>
              </w:rPr>
              <w:t>+728</w:t>
            </w:r>
          </w:p>
        </w:tc>
      </w:tr>
      <w:tr>
        <w:trPr/>
        <w:tc>
          <w:tcPr>
            <w:tcW w:w="4590" w:type="dxa"/>
            <w:tcBorders>
              <w:top w:val="single" w:sz="4" w:space="0" w:color="000000"/>
              <w:left w:val="single" w:sz="4" w:space="0" w:color="000000"/>
              <w:bottom w:val="single" w:sz="4" w:space="0" w:color="000000"/>
            </w:tcBorders>
            <w:shd w:color="auto" w:fill="auto" w:val="clear"/>
          </w:tcPr>
          <w:p>
            <w:pPr>
              <w:pStyle w:val="Style41"/>
              <w:spacing w:lineRule="auto" w:line="240"/>
              <w:rPr/>
            </w:pPr>
            <w:r>
              <w:rPr>
                <w:sz w:val="27"/>
                <w:szCs w:val="27"/>
                <w:lang w:val="uk-UA"/>
              </w:rPr>
              <w:t>-</w:t>
            </w:r>
            <w:r>
              <w:rPr>
                <w:sz w:val="27"/>
                <w:szCs w:val="27"/>
              </w:rPr>
              <w:t> </w:t>
            </w:r>
            <w:r>
              <w:rPr>
                <w:rStyle w:val="FontStyle11"/>
                <w:sz w:val="27"/>
                <w:szCs w:val="27"/>
                <w:lang w:val="uk-UA" w:eastAsia="uk-UA"/>
              </w:rPr>
              <w:t>інші операційні витра</w:t>
            </w:r>
            <w:r>
              <w:rPr>
                <w:rStyle w:val="FontStyle12"/>
                <w:b w:val="false"/>
                <w:sz w:val="27"/>
                <w:szCs w:val="27"/>
                <w:lang w:val="uk-UA" w:eastAsia="uk-UA"/>
              </w:rPr>
              <w:t>ти</w:t>
            </w:r>
          </w:p>
        </w:tc>
        <w:tc>
          <w:tcPr>
            <w:tcW w:w="2047" w:type="dxa"/>
            <w:tcBorders>
              <w:top w:val="single" w:sz="4" w:space="0" w:color="000000"/>
              <w:left w:val="single" w:sz="4" w:space="0" w:color="000000"/>
              <w:bottom w:val="single" w:sz="4" w:space="0" w:color="000000"/>
            </w:tcBorders>
            <w:shd w:color="auto" w:fill="auto" w:val="clear"/>
          </w:tcPr>
          <w:p>
            <w:pPr>
              <w:pStyle w:val="Style71"/>
              <w:jc w:val="right"/>
              <w:rPr/>
            </w:pPr>
            <w:r>
              <w:rPr>
                <w:rStyle w:val="FontStyle12"/>
                <w:b w:val="false"/>
                <w:sz w:val="27"/>
                <w:szCs w:val="27"/>
                <w:highlight w:val="white"/>
                <w:lang w:val="uk-UA" w:eastAsia="uk-UA"/>
              </w:rPr>
              <w:t>10 274,0</w:t>
            </w:r>
          </w:p>
        </w:tc>
        <w:tc>
          <w:tcPr>
            <w:tcW w:w="1643" w:type="dxa"/>
            <w:tcBorders>
              <w:top w:val="single" w:sz="4" w:space="0" w:color="000000"/>
              <w:left w:val="single" w:sz="4" w:space="0" w:color="000000"/>
              <w:bottom w:val="single" w:sz="4" w:space="0" w:color="000000"/>
            </w:tcBorders>
            <w:shd w:color="auto" w:fill="auto" w:val="clear"/>
          </w:tcPr>
          <w:p>
            <w:pPr>
              <w:pStyle w:val="Style71"/>
              <w:jc w:val="right"/>
              <w:rPr/>
            </w:pPr>
            <w:r>
              <w:rPr>
                <w:rStyle w:val="FontStyle12"/>
                <w:b w:val="false"/>
                <w:sz w:val="27"/>
                <w:szCs w:val="27"/>
                <w:highlight w:val="white"/>
                <w:lang w:val="uk-UA" w:eastAsia="uk-UA"/>
              </w:rPr>
              <w:t>585,0</w:t>
            </w:r>
          </w:p>
        </w:tc>
        <w:tc>
          <w:tcPr>
            <w:tcW w:w="1582" w:type="dxa"/>
            <w:tcBorders>
              <w:top w:val="single" w:sz="4" w:space="0" w:color="000000"/>
              <w:left w:val="single" w:sz="4" w:space="0" w:color="000000"/>
              <w:bottom w:val="single" w:sz="4" w:space="0" w:color="000000"/>
              <w:right w:val="single" w:sz="4" w:space="0" w:color="000000"/>
            </w:tcBorders>
            <w:shd w:color="auto" w:fill="auto" w:val="clear"/>
          </w:tcPr>
          <w:p>
            <w:pPr>
              <w:pStyle w:val="Style71"/>
              <w:jc w:val="right"/>
              <w:rPr/>
            </w:pPr>
            <w:r>
              <w:rPr>
                <w:rStyle w:val="FontStyle12"/>
                <w:b w:val="false"/>
                <w:sz w:val="27"/>
                <w:szCs w:val="27"/>
                <w:highlight w:val="white"/>
                <w:lang w:val="uk-UA" w:eastAsia="uk-UA"/>
              </w:rPr>
              <w:t>+9 689</w:t>
            </w:r>
          </w:p>
        </w:tc>
      </w:tr>
      <w:tr>
        <w:trPr/>
        <w:tc>
          <w:tcPr>
            <w:tcW w:w="4590" w:type="dxa"/>
            <w:tcBorders>
              <w:top w:val="single" w:sz="4" w:space="0" w:color="000000"/>
              <w:left w:val="single" w:sz="4" w:space="0" w:color="000000"/>
              <w:bottom w:val="single" w:sz="4" w:space="0" w:color="000000"/>
            </w:tcBorders>
            <w:shd w:color="auto" w:fill="auto" w:val="clear"/>
          </w:tcPr>
          <w:p>
            <w:pPr>
              <w:pStyle w:val="Style51"/>
              <w:rPr/>
            </w:pPr>
            <w:r>
              <w:rPr>
                <w:rStyle w:val="FontStyle11"/>
                <w:b/>
                <w:sz w:val="27"/>
                <w:szCs w:val="27"/>
                <w:lang w:val="uk-UA" w:eastAsia="uk-UA"/>
              </w:rPr>
              <w:t xml:space="preserve">Фінансовий результат </w:t>
            </w:r>
            <w:r>
              <w:rPr>
                <w:rStyle w:val="FontStyle11"/>
                <w:sz w:val="27"/>
                <w:szCs w:val="27"/>
                <w:lang w:val="uk-UA" w:eastAsia="uk-UA"/>
              </w:rPr>
              <w:t>(+;</w:t>
            </w:r>
            <w:r>
              <w:rPr>
                <w:sz w:val="27"/>
                <w:szCs w:val="27"/>
              </w:rPr>
              <w:t>–</w:t>
            </w:r>
            <w:r>
              <w:rPr>
                <w:rStyle w:val="FontStyle11"/>
                <w:sz w:val="27"/>
                <w:szCs w:val="27"/>
                <w:lang w:val="uk-UA" w:eastAsia="uk-UA"/>
              </w:rPr>
              <w:t>)</w:t>
            </w:r>
          </w:p>
        </w:tc>
        <w:tc>
          <w:tcPr>
            <w:tcW w:w="2047" w:type="dxa"/>
            <w:tcBorders>
              <w:top w:val="single" w:sz="4" w:space="0" w:color="000000"/>
              <w:left w:val="single" w:sz="4" w:space="0" w:color="000000"/>
              <w:bottom w:val="single" w:sz="4" w:space="0" w:color="000000"/>
            </w:tcBorders>
            <w:shd w:color="auto" w:fill="auto" w:val="clear"/>
          </w:tcPr>
          <w:p>
            <w:pPr>
              <w:pStyle w:val="Style51"/>
              <w:jc w:val="right"/>
              <w:rPr>
                <w:sz w:val="27"/>
                <w:szCs w:val="27"/>
                <w:lang w:val="uk-UA"/>
              </w:rPr>
            </w:pPr>
            <w:r>
              <w:rPr>
                <w:sz w:val="27"/>
                <w:szCs w:val="27"/>
                <w:lang w:val="uk-UA"/>
              </w:rPr>
              <w:t>+ 5</w:t>
            </w:r>
          </w:p>
        </w:tc>
        <w:tc>
          <w:tcPr>
            <w:tcW w:w="1643" w:type="dxa"/>
            <w:tcBorders>
              <w:top w:val="single" w:sz="4" w:space="0" w:color="000000"/>
              <w:left w:val="single" w:sz="4" w:space="0" w:color="000000"/>
              <w:bottom w:val="single" w:sz="4" w:space="0" w:color="000000"/>
            </w:tcBorders>
            <w:shd w:color="auto" w:fill="auto" w:val="clear"/>
          </w:tcPr>
          <w:p>
            <w:pPr>
              <w:pStyle w:val="Style51"/>
              <w:jc w:val="right"/>
              <w:rPr>
                <w:sz w:val="27"/>
                <w:szCs w:val="27"/>
                <w:lang w:val="uk-UA"/>
              </w:rPr>
            </w:pPr>
            <w:r>
              <w:rPr>
                <w:sz w:val="27"/>
                <w:szCs w:val="27"/>
                <w:lang w:val="uk-UA"/>
              </w:rPr>
              <w:t>+18</w:t>
            </w:r>
          </w:p>
        </w:tc>
        <w:tc>
          <w:tcPr>
            <w:tcW w:w="1582" w:type="dxa"/>
            <w:tcBorders>
              <w:top w:val="single" w:sz="4" w:space="0" w:color="000000"/>
              <w:left w:val="single" w:sz="4" w:space="0" w:color="000000"/>
              <w:bottom w:val="single" w:sz="4" w:space="0" w:color="000000"/>
              <w:right w:val="single" w:sz="4" w:space="0" w:color="000000"/>
            </w:tcBorders>
            <w:shd w:color="auto" w:fill="auto" w:val="clear"/>
          </w:tcPr>
          <w:p>
            <w:pPr>
              <w:pStyle w:val="Style51"/>
              <w:jc w:val="right"/>
              <w:rPr>
                <w:sz w:val="27"/>
                <w:szCs w:val="27"/>
                <w:lang w:val="uk-UA"/>
              </w:rPr>
            </w:pPr>
            <w:r>
              <w:rPr>
                <w:sz w:val="27"/>
                <w:szCs w:val="27"/>
                <w:lang w:val="uk-UA"/>
              </w:rPr>
              <w:t>-13</w:t>
            </w:r>
          </w:p>
        </w:tc>
      </w:tr>
    </w:tbl>
    <w:p>
      <w:pPr>
        <w:pStyle w:val="Style22"/>
        <w:spacing w:lineRule="auto" w:line="240"/>
        <w:ind w:firstLine="567"/>
        <w:jc w:val="both"/>
        <w:rPr>
          <w:sz w:val="28"/>
          <w:szCs w:val="28"/>
          <w:lang w:val="uk-UA" w:eastAsia="uk-UA"/>
        </w:rPr>
      </w:pPr>
      <w:r>
        <w:rPr>
          <w:sz w:val="28"/>
          <w:szCs w:val="28"/>
          <w:lang w:val="uk-UA" w:eastAsia="uk-UA"/>
        </w:rPr>
      </w:r>
    </w:p>
    <w:p>
      <w:pPr>
        <w:pStyle w:val="Style22"/>
        <w:spacing w:lineRule="auto" w:line="240"/>
        <w:ind w:firstLine="567"/>
        <w:jc w:val="both"/>
        <w:rPr/>
      </w:pPr>
      <w:r>
        <w:rPr>
          <w:sz w:val="28"/>
          <w:szCs w:val="28"/>
          <w:lang w:val="uk-UA" w:eastAsia="uk-UA"/>
        </w:rPr>
        <w:t>Для реалізації основної мети діяльності підприємство має необхідну виробничу базу, а саме:</w:t>
      </w:r>
    </w:p>
    <w:p>
      <w:pPr>
        <w:pStyle w:val="Style22"/>
        <w:spacing w:lineRule="auto" w:line="240"/>
        <w:ind w:firstLine="696"/>
        <w:jc w:val="both"/>
        <w:rPr>
          <w:lang w:val="uk-UA"/>
        </w:rPr>
      </w:pPr>
      <w:r>
        <w:rPr>
          <w:sz w:val="28"/>
          <w:szCs w:val="28"/>
          <w:lang w:val="uk-UA" w:eastAsia="uk-UA"/>
        </w:rPr>
        <w:t>- </w:t>
      </w:r>
      <w:r>
        <w:rPr>
          <w:sz w:val="28"/>
          <w:szCs w:val="28"/>
          <w:lang w:val="uk-UA"/>
        </w:rPr>
        <w:t>11 одиниць автовишок та іншої спеціальної техніки, що дають можливість виконувати необхідні роботи: спецавтовишка ТВГ-15м ГАЗ-5201, 1983 року випуску, спецавтовишка ТВГ-15м ГАЗ-5204, 1988 року випуску, спецавтовишка ТВГ - 15м ГАЗ-5314, 1987 року випуску, спецавтовишка ТВГ - 15м ГАЗ-5204, 1991 року випуску, спецавтовишка АП - 17А ГАЗ - 5312, 1992 року випуску, автопідіймач АП - 1810 ГАЗ - 3309, 2007 року випуску, автопідіймач АП - 1810 ГАЗ -3309, 2008 року випуску, автокран КС - 2561Д ЗІЛ - 431412 ,1992 року випуску, бурова машина БМ - 250 ТР43-82 - 1984 року випуску, бортова машина ГАЗ 307 - 1992 року випуску, спецфургон ОМГК - 452 УАЗ - 3741, 1986 року випуску.</w:t>
      </w:r>
    </w:p>
    <w:p>
      <w:pPr>
        <w:pStyle w:val="Style22"/>
        <w:spacing w:lineRule="auto" w:line="240"/>
        <w:ind w:firstLine="696"/>
        <w:jc w:val="both"/>
        <w:rPr/>
      </w:pPr>
      <w:r>
        <w:rPr>
          <w:sz w:val="28"/>
          <w:szCs w:val="28"/>
          <w:lang w:val="uk-UA"/>
        </w:rPr>
        <w:t>Застаріла транспортна база підприємства постійно потребує значних капіталовкладень для підтримання автомобілів у справному стані. Більшість автовишок відпрацювали</w:t>
      </w:r>
      <w:r>
        <w:rPr>
          <w:color w:val="000000"/>
          <w:sz w:val="28"/>
          <w:szCs w:val="28"/>
          <w:lang w:val="uk-UA"/>
        </w:rPr>
        <w:t xml:space="preserve"> свій термін служби і вимагають додаткових затрат на їх утримання. Згідно з правилами Державної служби України з питань праці максимальний термін дії використання вищезазначеної техніки становить 10 років. </w:t>
      </w:r>
    </w:p>
    <w:p>
      <w:pPr>
        <w:pStyle w:val="Style22"/>
        <w:spacing w:lineRule="auto" w:line="240"/>
        <w:ind w:firstLine="696"/>
        <w:jc w:val="both"/>
        <w:rPr/>
      </w:pPr>
      <w:r>
        <w:rPr>
          <w:sz w:val="28"/>
          <w:szCs w:val="28"/>
          <w:lang w:val="uk-UA"/>
        </w:rPr>
        <w:t>Протягом звітного періоду якісного поліпшення спеціальної автотранспортної техніки не відбулося, що передбачено Програмою утримання та ремонту мереж зовнішнього освітлення та світлофорних об’єктів Луцької міської територіальної громади на 2021 - 2023 роки, тому ця необхідність переходить на наступні періоди.</w:t>
      </w:r>
      <w:r>
        <w:rPr>
          <w:sz w:val="28"/>
          <w:szCs w:val="28"/>
          <w:lang w:val="uk-UA" w:eastAsia="uk-UA"/>
        </w:rPr>
        <w:t xml:space="preserve"> Придбання автопідйомника для оперативно-диспетчерської бригади дозволить працівникам більш якісно та швидко реагувати на несправності в мережі зовнішнього освітлення та світлофорних об’єктів.</w:t>
      </w:r>
    </w:p>
    <w:p>
      <w:pPr>
        <w:pStyle w:val="Style22"/>
        <w:spacing w:lineRule="auto" w:line="240"/>
        <w:ind w:firstLine="680"/>
        <w:jc w:val="both"/>
        <w:rPr>
          <w:sz w:val="28"/>
          <w:szCs w:val="28"/>
        </w:rPr>
      </w:pPr>
      <w:r>
        <w:rPr>
          <w:sz w:val="28"/>
          <w:szCs w:val="28"/>
          <w:lang w:val="uk-UA" w:eastAsia="uk-UA"/>
        </w:rPr>
        <w:t>З утворенням Луцької міської територіальної громади збільшилась територія</w:t>
      </w:r>
      <w:r>
        <w:rPr>
          <w:color w:val="FF0000"/>
          <w:sz w:val="28"/>
          <w:szCs w:val="28"/>
          <w:lang w:val="uk-UA" w:eastAsia="uk-UA"/>
        </w:rPr>
        <w:t xml:space="preserve"> </w:t>
      </w:r>
      <w:r>
        <w:rPr>
          <w:sz w:val="28"/>
          <w:szCs w:val="28"/>
          <w:lang w:val="uk-UA" w:eastAsia="uk-UA"/>
        </w:rPr>
        <w:t>обслуговування. Наявний спецтранспорт оперативно-диспетчерської бригади не дозволяє</w:t>
      </w:r>
      <w:r>
        <w:rPr>
          <w:sz w:val="28"/>
          <w:szCs w:val="28"/>
          <w:lang w:val="uk-UA"/>
        </w:rPr>
        <w:t xml:space="preserve"> </w:t>
      </w:r>
      <w:r>
        <w:rPr>
          <w:sz w:val="28"/>
          <w:szCs w:val="28"/>
          <w:lang w:val="uk-UA" w:eastAsia="uk-UA"/>
        </w:rPr>
        <w:t xml:space="preserve">забезпечити мобільність та оперативність доставки спецзасобу до об'єкта, а також проводити роботи на висоті, де утруднений доступ до об'єкта. </w:t>
      </w:r>
    </w:p>
    <w:p>
      <w:pPr>
        <w:pStyle w:val="Style22"/>
        <w:spacing w:lineRule="auto" w:line="240"/>
        <w:ind w:firstLine="696"/>
        <w:jc w:val="both"/>
        <w:rPr>
          <w:sz w:val="27"/>
          <w:szCs w:val="27"/>
          <w:lang w:val="uk-UA" w:eastAsia="uk-UA"/>
        </w:rPr>
      </w:pPr>
      <w:r>
        <w:rPr>
          <w:sz w:val="28"/>
          <w:szCs w:val="28"/>
          <w:lang w:val="uk-UA" w:eastAsia="uk-UA"/>
        </w:rPr>
        <w:t>Підприємством за 9 місяців 2021 року сплачено податків та зборів до державного та місцевого бюджетів та цільових фондів на суму 2 817,7 тис. грн, а саме:</w:t>
      </w:r>
    </w:p>
    <w:p>
      <w:pPr>
        <w:pStyle w:val="Style22"/>
        <w:spacing w:lineRule="auto" w:line="240"/>
        <w:ind w:firstLine="696"/>
        <w:jc w:val="both"/>
        <w:rPr>
          <w:sz w:val="27"/>
          <w:szCs w:val="27"/>
          <w:lang w:val="uk-UA" w:eastAsia="uk-UA"/>
        </w:rPr>
      </w:pPr>
      <w:r>
        <w:rPr>
          <w:sz w:val="28"/>
          <w:szCs w:val="28"/>
          <w:lang w:val="uk-UA" w:eastAsia="uk-UA"/>
        </w:rPr>
        <w:t>- податки та збори до державного та місцевого бюджетів –160,8 тис. грн;</w:t>
      </w:r>
    </w:p>
    <w:p>
      <w:pPr>
        <w:pStyle w:val="Style22"/>
        <w:spacing w:lineRule="auto" w:line="240"/>
        <w:ind w:firstLine="696"/>
        <w:jc w:val="both"/>
        <w:rPr>
          <w:sz w:val="27"/>
          <w:szCs w:val="27"/>
          <w:lang w:val="uk-UA" w:eastAsia="uk-UA"/>
        </w:rPr>
      </w:pPr>
      <w:r>
        <w:rPr>
          <w:sz w:val="28"/>
          <w:szCs w:val="28"/>
          <w:lang w:val="uk-UA" w:eastAsia="uk-UA"/>
        </w:rPr>
        <w:t>- податки та збори до цільових фондів – 2656,9 тис. грн.</w:t>
      </w:r>
    </w:p>
    <w:p>
      <w:pPr>
        <w:pStyle w:val="Style22"/>
        <w:spacing w:lineRule="auto" w:line="240"/>
        <w:ind w:firstLine="696"/>
        <w:jc w:val="both"/>
        <w:rPr>
          <w:sz w:val="28"/>
          <w:szCs w:val="28"/>
        </w:rPr>
      </w:pPr>
      <w:r>
        <w:rPr>
          <w:sz w:val="28"/>
          <w:szCs w:val="28"/>
          <w:lang w:val="uk-UA" w:eastAsia="uk-UA"/>
        </w:rPr>
        <w:t>Станом на 01.10.2021 дебіторська заборгованість на КП «Луцьксвітло» за товари, роботи і послуги становила 115,3 тис. грн, заборгованість є поточною.</w:t>
      </w:r>
    </w:p>
    <w:p>
      <w:pPr>
        <w:pStyle w:val="Style22"/>
        <w:spacing w:lineRule="auto" w:line="240"/>
        <w:ind w:firstLine="696"/>
        <w:jc w:val="both"/>
        <w:rPr>
          <w:sz w:val="27"/>
          <w:szCs w:val="27"/>
          <w:lang w:val="uk-UA" w:eastAsia="uk-UA"/>
        </w:rPr>
      </w:pPr>
      <w:r>
        <w:rPr>
          <w:sz w:val="28"/>
          <w:szCs w:val="28"/>
          <w:lang w:val="uk-UA" w:eastAsia="uk-UA"/>
        </w:rPr>
        <w:t>Кредиторська заборгованість за звітний період склала:</w:t>
      </w:r>
    </w:p>
    <w:p>
      <w:pPr>
        <w:pStyle w:val="Style22"/>
        <w:spacing w:lineRule="auto" w:line="240"/>
        <w:ind w:firstLine="696"/>
        <w:jc w:val="both"/>
        <w:rPr>
          <w:sz w:val="27"/>
          <w:szCs w:val="27"/>
          <w:lang w:val="uk-UA" w:eastAsia="uk-UA"/>
        </w:rPr>
      </w:pPr>
      <w:r>
        <w:rPr>
          <w:sz w:val="28"/>
          <w:szCs w:val="28"/>
          <w:lang w:val="uk-UA" w:eastAsia="uk-UA"/>
        </w:rPr>
        <w:t>- за товари, роботи, послуги – 934,4 тис. грн;</w:t>
      </w:r>
    </w:p>
    <w:p>
      <w:pPr>
        <w:pStyle w:val="Style22"/>
        <w:spacing w:lineRule="auto" w:line="240"/>
        <w:ind w:firstLine="696"/>
        <w:jc w:val="both"/>
        <w:rPr>
          <w:sz w:val="27"/>
          <w:szCs w:val="27"/>
          <w:lang w:val="uk-UA" w:eastAsia="uk-UA"/>
        </w:rPr>
      </w:pPr>
      <w:r>
        <w:rPr>
          <w:sz w:val="28"/>
          <w:szCs w:val="28"/>
          <w:lang w:val="uk-UA" w:eastAsia="uk-UA"/>
        </w:rPr>
        <w:t>- за розрахунками з бюджетом – 5,3 тис. грн;</w:t>
      </w:r>
    </w:p>
    <w:p>
      <w:pPr>
        <w:pStyle w:val="Style22"/>
        <w:spacing w:lineRule="auto" w:line="240"/>
        <w:ind w:firstLine="696"/>
        <w:jc w:val="both"/>
        <w:rPr>
          <w:sz w:val="27"/>
          <w:szCs w:val="27"/>
          <w:lang w:val="uk-UA" w:eastAsia="uk-UA"/>
        </w:rPr>
      </w:pPr>
      <w:r>
        <w:rPr>
          <w:sz w:val="28"/>
          <w:szCs w:val="28"/>
          <w:lang w:val="uk-UA" w:eastAsia="uk-UA"/>
        </w:rPr>
        <w:t>- з оплати праці – 203,8 тис. грн;</w:t>
      </w:r>
    </w:p>
    <w:p>
      <w:pPr>
        <w:pStyle w:val="Style22"/>
        <w:spacing w:lineRule="auto" w:line="240"/>
        <w:ind w:firstLine="696"/>
        <w:jc w:val="both"/>
        <w:rPr>
          <w:sz w:val="27"/>
          <w:szCs w:val="27"/>
          <w:lang w:val="uk-UA" w:eastAsia="uk-UA"/>
        </w:rPr>
      </w:pPr>
      <w:r>
        <w:rPr>
          <w:sz w:val="28"/>
          <w:szCs w:val="28"/>
          <w:lang w:val="uk-UA" w:eastAsia="uk-UA"/>
        </w:rPr>
        <w:t>- відрахуваннях до соціальних фондів – 363,8 тис. грн.</w:t>
      </w:r>
    </w:p>
    <w:p>
      <w:pPr>
        <w:pStyle w:val="Style22"/>
        <w:spacing w:lineRule="auto" w:line="240"/>
        <w:ind w:firstLine="696"/>
        <w:jc w:val="both"/>
        <w:rPr>
          <w:lang w:val="uk-UA"/>
        </w:rPr>
      </w:pPr>
      <w:r>
        <w:rPr>
          <w:sz w:val="28"/>
          <w:szCs w:val="28"/>
          <w:lang w:val="uk-UA" w:eastAsia="uk-UA"/>
        </w:rPr>
        <w:t>Вся кредиторська заборгованість на підприємстві станом на 01.10.2021 є поточною. Простроченої дебіторської та кредиторської заборгованостей на                   КП «Луцьксвітло» немає.</w:t>
      </w:r>
    </w:p>
    <w:p>
      <w:pPr>
        <w:pStyle w:val="15"/>
        <w:spacing w:lineRule="auto" w:line="240"/>
        <w:ind w:left="0" w:firstLine="720"/>
        <w:jc w:val="both"/>
        <w:rPr>
          <w:sz w:val="28"/>
          <w:szCs w:val="28"/>
          <w:lang w:val="uk-UA"/>
        </w:rPr>
      </w:pPr>
      <w:r>
        <w:rPr>
          <w:rFonts w:cs="Times New Roman" w:ascii="Times New Roman" w:hAnsi="Times New Roman"/>
          <w:sz w:val="28"/>
          <w:szCs w:val="28"/>
          <w:lang w:val="uk-UA"/>
        </w:rPr>
        <w:t>Спискова чисельність на 01.10.2021 складає 42 чол, з яких: ІТП –10 чол., лінійні працівники (майстри) – 2 чол., електромонтери – 12 чол., водії – 11 чол., оператори пульта керування  - 4 чол., допоміжні працівники –3 чол.</w:t>
      </w:r>
    </w:p>
    <w:p>
      <w:pPr>
        <w:pStyle w:val="15"/>
        <w:spacing w:lineRule="auto" w:line="240"/>
        <w:ind w:left="0" w:firstLine="720"/>
        <w:jc w:val="both"/>
        <w:rPr>
          <w:rFonts w:ascii="Times New Roman" w:hAnsi="Times New Roman" w:cs="Times New Roman"/>
          <w:sz w:val="27"/>
          <w:szCs w:val="27"/>
          <w:lang w:val="uk-UA"/>
        </w:rPr>
      </w:pPr>
      <w:r>
        <w:rPr>
          <w:rFonts w:cs="Times New Roman" w:ascii="Times New Roman" w:hAnsi="Times New Roman"/>
          <w:sz w:val="28"/>
          <w:szCs w:val="28"/>
          <w:lang w:val="uk-UA"/>
        </w:rPr>
        <w:t xml:space="preserve">Режим цілодобового чергування на підприємстві забезпечують 4 електромонтери, 4 водії та 4 оператори пульта керування. </w:t>
      </w:r>
    </w:p>
    <w:p>
      <w:pPr>
        <w:pStyle w:val="15"/>
        <w:spacing w:lineRule="auto" w:line="240"/>
        <w:ind w:left="0" w:firstLine="720"/>
        <w:jc w:val="both"/>
        <w:rPr>
          <w:sz w:val="28"/>
          <w:szCs w:val="28"/>
          <w:lang w:val="uk-UA"/>
        </w:rPr>
      </w:pPr>
      <w:r>
        <w:rPr>
          <w:rFonts w:cs="Times New Roman" w:ascii="Times New Roman" w:hAnsi="Times New Roman"/>
          <w:sz w:val="28"/>
          <w:szCs w:val="28"/>
          <w:lang w:val="uk-UA"/>
        </w:rPr>
        <w:t xml:space="preserve">Середньомісячна заробітна плата одного штатного працівника за 9 місяців 2021 року – 13 140,4 гривень. </w:t>
      </w:r>
    </w:p>
    <w:p>
      <w:pPr>
        <w:pStyle w:val="15"/>
        <w:spacing w:lineRule="auto" w:line="240"/>
        <w:ind w:left="0" w:firstLine="720"/>
        <w:jc w:val="both"/>
        <w:rPr>
          <w:sz w:val="28"/>
          <w:szCs w:val="28"/>
          <w:lang w:val="uk-UA"/>
        </w:rPr>
      </w:pPr>
      <w:r>
        <w:rPr>
          <w:rFonts w:cs="Times New Roman" w:ascii="Times New Roman" w:hAnsi="Times New Roman"/>
          <w:sz w:val="28"/>
          <w:szCs w:val="28"/>
          <w:lang w:val="uk-UA"/>
        </w:rPr>
        <w:t>Заборгованості з виплати заробітної плати, термін виплати якої минув, на підприємстві немає.</w:t>
      </w:r>
    </w:p>
    <w:p>
      <w:pPr>
        <w:pStyle w:val="Normal"/>
        <w:ind w:firstLine="567"/>
        <w:jc w:val="both"/>
        <w:rPr>
          <w:sz w:val="28"/>
          <w:szCs w:val="28"/>
        </w:rPr>
      </w:pPr>
      <w:r>
        <w:rPr>
          <w:b/>
          <w:bCs/>
          <w:sz w:val="28"/>
          <w:szCs w:val="28"/>
        </w:rPr>
        <w:t>Пропозиції для подальшої роботи підприємства.</w:t>
      </w:r>
    </w:p>
    <w:p>
      <w:pPr>
        <w:pStyle w:val="Normal"/>
        <w:ind w:firstLine="720"/>
        <w:jc w:val="both"/>
        <w:rPr/>
      </w:pPr>
      <w:r>
        <w:rPr>
          <w:sz w:val="28"/>
          <w:szCs w:val="28"/>
        </w:rPr>
        <w:t>- зменшення витрат на фонд заробітної плати шляхом оптимізації штатного персоналу підприємства, перерозподілу обов’язків, повноважень, та залучення вивільнених коштів на експлуатацію мереж.</w:t>
      </w:r>
    </w:p>
    <w:p>
      <w:pPr>
        <w:pStyle w:val="Normal"/>
        <w:ind w:firstLine="720"/>
        <w:jc w:val="both"/>
        <w:rPr/>
      </w:pPr>
      <w:r>
        <w:rPr>
          <w:sz w:val="28"/>
          <w:szCs w:val="28"/>
        </w:rPr>
        <w:t>- встановлення приладів дистанційного контролю за станом мережі освітлення. Збільшення шаф керування зовнішнім освітленням, обладнаних терміналами системи управління та контролю об’єктами міського освітлення СУГО, дасть змогу більш раціонально та ефективно розподілити навантаження та мінімізувати споживання електричної енергії системою зовнішнього освітлення в денний період часу.</w:t>
      </w:r>
    </w:p>
    <w:p>
      <w:pPr>
        <w:pStyle w:val="Normal"/>
        <w:ind w:firstLine="720"/>
        <w:jc w:val="both"/>
        <w:rPr/>
      </w:pPr>
      <w:r>
        <w:rPr>
          <w:sz w:val="28"/>
          <w:szCs w:val="28"/>
        </w:rPr>
        <w:t>- для забезпечення безперебійної та якісної роботи мереж зовнішнього освітлення та світлофорних об’єктів планується підвищення експлуатаційних якостей мереж вуличного освітлення, а саме: заміна неізольованого проводу на ізольований на повітряних лініях мереж зовнішнього освітлення, заміна ламп у світильниках, фарбування металевих опор та кронштейнів, ремонт шаф управління, заміна кабельних коробок, модернізація морально та фізично застарілого обладнання.</w:t>
      </w:r>
    </w:p>
    <w:p>
      <w:pPr>
        <w:pStyle w:val="Normal"/>
        <w:ind w:firstLine="720"/>
        <w:jc w:val="both"/>
        <w:rPr/>
      </w:pPr>
      <w:r>
        <w:rPr>
          <w:sz w:val="28"/>
          <w:szCs w:val="28"/>
        </w:rPr>
        <w:t>- будівництво нових об'єктів зовнішнього освітлення для забезпечення  максимального освітлення житлових районів, парків та інших територій міста.</w:t>
      </w:r>
    </w:p>
    <w:p>
      <w:pPr>
        <w:pStyle w:val="Normal"/>
        <w:ind w:firstLine="720"/>
        <w:jc w:val="both"/>
        <w:rPr/>
      </w:pPr>
      <w:r>
        <w:rPr>
          <w:sz w:val="28"/>
          <w:szCs w:val="28"/>
        </w:rPr>
        <w:t xml:space="preserve">- встановлення лічильників електричної енергії з передачею даних та під систему автоматизованого комерційного обліку електроенергії (АСКОЕ). Дистанційне зняття показників лічильників, контроль за роботою обладнання, що сприятиме економії коштів на паливно-мастильні матеріали та затрат часу на огляди обладнання. Включення лічильників електроенергії в систему АСКОЕ сприятиме економії витрат за спожиту електричну енергію для зовнішнього освітлення. </w:t>
      </w:r>
    </w:p>
    <w:p>
      <w:pPr>
        <w:pStyle w:val="Normal"/>
        <w:ind w:firstLine="720"/>
        <w:jc w:val="both"/>
        <w:rPr>
          <w:color w:val="000000"/>
          <w:sz w:val="28"/>
          <w:szCs w:val="28"/>
        </w:rPr>
      </w:pPr>
      <w:r>
        <w:rPr>
          <w:color w:val="000000"/>
          <w:sz w:val="28"/>
          <w:szCs w:val="28"/>
        </w:rPr>
        <w:t>- відмова від користування земельною ділянкою на вул.</w:t>
      </w:r>
      <w:bookmarkStart w:id="3" w:name="_GoBack"/>
      <w:bookmarkEnd w:id="3"/>
      <w:r>
        <w:rPr>
          <w:color w:val="000000"/>
          <w:sz w:val="28"/>
          <w:szCs w:val="28"/>
        </w:rPr>
        <w:t xml:space="preserve"> Франка,14 А для зберігання опор, для зменшення витрат підприємства на податки.</w:t>
      </w:r>
    </w:p>
    <w:p>
      <w:pPr>
        <w:pStyle w:val="Normal"/>
        <w:jc w:val="both"/>
        <w:rPr>
          <w:b/>
          <w:b/>
          <w:bCs/>
          <w:color w:val="FF4000"/>
          <w:sz w:val="28"/>
          <w:szCs w:val="28"/>
        </w:rPr>
      </w:pPr>
      <w:r>
        <w:rPr>
          <w:b/>
          <w:bCs/>
          <w:color w:val="FF4000"/>
          <w:sz w:val="28"/>
          <w:szCs w:val="28"/>
        </w:rPr>
      </w:r>
    </w:p>
    <w:p>
      <w:pPr>
        <w:pStyle w:val="Normal"/>
        <w:jc w:val="both"/>
        <w:rPr>
          <w:b/>
          <w:b/>
          <w:bCs/>
          <w:color w:val="FF4000"/>
          <w:sz w:val="28"/>
          <w:szCs w:val="28"/>
        </w:rPr>
      </w:pPr>
      <w:r>
        <w:rPr>
          <w:b/>
          <w:bCs/>
          <w:color w:val="FF4000"/>
          <w:sz w:val="28"/>
          <w:szCs w:val="28"/>
        </w:rPr>
      </w:r>
    </w:p>
    <w:p>
      <w:pPr>
        <w:pStyle w:val="Normal"/>
        <w:jc w:val="both"/>
        <w:rPr>
          <w:b/>
          <w:b/>
          <w:bCs/>
          <w:color w:val="FF4000"/>
          <w:sz w:val="28"/>
          <w:szCs w:val="28"/>
        </w:rPr>
      </w:pPr>
      <w:r>
        <w:rPr>
          <w:b/>
          <w:bCs/>
          <w:color w:val="FF4000"/>
          <w:sz w:val="28"/>
          <w:szCs w:val="28"/>
        </w:rPr>
      </w:r>
    </w:p>
    <w:p>
      <w:pPr>
        <w:pStyle w:val="15"/>
        <w:spacing w:lineRule="auto" w:line="240"/>
        <w:ind w:left="0" w:hanging="0"/>
        <w:jc w:val="both"/>
        <w:rPr>
          <w:sz w:val="28"/>
          <w:szCs w:val="28"/>
        </w:rPr>
      </w:pPr>
      <w:r>
        <w:rPr>
          <w:rFonts w:cs="Times New Roman" w:ascii="Times New Roman" w:hAnsi="Times New Roman"/>
          <w:sz w:val="28"/>
          <w:szCs w:val="28"/>
        </w:rPr>
        <w:t xml:space="preserve">Директор КП «Луцьке електротехнічне </w:t>
      </w:r>
    </w:p>
    <w:p>
      <w:pPr>
        <w:pStyle w:val="15"/>
        <w:spacing w:lineRule="auto" w:line="240" w:before="0" w:after="200"/>
        <w:ind w:left="0" w:hanging="0"/>
        <w:contextualSpacing/>
        <w:jc w:val="both"/>
        <w:rPr/>
      </w:pPr>
      <w:r>
        <w:rPr>
          <w:rFonts w:cs="Times New Roman" w:ascii="Times New Roman" w:hAnsi="Times New Roman"/>
          <w:sz w:val="28"/>
          <w:szCs w:val="28"/>
        </w:rPr>
        <w:t>підприємство - Луцьксвітло</w:t>
      </w:r>
      <w:r>
        <w:rPr>
          <w:rFonts w:cs="Times New Roman" w:ascii="Times New Roman" w:hAnsi="Times New Roman"/>
          <w:sz w:val="28"/>
          <w:szCs w:val="28"/>
          <w:lang w:val="uk-UA" w:eastAsia="uk-UA"/>
        </w:rPr>
        <w:t>»                                                     Валерій МАЗІН</w:t>
      </w:r>
    </w:p>
    <w:sectPr>
      <w:headerReference w:type="default" r:id="rId2"/>
      <w:type w:val="nextPage"/>
      <w:pgSz w:w="11906" w:h="16838"/>
      <w:pgMar w:left="1985" w:right="567" w:header="709" w:top="766" w:footer="0" w:bottom="1134"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erif">
    <w:altName w:val="Times New Roman"/>
    <w:charset w:val="cc"/>
    <w:family w:val="swiss"/>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Liberation Sans">
    <w:altName w:val="Arial"/>
    <w:charset w:val="cc"/>
    <w:family w:val="roman"/>
    <w:pitch w:val="variable"/>
  </w:font>
  <w:font w:name="Verdana">
    <w:charset w:val="cc"/>
    <w:family w:val="roman"/>
    <w:pitch w:val="variable"/>
  </w:font>
  <w:font w:name="Calibri">
    <w:charset w:val="cc"/>
    <w:family w:val="roman"/>
    <w:pitch w:val="variable"/>
  </w:font>
  <w:font w:name="Tahoma">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283447518"/>
    </w:sdtPr>
    <w:sdtContent>
      <w:p>
        <w:pPr>
          <w:pStyle w:val="Style25"/>
          <w:jc w:val="center"/>
          <w:rPr/>
        </w:pPr>
        <w:r>
          <w:rPr>
            <w:sz w:val="28"/>
            <w:szCs w:val="28"/>
          </w:rPr>
          <w:fldChar w:fldCharType="begin"/>
        </w:r>
        <w:r>
          <w:rPr>
            <w:sz w:val="28"/>
            <w:szCs w:val="28"/>
          </w:rPr>
          <w:instrText> PAGE </w:instrText>
        </w:r>
        <w:r>
          <w:rPr>
            <w:sz w:val="28"/>
            <w:szCs w:val="28"/>
          </w:rPr>
          <w:fldChar w:fldCharType="separate"/>
        </w:r>
        <w:r>
          <w:rPr>
            <w:sz w:val="28"/>
            <w:szCs w:val="28"/>
          </w:rPr>
          <w:t>6</w:t>
        </w:r>
        <w:r>
          <w:rPr>
            <w:sz w:val="28"/>
            <w:szCs w:val="28"/>
          </w:rPr>
          <w:fldChar w:fldCharType="end"/>
        </w:r>
      </w:p>
    </w:sdtContent>
  </w:sdt>
  <w:p>
    <w:pPr>
      <w:pStyle w:val="Style25"/>
      <w:rPr/>
    </w:pPr>
    <w:r>
      <w:rPr/>
    </w:r>
  </w:p>
</w:hdr>
</file>

<file path=word/settings.xml><?xml version="1.0" encoding="utf-8"?>
<w:settings xmlns:w="http://schemas.openxmlformats.org/wordprocessingml/2006/main">
  <w:zoom w:percent="100"/>
  <w:defaultTabStop w:val="709"/>
  <w:autoHyphenation w:val="fals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uk-UA" w:eastAsia="zh-CN" w:bidi="hi-IN"/>
      </w:rPr>
    </w:rPrDefault>
    <w:pPrDefault>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a518c"/>
    <w:pPr>
      <w:widowControl/>
      <w:suppressAutoHyphens w:val="true"/>
      <w:overflowPunct w:val="false"/>
      <w:bidi w:val="0"/>
      <w:jc w:val="left"/>
    </w:pPr>
    <w:rPr>
      <w:rFonts w:ascii="Times New Roman" w:hAnsi="Times New Roman" w:eastAsia="NSimSun" w:cs="Times New Roman"/>
      <w:color w:val="auto"/>
      <w:kern w:val="0"/>
      <w:sz w:val="24"/>
      <w:szCs w:val="24"/>
      <w:lang w:val="uk-UA" w:eastAsia="zh-CN" w:bidi="ar-SA"/>
    </w:rPr>
  </w:style>
  <w:style w:type="paragraph" w:styleId="1">
    <w:name w:val="Heading 1"/>
    <w:basedOn w:val="Style17"/>
    <w:next w:val="Style18"/>
    <w:qFormat/>
    <w:pPr>
      <w:outlineLvl w:val="0"/>
    </w:pPr>
    <w:rPr>
      <w:rFonts w:ascii="Liberation Serif" w:hAnsi="Liberation Serif" w:eastAsia="NSimSun"/>
      <w:b/>
      <w:bCs/>
      <w:sz w:val="48"/>
      <w:szCs w:val="48"/>
    </w:rPr>
  </w:style>
  <w:style w:type="character" w:styleId="DefaultParagraphFont" w:default="1">
    <w:name w:val="Default Paragraph Font"/>
    <w:uiPriority w:val="1"/>
    <w:semiHidden/>
    <w:unhideWhenUsed/>
    <w:qFormat/>
    <w:rPr/>
  </w:style>
  <w:style w:type="character" w:styleId="WW8Num1z0" w:customStyle="1">
    <w:name w:val="WW8Num1z0"/>
    <w:uiPriority w:val="99"/>
    <w:qFormat/>
    <w:rsid w:val="006a518c"/>
    <w:rPr>
      <w:rFonts w:ascii="Times New Roman" w:hAnsi="Times New Roman"/>
      <w:sz w:val="28"/>
    </w:rPr>
  </w:style>
  <w:style w:type="character" w:styleId="WW8Num2z0" w:customStyle="1">
    <w:name w:val="WW8Num2z0"/>
    <w:uiPriority w:val="99"/>
    <w:qFormat/>
    <w:rsid w:val="006a518c"/>
    <w:rPr/>
  </w:style>
  <w:style w:type="character" w:styleId="WW8Num2z1" w:customStyle="1">
    <w:name w:val="WW8Num2z1"/>
    <w:uiPriority w:val="99"/>
    <w:qFormat/>
    <w:rsid w:val="006a518c"/>
    <w:rPr/>
  </w:style>
  <w:style w:type="character" w:styleId="WW8Num2z2" w:customStyle="1">
    <w:name w:val="WW8Num2z2"/>
    <w:uiPriority w:val="99"/>
    <w:qFormat/>
    <w:rsid w:val="006a518c"/>
    <w:rPr/>
  </w:style>
  <w:style w:type="character" w:styleId="WW8Num2z3" w:customStyle="1">
    <w:name w:val="WW8Num2z3"/>
    <w:uiPriority w:val="99"/>
    <w:qFormat/>
    <w:rsid w:val="006a518c"/>
    <w:rPr/>
  </w:style>
  <w:style w:type="character" w:styleId="WW8Num2z4" w:customStyle="1">
    <w:name w:val="WW8Num2z4"/>
    <w:uiPriority w:val="99"/>
    <w:qFormat/>
    <w:rsid w:val="006a518c"/>
    <w:rPr/>
  </w:style>
  <w:style w:type="character" w:styleId="WW8Num2z5" w:customStyle="1">
    <w:name w:val="WW8Num2z5"/>
    <w:uiPriority w:val="99"/>
    <w:qFormat/>
    <w:rsid w:val="006a518c"/>
    <w:rPr/>
  </w:style>
  <w:style w:type="character" w:styleId="WW8Num2z6" w:customStyle="1">
    <w:name w:val="WW8Num2z6"/>
    <w:uiPriority w:val="99"/>
    <w:qFormat/>
    <w:rsid w:val="006a518c"/>
    <w:rPr/>
  </w:style>
  <w:style w:type="character" w:styleId="WW8Num2z7" w:customStyle="1">
    <w:name w:val="WW8Num2z7"/>
    <w:uiPriority w:val="99"/>
    <w:qFormat/>
    <w:rsid w:val="006a518c"/>
    <w:rPr/>
  </w:style>
  <w:style w:type="character" w:styleId="WW8Num2z8" w:customStyle="1">
    <w:name w:val="WW8Num2z8"/>
    <w:uiPriority w:val="99"/>
    <w:qFormat/>
    <w:rsid w:val="006a518c"/>
    <w:rPr/>
  </w:style>
  <w:style w:type="character" w:styleId="WW8Num1z1" w:customStyle="1">
    <w:name w:val="WW8Num1z1"/>
    <w:uiPriority w:val="99"/>
    <w:qFormat/>
    <w:rsid w:val="006a518c"/>
    <w:rPr>
      <w:rFonts w:ascii="Courier New" w:hAnsi="Courier New"/>
    </w:rPr>
  </w:style>
  <w:style w:type="character" w:styleId="WW8Num1z2" w:customStyle="1">
    <w:name w:val="WW8Num1z2"/>
    <w:uiPriority w:val="99"/>
    <w:qFormat/>
    <w:rsid w:val="006a518c"/>
    <w:rPr>
      <w:rFonts w:ascii="Wingdings" w:hAnsi="Wingdings"/>
    </w:rPr>
  </w:style>
  <w:style w:type="character" w:styleId="WW8Num1z3" w:customStyle="1">
    <w:name w:val="WW8Num1z3"/>
    <w:uiPriority w:val="99"/>
    <w:qFormat/>
    <w:rsid w:val="006a518c"/>
    <w:rPr>
      <w:rFonts w:ascii="Symbol" w:hAnsi="Symbol"/>
    </w:rPr>
  </w:style>
  <w:style w:type="character" w:styleId="WW8Num3z0" w:customStyle="1">
    <w:name w:val="WW8Num3z0"/>
    <w:uiPriority w:val="99"/>
    <w:qFormat/>
    <w:rsid w:val="006a518c"/>
    <w:rPr>
      <w:rFonts w:ascii="Times New Roman" w:hAnsi="Times New Roman"/>
    </w:rPr>
  </w:style>
  <w:style w:type="character" w:styleId="WW8Num3z1" w:customStyle="1">
    <w:name w:val="WW8Num3z1"/>
    <w:uiPriority w:val="99"/>
    <w:qFormat/>
    <w:rsid w:val="006a518c"/>
    <w:rPr>
      <w:rFonts w:ascii="Courier New" w:hAnsi="Courier New"/>
    </w:rPr>
  </w:style>
  <w:style w:type="character" w:styleId="WW8Num3z2" w:customStyle="1">
    <w:name w:val="WW8Num3z2"/>
    <w:uiPriority w:val="99"/>
    <w:qFormat/>
    <w:rsid w:val="006a518c"/>
    <w:rPr>
      <w:rFonts w:ascii="Wingdings" w:hAnsi="Wingdings"/>
    </w:rPr>
  </w:style>
  <w:style w:type="character" w:styleId="WW8Num3z3" w:customStyle="1">
    <w:name w:val="WW8Num3z3"/>
    <w:uiPriority w:val="99"/>
    <w:qFormat/>
    <w:rsid w:val="006a518c"/>
    <w:rPr>
      <w:rFonts w:ascii="Symbol" w:hAnsi="Symbol"/>
    </w:rPr>
  </w:style>
  <w:style w:type="character" w:styleId="FontStyle11" w:customStyle="1">
    <w:name w:val="Font Style11"/>
    <w:basedOn w:val="DefaultParagraphFont"/>
    <w:uiPriority w:val="99"/>
    <w:qFormat/>
    <w:rsid w:val="006a518c"/>
    <w:rPr>
      <w:rFonts w:ascii="Times New Roman" w:hAnsi="Times New Roman" w:cs="Times New Roman"/>
      <w:sz w:val="26"/>
      <w:szCs w:val="26"/>
    </w:rPr>
  </w:style>
  <w:style w:type="character" w:styleId="FontStyle12" w:customStyle="1">
    <w:name w:val="Font Style12"/>
    <w:basedOn w:val="DefaultParagraphFont"/>
    <w:uiPriority w:val="99"/>
    <w:qFormat/>
    <w:rsid w:val="006a518c"/>
    <w:rPr>
      <w:rFonts w:ascii="Times New Roman" w:hAnsi="Times New Roman" w:cs="Times New Roman"/>
      <w:b/>
      <w:bCs/>
      <w:sz w:val="26"/>
      <w:szCs w:val="26"/>
    </w:rPr>
  </w:style>
  <w:style w:type="character" w:styleId="Style13" w:customStyle="1">
    <w:name w:val="Верхний колонтитул Знак"/>
    <w:basedOn w:val="DefaultParagraphFont"/>
    <w:uiPriority w:val="99"/>
    <w:qFormat/>
    <w:rsid w:val="006a518c"/>
    <w:rPr>
      <w:rFonts w:cs="Times New Roman"/>
      <w:sz w:val="24"/>
      <w:szCs w:val="24"/>
      <w:lang w:val="uk-UA"/>
    </w:rPr>
  </w:style>
  <w:style w:type="character" w:styleId="Style14" w:customStyle="1">
    <w:name w:val="Нижний колонтитул Знак"/>
    <w:basedOn w:val="DefaultParagraphFont"/>
    <w:uiPriority w:val="99"/>
    <w:qFormat/>
    <w:rsid w:val="006a518c"/>
    <w:rPr>
      <w:rFonts w:cs="Times New Roman"/>
      <w:sz w:val="24"/>
      <w:szCs w:val="24"/>
      <w:lang w:val="uk-UA"/>
    </w:rPr>
  </w:style>
  <w:style w:type="character" w:styleId="Style15" w:customStyle="1">
    <w:name w:val="Текст Знак"/>
    <w:basedOn w:val="DefaultParagraphFont"/>
    <w:uiPriority w:val="99"/>
    <w:qFormat/>
    <w:rsid w:val="006a518c"/>
    <w:rPr>
      <w:rFonts w:ascii="Courier New" w:hAnsi="Courier New" w:cs="Courier New"/>
    </w:rPr>
  </w:style>
  <w:style w:type="character" w:styleId="Style16" w:customStyle="1">
    <w:name w:val="Основной текст Знак"/>
    <w:basedOn w:val="DefaultParagraphFont"/>
    <w:link w:val="a1"/>
    <w:uiPriority w:val="99"/>
    <w:semiHidden/>
    <w:qFormat/>
    <w:rsid w:val="00974c52"/>
    <w:rPr>
      <w:rFonts w:ascii="Times New Roman" w:hAnsi="Times New Roman" w:cs="Times New Roman"/>
      <w:sz w:val="24"/>
      <w:szCs w:val="24"/>
      <w:lang w:eastAsia="zh-CN"/>
    </w:rPr>
  </w:style>
  <w:style w:type="character" w:styleId="11" w:customStyle="1">
    <w:name w:val="Верхний колонтитул Знак1"/>
    <w:basedOn w:val="DefaultParagraphFont"/>
    <w:link w:val="a9"/>
    <w:uiPriority w:val="99"/>
    <w:semiHidden/>
    <w:qFormat/>
    <w:rsid w:val="00974c52"/>
    <w:rPr>
      <w:rFonts w:ascii="Times New Roman" w:hAnsi="Times New Roman" w:cs="Times New Roman"/>
      <w:sz w:val="24"/>
      <w:szCs w:val="24"/>
      <w:lang w:eastAsia="zh-CN"/>
    </w:rPr>
  </w:style>
  <w:style w:type="character" w:styleId="12" w:customStyle="1">
    <w:name w:val="Нижний колонтитул Знак1"/>
    <w:basedOn w:val="DefaultParagraphFont"/>
    <w:link w:val="aa"/>
    <w:uiPriority w:val="99"/>
    <w:semiHidden/>
    <w:qFormat/>
    <w:rsid w:val="00974c52"/>
    <w:rPr>
      <w:rFonts w:ascii="Times New Roman" w:hAnsi="Times New Roman" w:cs="Times New Roman"/>
      <w:sz w:val="24"/>
      <w:szCs w:val="24"/>
      <w:lang w:eastAsia="zh-CN"/>
    </w:rPr>
  </w:style>
  <w:style w:type="character" w:styleId="13" w:customStyle="1">
    <w:name w:val="Текст Знак1"/>
    <w:basedOn w:val="DefaultParagraphFont"/>
    <w:link w:val="ab"/>
    <w:uiPriority w:val="99"/>
    <w:semiHidden/>
    <w:qFormat/>
    <w:rsid w:val="00974c52"/>
    <w:rPr>
      <w:rFonts w:ascii="Courier New" w:hAnsi="Courier New" w:cs="Courier New"/>
      <w:sz w:val="20"/>
      <w:szCs w:val="20"/>
      <w:lang w:eastAsia="zh-CN"/>
    </w:rPr>
  </w:style>
  <w:style w:type="character" w:styleId="St42" w:customStyle="1">
    <w:name w:val="st42"/>
    <w:qFormat/>
    <w:rPr>
      <w:color w:val="000000"/>
    </w:rPr>
  </w:style>
  <w:style w:type="character" w:styleId="14" w:customStyle="1">
    <w:name w:val="Основной шрифт абзаца1"/>
    <w:qFormat/>
    <w:rPr/>
  </w:style>
  <w:style w:type="paragraph" w:styleId="Style17" w:customStyle="1">
    <w:name w:val="Заголовок"/>
    <w:basedOn w:val="Normal"/>
    <w:next w:val="Style18"/>
    <w:uiPriority w:val="99"/>
    <w:qFormat/>
    <w:rsid w:val="006a518c"/>
    <w:pPr>
      <w:keepNext w:val="true"/>
      <w:spacing w:before="240" w:after="120"/>
    </w:pPr>
    <w:rPr>
      <w:rFonts w:ascii="Liberation Sans;Arial" w:hAnsi="Liberation Sans;Arial" w:eastAsia="Microsoft YaHei" w:cs="Arial"/>
      <w:sz w:val="28"/>
      <w:szCs w:val="28"/>
    </w:rPr>
  </w:style>
  <w:style w:type="paragraph" w:styleId="Style18">
    <w:name w:val="Body Text"/>
    <w:basedOn w:val="Normal"/>
    <w:link w:val="a8"/>
    <w:uiPriority w:val="99"/>
    <w:rsid w:val="006a518c"/>
    <w:pPr>
      <w:spacing w:lineRule="auto" w:line="276" w:before="0" w:after="140"/>
    </w:pPr>
    <w:rPr/>
  </w:style>
  <w:style w:type="paragraph" w:styleId="Style19">
    <w:name w:val="List"/>
    <w:basedOn w:val="Style18"/>
    <w:uiPriority w:val="99"/>
    <w:rsid w:val="006a518c"/>
    <w:pPr/>
    <w:rPr>
      <w:rFonts w:cs="Arial"/>
    </w:rPr>
  </w:style>
  <w:style w:type="paragraph" w:styleId="Style20">
    <w:name w:val="Caption"/>
    <w:basedOn w:val="Normal"/>
    <w:qFormat/>
    <w:pPr>
      <w:suppressLineNumbers/>
      <w:spacing w:before="120" w:after="120"/>
    </w:pPr>
    <w:rPr>
      <w:rFonts w:cs="Arial"/>
      <w:i/>
      <w:iCs/>
      <w:sz w:val="24"/>
      <w:szCs w:val="24"/>
    </w:rPr>
  </w:style>
  <w:style w:type="paragraph" w:styleId="Style21" w:customStyle="1">
    <w:name w:val="Покажчик"/>
    <w:basedOn w:val="Normal"/>
    <w:uiPriority w:val="99"/>
    <w:qFormat/>
    <w:rsid w:val="006a518c"/>
    <w:pPr>
      <w:suppressLineNumbers/>
    </w:pPr>
    <w:rPr>
      <w:rFonts w:cs="Arial"/>
    </w:rPr>
  </w:style>
  <w:style w:type="paragraph" w:styleId="Caption">
    <w:name w:val="caption"/>
    <w:basedOn w:val="Normal"/>
    <w:qFormat/>
    <w:pPr>
      <w:suppressLineNumbers/>
      <w:spacing w:before="120" w:after="120"/>
    </w:pPr>
    <w:rPr>
      <w:rFonts w:cs="Mangal;Liberation Mono"/>
      <w:i/>
      <w:iCs/>
    </w:rPr>
  </w:style>
  <w:style w:type="paragraph" w:styleId="Style22" w:customStyle="1">
    <w:name w:val="Style2"/>
    <w:basedOn w:val="Normal"/>
    <w:uiPriority w:val="99"/>
    <w:qFormat/>
    <w:rsid w:val="006a518c"/>
    <w:pPr>
      <w:widowControl w:val="false"/>
      <w:spacing w:lineRule="exact" w:line="322"/>
      <w:ind w:firstLine="686"/>
    </w:pPr>
    <w:rPr>
      <w:lang w:val="ru-RU"/>
    </w:rPr>
  </w:style>
  <w:style w:type="paragraph" w:styleId="Style31" w:customStyle="1">
    <w:name w:val="Style3"/>
    <w:basedOn w:val="Normal"/>
    <w:uiPriority w:val="99"/>
    <w:qFormat/>
    <w:rsid w:val="006a518c"/>
    <w:pPr>
      <w:widowControl w:val="false"/>
    </w:pPr>
    <w:rPr>
      <w:lang w:val="ru-RU"/>
    </w:rPr>
  </w:style>
  <w:style w:type="paragraph" w:styleId="Style41" w:customStyle="1">
    <w:name w:val="Style4"/>
    <w:basedOn w:val="Normal"/>
    <w:uiPriority w:val="99"/>
    <w:qFormat/>
    <w:rsid w:val="006a518c"/>
    <w:pPr>
      <w:widowControl w:val="false"/>
      <w:spacing w:lineRule="exact" w:line="322"/>
      <w:jc w:val="both"/>
    </w:pPr>
    <w:rPr>
      <w:lang w:val="ru-RU"/>
    </w:rPr>
  </w:style>
  <w:style w:type="paragraph" w:styleId="Style51" w:customStyle="1">
    <w:name w:val="Style5"/>
    <w:basedOn w:val="Normal"/>
    <w:uiPriority w:val="99"/>
    <w:qFormat/>
    <w:rsid w:val="006a518c"/>
    <w:pPr>
      <w:widowControl w:val="false"/>
    </w:pPr>
    <w:rPr>
      <w:lang w:val="ru-RU"/>
    </w:rPr>
  </w:style>
  <w:style w:type="paragraph" w:styleId="Style61" w:customStyle="1">
    <w:name w:val="Style6"/>
    <w:basedOn w:val="Normal"/>
    <w:uiPriority w:val="99"/>
    <w:qFormat/>
    <w:rsid w:val="006a518c"/>
    <w:pPr>
      <w:widowControl w:val="false"/>
      <w:spacing w:lineRule="exact" w:line="319"/>
      <w:ind w:firstLine="691"/>
      <w:jc w:val="both"/>
    </w:pPr>
    <w:rPr>
      <w:lang w:val="ru-RU"/>
    </w:rPr>
  </w:style>
  <w:style w:type="paragraph" w:styleId="Style71" w:customStyle="1">
    <w:name w:val="Style7"/>
    <w:basedOn w:val="Normal"/>
    <w:uiPriority w:val="99"/>
    <w:qFormat/>
    <w:rsid w:val="006a518c"/>
    <w:pPr>
      <w:widowControl w:val="false"/>
    </w:pPr>
    <w:rPr>
      <w:lang w:val="ru-RU"/>
    </w:rPr>
  </w:style>
  <w:style w:type="paragraph" w:styleId="Style23" w:customStyle="1">
    <w:name w:val="Знак Знак"/>
    <w:basedOn w:val="Normal"/>
    <w:uiPriority w:val="99"/>
    <w:qFormat/>
    <w:rsid w:val="006a518c"/>
    <w:pPr/>
    <w:rPr>
      <w:rFonts w:ascii="Verdana" w:hAnsi="Verdana" w:cs="Verdana"/>
      <w:sz w:val="20"/>
      <w:szCs w:val="20"/>
      <w:lang w:val="en-US"/>
    </w:rPr>
  </w:style>
  <w:style w:type="paragraph" w:styleId="Style24" w:customStyle="1">
    <w:name w:val="Верхній і нижній колонтитули"/>
    <w:basedOn w:val="Normal"/>
    <w:uiPriority w:val="99"/>
    <w:qFormat/>
    <w:rsid w:val="006a518c"/>
    <w:pPr/>
    <w:rPr/>
  </w:style>
  <w:style w:type="paragraph" w:styleId="Style25">
    <w:name w:val="Header"/>
    <w:basedOn w:val="Normal"/>
    <w:link w:val="10"/>
    <w:uiPriority w:val="99"/>
    <w:rsid w:val="006a518c"/>
    <w:pPr>
      <w:tabs>
        <w:tab w:val="clear" w:pos="709"/>
        <w:tab w:val="center" w:pos="4677" w:leader="none"/>
        <w:tab w:val="right" w:pos="9355" w:leader="none"/>
      </w:tabs>
    </w:pPr>
    <w:rPr/>
  </w:style>
  <w:style w:type="paragraph" w:styleId="Style26">
    <w:name w:val="Footer"/>
    <w:basedOn w:val="Normal"/>
    <w:link w:val="11"/>
    <w:uiPriority w:val="99"/>
    <w:rsid w:val="006a518c"/>
    <w:pPr>
      <w:tabs>
        <w:tab w:val="clear" w:pos="709"/>
        <w:tab w:val="center" w:pos="4677" w:leader="none"/>
        <w:tab w:val="right" w:pos="9355" w:leader="none"/>
      </w:tabs>
    </w:pPr>
    <w:rPr/>
  </w:style>
  <w:style w:type="paragraph" w:styleId="15" w:customStyle="1">
    <w:name w:val="Абзац списка1"/>
    <w:basedOn w:val="Normal"/>
    <w:uiPriority w:val="99"/>
    <w:qFormat/>
    <w:rsid w:val="006a518c"/>
    <w:pPr>
      <w:spacing w:lineRule="auto" w:line="276" w:before="0" w:after="200"/>
      <w:ind w:left="720" w:hanging="0"/>
      <w:contextualSpacing/>
    </w:pPr>
    <w:rPr>
      <w:rFonts w:ascii="Calibri" w:hAnsi="Calibri" w:cs="Calibri"/>
      <w:sz w:val="22"/>
      <w:szCs w:val="22"/>
      <w:lang w:val="ru-RU"/>
    </w:rPr>
  </w:style>
  <w:style w:type="paragraph" w:styleId="PlainText">
    <w:name w:val="Plain Text"/>
    <w:basedOn w:val="Normal"/>
    <w:link w:val="12"/>
    <w:uiPriority w:val="99"/>
    <w:qFormat/>
    <w:rsid w:val="006a518c"/>
    <w:pPr/>
    <w:rPr>
      <w:rFonts w:ascii="Courier New" w:hAnsi="Courier New" w:cs="Courier New"/>
      <w:sz w:val="20"/>
      <w:szCs w:val="20"/>
      <w:lang w:val="ru-RU"/>
    </w:rPr>
  </w:style>
  <w:style w:type="paragraph" w:styleId="Style27" w:customStyle="1">
    <w:name w:val="Вміст таблиці"/>
    <w:basedOn w:val="Normal"/>
    <w:uiPriority w:val="99"/>
    <w:qFormat/>
    <w:rsid w:val="006a518c"/>
    <w:pPr>
      <w:suppressLineNumbers/>
    </w:pPr>
    <w:rPr/>
  </w:style>
  <w:style w:type="paragraph" w:styleId="Style28" w:customStyle="1">
    <w:name w:val="Заголовок таблиці"/>
    <w:basedOn w:val="Style27"/>
    <w:uiPriority w:val="99"/>
    <w:qFormat/>
    <w:rsid w:val="006a518c"/>
    <w:pPr>
      <w:jc w:val="center"/>
    </w:pPr>
    <w:rPr>
      <w:b/>
      <w:bCs/>
    </w:rPr>
  </w:style>
  <w:style w:type="paragraph" w:styleId="NormalWeb">
    <w:name w:val="Normal (Web)"/>
    <w:basedOn w:val="Normal"/>
    <w:qFormat/>
    <w:pPr>
      <w:spacing w:before="280" w:after="280"/>
    </w:pPr>
    <w:rPr>
      <w:lang w:val="ru-RU"/>
    </w:rPr>
  </w:style>
  <w:style w:type="paragraph" w:styleId="BalloonText">
    <w:name w:val="Balloon Text"/>
    <w:basedOn w:val="Normal"/>
    <w:qFormat/>
    <w:pPr/>
    <w:rPr>
      <w:rFonts w:ascii="Tahoma" w:hAnsi="Tahoma" w:cs="Tahoma"/>
      <w:sz w:val="16"/>
      <w:szCs w:val="16"/>
    </w:rPr>
  </w:style>
  <w:style w:type="paragraph" w:styleId="16" w:customStyle="1">
    <w:name w:val="Указатель1"/>
    <w:basedOn w:val="Normal"/>
    <w:qFormat/>
    <w:pPr>
      <w:suppressLineNumbers/>
    </w:pPr>
    <w:rPr>
      <w:rFonts w:cs="Mangal;Liberation Mono"/>
    </w:rPr>
  </w:style>
  <w:style w:type="numbering" w:styleId="NoList" w:default="1">
    <w:name w:val="No List"/>
    <w:uiPriority w:val="99"/>
    <w:semiHidden/>
    <w:unhideWhenUsed/>
    <w:qFormat/>
  </w:style>
  <w:style w:type="table" w:default="1" w:styleId="a3">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4524</TotalTime>
  <Application>LibreOffice/6.2.1.2$Windows_X86_64 LibreOffice_project/7bcb35dc3024a62dea0caee87020152d1ee96e71</Application>
  <Pages>6</Pages>
  <Words>1657</Words>
  <Characters>10325</Characters>
  <CharactersWithSpaces>11902</CharactersWithSpaces>
  <Paragraphs>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2013-05-30T11:50:00Z</dcterms:created>
  <dc:creator>Admin</dc:creator>
  <dc:description/>
  <dc:language>uk-UA</dc:language>
  <cp:lastModifiedBy/>
  <cp:lastPrinted>1995-11-21T17:41:00Z</cp:lastPrinted>
  <dcterms:modified xsi:type="dcterms:W3CDTF">2021-12-07T10:09:27Z</dcterms:modified>
  <cp:revision>576</cp:revision>
  <dc:subject/>
  <dc:title>ЗВІТ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