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BodyTextIndent2"/>
        <w:tabs>
          <w:tab w:val="clear" w:pos="709"/>
          <w:tab w:val="left" w:pos="810" w:leader="none"/>
        </w:tabs>
        <w:spacing w:lineRule="auto" w:line="240" w:before="0" w:after="0"/>
        <w:ind w:left="0" w:hanging="0"/>
        <w:jc w:val="center"/>
        <w:rPr/>
      </w:pPr>
      <w:r>
        <w:rPr>
          <w:b/>
          <w:sz w:val="28"/>
          <w:szCs w:val="28"/>
        </w:rPr>
        <w:t>ЗВІТ</w:t>
      </w:r>
    </w:p>
    <w:p>
      <w:pPr>
        <w:pStyle w:val="BodyTextIndent2"/>
        <w:tabs>
          <w:tab w:val="clear" w:pos="709"/>
          <w:tab w:val="left" w:pos="0" w:leader="none"/>
        </w:tabs>
        <w:spacing w:lineRule="auto" w:line="240" w:before="0" w:after="0"/>
        <w:ind w:left="0" w:hanging="0"/>
        <w:jc w:val="center"/>
        <w:rPr>
          <w:b/>
          <w:b/>
          <w:sz w:val="28"/>
          <w:szCs w:val="28"/>
        </w:rPr>
      </w:pPr>
      <w:r>
        <w:rPr>
          <w:b/>
          <w:sz w:val="28"/>
          <w:szCs w:val="28"/>
        </w:rPr>
        <w:t>про роботу комунального підприємства «Луцький спеціалізований комбінат комунально-побутового обслуговування»</w:t>
      </w:r>
    </w:p>
    <w:p>
      <w:pPr>
        <w:pStyle w:val="BodyTextIndent2"/>
        <w:tabs>
          <w:tab w:val="clear" w:pos="709"/>
          <w:tab w:val="left" w:pos="0" w:leader="none"/>
        </w:tabs>
        <w:spacing w:lineRule="auto" w:line="240" w:before="0" w:after="0"/>
        <w:ind w:left="0" w:hanging="0"/>
        <w:jc w:val="center"/>
        <w:rPr/>
      </w:pPr>
      <w:r>
        <w:rPr>
          <w:b/>
          <w:sz w:val="28"/>
          <w:szCs w:val="28"/>
        </w:rPr>
        <w:t xml:space="preserve"> </w:t>
      </w:r>
      <w:r>
        <w:rPr>
          <w:b/>
          <w:sz w:val="28"/>
          <w:szCs w:val="28"/>
        </w:rPr>
        <w:t>за 9</w:t>
      </w:r>
      <w:r>
        <w:rPr>
          <w:b/>
          <w:sz w:val="28"/>
          <w:szCs w:val="28"/>
          <w:highlight w:val="white"/>
        </w:rPr>
        <w:t xml:space="preserve"> </w:t>
      </w:r>
      <w:r>
        <w:rPr>
          <w:b/>
          <w:sz w:val="28"/>
          <w:szCs w:val="28"/>
          <w:shd w:fill="FFFFFF" w:val="clear"/>
        </w:rPr>
        <w:t xml:space="preserve">місяців </w:t>
      </w:r>
      <w:r>
        <w:rPr>
          <w:b/>
          <w:sz w:val="28"/>
          <w:szCs w:val="28"/>
        </w:rPr>
        <w:t>2021 року</w:t>
      </w:r>
    </w:p>
    <w:p>
      <w:pPr>
        <w:pStyle w:val="BodyTextIndent2"/>
        <w:tabs>
          <w:tab w:val="clear" w:pos="709"/>
          <w:tab w:val="left" w:pos="810" w:leader="none"/>
          <w:tab w:val="left" w:pos="3780" w:leader="none"/>
        </w:tabs>
        <w:spacing w:lineRule="auto" w:line="240" w:before="0" w:after="0"/>
        <w:ind w:left="0" w:hanging="0"/>
        <w:rPr>
          <w:b/>
          <w:b/>
        </w:rPr>
      </w:pPr>
      <w:r>
        <w:rPr>
          <w:b/>
        </w:rPr>
      </w:r>
    </w:p>
    <w:p>
      <w:pPr>
        <w:pStyle w:val="BodyTextIndent2"/>
        <w:tabs>
          <w:tab w:val="clear" w:pos="709"/>
          <w:tab w:val="left" w:pos="810" w:leader="none"/>
          <w:tab w:val="left" w:pos="3780" w:leader="none"/>
        </w:tabs>
        <w:spacing w:lineRule="auto" w:line="240" w:before="0" w:after="0"/>
        <w:ind w:left="0" w:firstLine="567"/>
        <w:jc w:val="both"/>
        <w:rPr/>
      </w:pPr>
      <w:r>
        <w:rPr>
          <w:sz w:val="28"/>
          <w:szCs w:val="28"/>
        </w:rPr>
        <w:t>Комунальне підприємство «Луцький спеціалізований комбінат комунально-побутового обслуговування»</w:t>
      </w:r>
      <w:r>
        <w:rPr>
          <w:bCs/>
          <w:sz w:val="28"/>
          <w:szCs w:val="28"/>
        </w:rPr>
        <w:t xml:space="preserve"> </w:t>
      </w:r>
      <w:r>
        <w:rPr>
          <w:sz w:val="28"/>
          <w:szCs w:val="28"/>
        </w:rPr>
        <w:t>діє на підставі Статуту, затвердженого рішенням Луцької міської ради від 29.09.2021 № 19/102 (нова редакція). Підприємство було засноване в 1955 році як «Похоронне бюро», а у 1977 році перейменоване в «Луцький спеціалізований комбінат комунально-побутового обслуговування». Засновником (власником) Підприємства</w:t>
      </w:r>
      <w:r>
        <w:rPr>
          <w:color w:val="000000"/>
          <w:sz w:val="28"/>
          <w:szCs w:val="28"/>
        </w:rPr>
        <w:t xml:space="preserve"> є</w:t>
      </w:r>
      <w:r>
        <w:rPr>
          <w:color w:val="FC5C00"/>
          <w:sz w:val="28"/>
          <w:szCs w:val="28"/>
        </w:rPr>
        <w:t xml:space="preserve"> </w:t>
      </w:r>
      <w:r>
        <w:rPr>
          <w:color w:val="000000"/>
          <w:sz w:val="28"/>
          <w:szCs w:val="28"/>
        </w:rPr>
        <w:t xml:space="preserve">Луцька міська рада. Підприємство створено з метою задоволення потреб у його послугах (роботах, товарах) та реалізації на основі отриманого прибутку інтересів територіальної громади міста Луцька, а також економічних та соціальних інтересів трудового колективу. </w:t>
      </w:r>
    </w:p>
    <w:p>
      <w:pPr>
        <w:pStyle w:val="BodyTextIndent2"/>
        <w:tabs>
          <w:tab w:val="clear" w:pos="709"/>
          <w:tab w:val="left" w:pos="810" w:leader="none"/>
          <w:tab w:val="left" w:pos="3780" w:leader="none"/>
        </w:tabs>
        <w:spacing w:lineRule="auto" w:line="240" w:before="0" w:after="0"/>
        <w:ind w:left="0" w:firstLine="567"/>
        <w:jc w:val="both"/>
        <w:rPr/>
      </w:pPr>
      <w:r>
        <w:rPr>
          <w:sz w:val="28"/>
          <w:szCs w:val="28"/>
        </w:rPr>
        <w:t xml:space="preserve">Основними видами діяльності Луцького спецкомбінату КПО є: організація поховання померлих і </w:t>
      </w:r>
      <w:bookmarkStart w:id="0" w:name="__DdeLink__4959_3085706929"/>
      <w:r>
        <w:rPr>
          <w:sz w:val="28"/>
          <w:szCs w:val="28"/>
        </w:rPr>
        <w:t xml:space="preserve">надання ритуальних послуг згідно з договорами –замовленнями, здійснення реєстрації поховання та перепоховання померлих, видача користувачу місця поховання свідоцтва про поховання, роздрібна та оптова торгівля товарами ритуального призначення та іншими товарами, надання населенню послуг з перевезення тіл померлих та осіб, що їх супроводжують, </w:t>
      </w:r>
      <w:bookmarkEnd w:id="0"/>
      <w:r>
        <w:rPr>
          <w:sz w:val="28"/>
          <w:szCs w:val="28"/>
        </w:rPr>
        <w:t>виконання робіт з благоустрою місць поховань та прилеглих територій в межах фінансування Власником, у</w:t>
      </w:r>
      <w:bookmarkStart w:id="1" w:name="__DdeLink__904_3239744167"/>
      <w:r>
        <w:rPr>
          <w:sz w:val="28"/>
          <w:szCs w:val="28"/>
        </w:rPr>
        <w:t xml:space="preserve">тримання та благоустрій міських кладовищ, місць поховання згідно із встановленими правилами та санітарними нормами, </w:t>
      </w:r>
      <w:bookmarkEnd w:id="1"/>
      <w:r>
        <w:rPr>
          <w:sz w:val="28"/>
          <w:szCs w:val="28"/>
        </w:rPr>
        <w:t>реєстрація намогильних споруд та</w:t>
      </w:r>
      <w:r>
        <w:rPr>
          <w:spacing w:val="-4"/>
          <w:sz w:val="28"/>
          <w:szCs w:val="28"/>
        </w:rPr>
        <w:t xml:space="preserve"> інші.</w:t>
      </w:r>
    </w:p>
    <w:p>
      <w:pPr>
        <w:pStyle w:val="BodyTextIndent2"/>
        <w:tabs>
          <w:tab w:val="clear" w:pos="709"/>
          <w:tab w:val="left" w:pos="810" w:leader="none"/>
          <w:tab w:val="left" w:pos="3780" w:leader="none"/>
        </w:tabs>
        <w:spacing w:lineRule="auto" w:line="240" w:before="0" w:after="0"/>
        <w:ind w:left="0" w:firstLine="567"/>
        <w:jc w:val="both"/>
        <w:rPr/>
      </w:pPr>
      <w:r>
        <w:rPr>
          <w:sz w:val="28"/>
          <w:szCs w:val="28"/>
        </w:rPr>
        <w:t>Основними цілями діяльності підприємства є: отримання доходу власником підприємства, забезпечення споживачів товарами та послугами згідно з договорами, матеріальне стимулювання персоналу, забезпечення належних умов праці та можливостей фахового зростання працівників, створення нових робочих місць, виробництво продукції та надання послуг високої якост</w:t>
      </w:r>
      <w:r>
        <w:rPr>
          <w:sz w:val="27"/>
          <w:szCs w:val="27"/>
        </w:rPr>
        <w:t xml:space="preserve">і. </w:t>
      </w:r>
    </w:p>
    <w:p>
      <w:pPr>
        <w:pStyle w:val="BodyTextIndent2"/>
        <w:tabs>
          <w:tab w:val="clear" w:pos="709"/>
          <w:tab w:val="left" w:pos="810" w:leader="none"/>
          <w:tab w:val="left" w:pos="3780" w:leader="none"/>
        </w:tabs>
        <w:spacing w:lineRule="auto" w:line="240" w:before="0" w:after="0"/>
        <w:ind w:left="0" w:firstLine="567"/>
        <w:jc w:val="both"/>
        <w:rPr/>
      </w:pPr>
      <w:r>
        <w:rPr/>
      </w:r>
    </w:p>
    <w:p>
      <w:pPr>
        <w:pStyle w:val="BodyTextIndent2"/>
        <w:tabs>
          <w:tab w:val="clear" w:pos="709"/>
          <w:tab w:val="left" w:pos="810" w:leader="none"/>
          <w:tab w:val="left" w:pos="3780" w:leader="none"/>
        </w:tabs>
        <w:spacing w:lineRule="auto" w:line="240" w:before="0" w:after="0"/>
        <w:ind w:left="0" w:firstLine="567"/>
        <w:jc w:val="both"/>
        <w:rPr/>
      </w:pPr>
      <w:r>
        <w:rPr>
          <w:b/>
          <w:bCs/>
          <w:sz w:val="28"/>
          <w:szCs w:val="28"/>
        </w:rPr>
        <w:t>Тарифна політика.</w:t>
      </w:r>
    </w:p>
    <w:p>
      <w:pPr>
        <w:pStyle w:val="BodyTextIndent2"/>
        <w:tabs>
          <w:tab w:val="clear" w:pos="709"/>
          <w:tab w:val="left" w:pos="810" w:leader="none"/>
          <w:tab w:val="left" w:pos="3780" w:leader="none"/>
        </w:tabs>
        <w:spacing w:lineRule="auto" w:line="240" w:before="0" w:after="0"/>
        <w:ind w:left="0" w:firstLine="567"/>
        <w:jc w:val="both"/>
        <w:rPr/>
      </w:pPr>
      <w:r>
        <w:rPr>
          <w:sz w:val="28"/>
          <w:szCs w:val="28"/>
        </w:rPr>
        <w:t xml:space="preserve">Тарифну політику комунальне підприємство формує самостійно. Калькуляції, які розробляються працівниками підприємства на </w:t>
      </w:r>
      <w:r>
        <w:rPr>
          <w:color w:val="000000"/>
          <w:sz w:val="28"/>
          <w:szCs w:val="28"/>
        </w:rPr>
        <w:t>ритуальні</w:t>
      </w:r>
      <w:r>
        <w:rPr>
          <w:sz w:val="28"/>
          <w:szCs w:val="28"/>
        </w:rPr>
        <w:t xml:space="preserve"> послуги затверджуються, згідно з обліковою політикою підприємства. При складанні калькуляцій на послуги та виготовлення продукції враховується моніторинг цін на ринку ритуальних послуг. У розрахунку вартості послуг, що фінансуються з бюджету</w:t>
      </w:r>
      <w:r>
        <w:rPr>
          <w:color w:val="000000"/>
          <w:sz w:val="28"/>
          <w:szCs w:val="28"/>
        </w:rPr>
        <w:t xml:space="preserve"> міської територіальної громади, р</w:t>
      </w:r>
      <w:r>
        <w:rPr>
          <w:sz w:val="28"/>
          <w:szCs w:val="28"/>
        </w:rPr>
        <w:t>ентабельність не перевищує 10 %. Калькуляції на послуги з копання могил, за якими Спецкомбінат визнано монополістом, затверджено рішенням виконавчого комітету Луцької міської ради від 16.05.2018 № 266-1, та діють на даний час.</w:t>
      </w:r>
    </w:p>
    <w:p>
      <w:pPr>
        <w:pStyle w:val="Normal"/>
        <w:ind w:firstLine="567"/>
        <w:jc w:val="both"/>
        <w:rPr/>
      </w:pPr>
      <w:r>
        <w:rPr>
          <w:sz w:val="28"/>
          <w:szCs w:val="28"/>
        </w:rPr>
        <w:t xml:space="preserve">Постійно проводиться робота з формування цін для замовників із різними фінансовими можливостями. </w:t>
      </w:r>
    </w:p>
    <w:p>
      <w:pPr>
        <w:pStyle w:val="Normal"/>
        <w:ind w:firstLine="567"/>
        <w:jc w:val="both"/>
        <w:rPr/>
      </w:pPr>
      <w:r>
        <w:rPr/>
      </w:r>
    </w:p>
    <w:p>
      <w:pPr>
        <w:pStyle w:val="Normal"/>
        <w:jc w:val="center"/>
        <w:rPr/>
      </w:pPr>
      <w:r>
        <w:rPr>
          <w:sz w:val="27"/>
          <w:szCs w:val="27"/>
        </w:rPr>
        <w:t xml:space="preserve">Мінімальна вартість проведення процедури поховання </w:t>
      </w:r>
    </w:p>
    <w:p>
      <w:pPr>
        <w:pStyle w:val="Normal"/>
        <w:jc w:val="both"/>
        <w:rPr>
          <w:sz w:val="27"/>
          <w:szCs w:val="27"/>
        </w:rPr>
      </w:pPr>
      <w:r>
        <w:rPr>
          <w:sz w:val="27"/>
          <w:szCs w:val="27"/>
        </w:rPr>
      </w:r>
    </w:p>
    <w:tbl>
      <w:tblPr>
        <w:tblW w:w="9645" w:type="dxa"/>
        <w:jc w:val="left"/>
        <w:tblInd w:w="-5" w:type="dxa"/>
        <w:tblCellMar>
          <w:top w:w="0" w:type="dxa"/>
          <w:left w:w="108" w:type="dxa"/>
          <w:bottom w:w="0" w:type="dxa"/>
          <w:right w:w="108" w:type="dxa"/>
        </w:tblCellMar>
        <w:tblLook w:firstRow="0" w:noVBand="0" w:lastRow="0" w:firstColumn="0" w:lastColumn="0" w:noHBand="0" w:val="0000"/>
      </w:tblPr>
      <w:tblGrid>
        <w:gridCol w:w="816"/>
        <w:gridCol w:w="4441"/>
        <w:gridCol w:w="4388"/>
      </w:tblGrid>
      <w:tr>
        <w:trPr>
          <w:trHeight w:val="530" w:hRule="atLeast"/>
        </w:trPr>
        <w:tc>
          <w:tcPr>
            <w:tcW w:w="81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sz w:val="27"/>
                <w:szCs w:val="27"/>
              </w:rPr>
            </w:pPr>
            <w:r>
              <w:rPr>
                <w:bCs/>
                <w:sz w:val="27"/>
                <w:szCs w:val="27"/>
              </w:rPr>
              <w:t xml:space="preserve">№    </w:t>
            </w:r>
            <w:r>
              <w:rPr>
                <w:bCs/>
                <w:sz w:val="27"/>
                <w:szCs w:val="27"/>
              </w:rPr>
              <w:t>з/п</w:t>
            </w:r>
          </w:p>
        </w:tc>
        <w:tc>
          <w:tcPr>
            <w:tcW w:w="444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sz w:val="27"/>
                <w:szCs w:val="27"/>
              </w:rPr>
            </w:pPr>
            <w:r>
              <w:rPr>
                <w:bCs/>
                <w:sz w:val="27"/>
                <w:szCs w:val="27"/>
              </w:rPr>
              <w:t>Найменування</w:t>
            </w:r>
          </w:p>
        </w:tc>
        <w:tc>
          <w:tcPr>
            <w:tcW w:w="438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sz w:val="27"/>
                <w:szCs w:val="27"/>
              </w:rPr>
            </w:pPr>
            <w:r>
              <w:rPr>
                <w:bCs/>
                <w:sz w:val="27"/>
                <w:szCs w:val="27"/>
              </w:rPr>
              <w:t>Ціна, грн</w:t>
            </w:r>
          </w:p>
        </w:tc>
      </w:tr>
      <w:tr>
        <w:trPr>
          <w:trHeight w:val="261" w:hRule="atLeast"/>
        </w:trPr>
        <w:tc>
          <w:tcPr>
            <w:tcW w:w="816" w:type="dxa"/>
            <w:tcBorders>
              <w:left w:val="single" w:sz="4" w:space="0" w:color="000000"/>
              <w:bottom w:val="single" w:sz="4" w:space="0" w:color="000000"/>
              <w:right w:val="single" w:sz="4" w:space="0" w:color="000000"/>
            </w:tcBorders>
            <w:shd w:color="auto" w:fill="auto" w:val="clear"/>
          </w:tcPr>
          <w:p>
            <w:pPr>
              <w:pStyle w:val="Normal"/>
              <w:widowControl w:val="false"/>
              <w:jc w:val="center"/>
              <w:rPr>
                <w:sz w:val="27"/>
                <w:szCs w:val="27"/>
              </w:rPr>
            </w:pPr>
            <w:r>
              <w:rPr>
                <w:bCs/>
                <w:sz w:val="27"/>
                <w:szCs w:val="27"/>
              </w:rPr>
              <w:t>1.</w:t>
            </w:r>
          </w:p>
        </w:tc>
        <w:tc>
          <w:tcPr>
            <w:tcW w:w="4441" w:type="dxa"/>
            <w:tcBorders>
              <w:left w:val="single" w:sz="4" w:space="0" w:color="000000"/>
              <w:bottom w:val="single" w:sz="4" w:space="0" w:color="000000"/>
              <w:right w:val="single" w:sz="4" w:space="0" w:color="000000"/>
            </w:tcBorders>
            <w:shd w:color="auto" w:fill="auto" w:val="clear"/>
          </w:tcPr>
          <w:p>
            <w:pPr>
              <w:pStyle w:val="Normal"/>
              <w:widowControl w:val="false"/>
              <w:rPr>
                <w:sz w:val="27"/>
                <w:szCs w:val="27"/>
              </w:rPr>
            </w:pPr>
            <w:r>
              <w:rPr>
                <w:bCs/>
                <w:sz w:val="27"/>
                <w:szCs w:val="27"/>
              </w:rPr>
              <w:t>Труна з оббивкою</w:t>
            </w:r>
          </w:p>
        </w:tc>
        <w:tc>
          <w:tcPr>
            <w:tcW w:w="4388" w:type="dxa"/>
            <w:tcBorders>
              <w:left w:val="single" w:sz="4" w:space="0" w:color="000000"/>
              <w:bottom w:val="single" w:sz="4" w:space="0" w:color="000000"/>
              <w:right w:val="single" w:sz="4" w:space="0" w:color="000000"/>
            </w:tcBorders>
            <w:shd w:color="auto" w:fill="auto" w:val="clear"/>
          </w:tcPr>
          <w:p>
            <w:pPr>
              <w:pStyle w:val="Normal"/>
              <w:widowControl w:val="false"/>
              <w:jc w:val="center"/>
              <w:rPr>
                <w:sz w:val="27"/>
                <w:szCs w:val="27"/>
              </w:rPr>
            </w:pPr>
            <w:r>
              <w:rPr>
                <w:bCs/>
                <w:sz w:val="27"/>
                <w:szCs w:val="27"/>
              </w:rPr>
              <w:t>1 500,00</w:t>
            </w:r>
          </w:p>
        </w:tc>
      </w:tr>
      <w:tr>
        <w:trPr>
          <w:trHeight w:val="160" w:hRule="atLeast"/>
        </w:trPr>
        <w:tc>
          <w:tcPr>
            <w:tcW w:w="816" w:type="dxa"/>
            <w:tcBorders>
              <w:left w:val="single" w:sz="4" w:space="0" w:color="000000"/>
              <w:bottom w:val="single" w:sz="4" w:space="0" w:color="000000"/>
              <w:right w:val="single" w:sz="4" w:space="0" w:color="000000"/>
            </w:tcBorders>
            <w:shd w:color="auto" w:fill="auto" w:val="clear"/>
          </w:tcPr>
          <w:p>
            <w:pPr>
              <w:pStyle w:val="Normal"/>
              <w:widowControl w:val="false"/>
              <w:jc w:val="center"/>
              <w:rPr>
                <w:sz w:val="27"/>
                <w:szCs w:val="27"/>
              </w:rPr>
            </w:pPr>
            <w:r>
              <w:rPr>
                <w:bCs/>
                <w:sz w:val="27"/>
                <w:szCs w:val="27"/>
              </w:rPr>
              <w:t>2.</w:t>
            </w:r>
          </w:p>
        </w:tc>
        <w:tc>
          <w:tcPr>
            <w:tcW w:w="4441" w:type="dxa"/>
            <w:tcBorders>
              <w:left w:val="single" w:sz="4" w:space="0" w:color="000000"/>
              <w:bottom w:val="single" w:sz="4" w:space="0" w:color="000000"/>
              <w:right w:val="single" w:sz="4" w:space="0" w:color="000000"/>
            </w:tcBorders>
            <w:shd w:color="auto" w:fill="auto" w:val="clear"/>
          </w:tcPr>
          <w:p>
            <w:pPr>
              <w:pStyle w:val="Normal"/>
              <w:widowControl w:val="false"/>
              <w:rPr>
                <w:sz w:val="27"/>
                <w:szCs w:val="27"/>
              </w:rPr>
            </w:pPr>
            <w:r>
              <w:rPr>
                <w:bCs/>
                <w:sz w:val="27"/>
                <w:szCs w:val="27"/>
              </w:rPr>
              <w:t>Могила</w:t>
            </w:r>
          </w:p>
        </w:tc>
        <w:tc>
          <w:tcPr>
            <w:tcW w:w="4388" w:type="dxa"/>
            <w:tcBorders>
              <w:left w:val="single" w:sz="4" w:space="0" w:color="000000"/>
              <w:bottom w:val="single" w:sz="4" w:space="0" w:color="000000"/>
              <w:right w:val="single" w:sz="4" w:space="0" w:color="000000"/>
            </w:tcBorders>
            <w:shd w:color="auto" w:fill="auto" w:val="clear"/>
          </w:tcPr>
          <w:p>
            <w:pPr>
              <w:pStyle w:val="Normal"/>
              <w:widowControl w:val="false"/>
              <w:jc w:val="center"/>
              <w:rPr>
                <w:sz w:val="27"/>
                <w:szCs w:val="27"/>
              </w:rPr>
            </w:pPr>
            <w:r>
              <w:rPr>
                <w:bCs/>
                <w:sz w:val="27"/>
                <w:szCs w:val="27"/>
              </w:rPr>
              <w:t>567,00</w:t>
            </w:r>
          </w:p>
        </w:tc>
      </w:tr>
      <w:tr>
        <w:trPr>
          <w:trHeight w:val="224" w:hRule="atLeast"/>
        </w:trPr>
        <w:tc>
          <w:tcPr>
            <w:tcW w:w="81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sz w:val="27"/>
                <w:szCs w:val="27"/>
              </w:rPr>
            </w:pPr>
            <w:r>
              <w:rPr>
                <w:bCs/>
                <w:sz w:val="27"/>
                <w:szCs w:val="27"/>
              </w:rPr>
              <w:t>3.</w:t>
            </w:r>
          </w:p>
        </w:tc>
        <w:tc>
          <w:tcPr>
            <w:tcW w:w="444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sz w:val="27"/>
                <w:szCs w:val="27"/>
              </w:rPr>
            </w:pPr>
            <w:r>
              <w:rPr>
                <w:bCs/>
                <w:sz w:val="27"/>
                <w:szCs w:val="27"/>
              </w:rPr>
              <w:t>Катафалк</w:t>
            </w:r>
          </w:p>
        </w:tc>
        <w:tc>
          <w:tcPr>
            <w:tcW w:w="438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sz w:val="27"/>
                <w:szCs w:val="27"/>
              </w:rPr>
            </w:pPr>
            <w:r>
              <w:rPr>
                <w:bCs/>
                <w:sz w:val="27"/>
                <w:szCs w:val="27"/>
              </w:rPr>
              <w:t>900,00</w:t>
            </w:r>
          </w:p>
        </w:tc>
      </w:tr>
      <w:tr>
        <w:trPr>
          <w:trHeight w:val="224" w:hRule="atLeast"/>
        </w:trPr>
        <w:tc>
          <w:tcPr>
            <w:tcW w:w="81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sz w:val="27"/>
                <w:szCs w:val="27"/>
              </w:rPr>
            </w:pPr>
            <w:r>
              <w:rPr>
                <w:bCs/>
                <w:sz w:val="27"/>
                <w:szCs w:val="27"/>
              </w:rPr>
              <w:t>4.</w:t>
            </w:r>
          </w:p>
        </w:tc>
        <w:tc>
          <w:tcPr>
            <w:tcW w:w="444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sz w:val="27"/>
                <w:szCs w:val="27"/>
              </w:rPr>
            </w:pPr>
            <w:r>
              <w:rPr>
                <w:bCs/>
                <w:sz w:val="27"/>
                <w:szCs w:val="27"/>
              </w:rPr>
              <w:t>Хрест з табличкою і написом</w:t>
            </w:r>
          </w:p>
        </w:tc>
        <w:tc>
          <w:tcPr>
            <w:tcW w:w="438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sz w:val="27"/>
                <w:szCs w:val="27"/>
              </w:rPr>
            </w:pPr>
            <w:r>
              <w:rPr>
                <w:bCs/>
                <w:sz w:val="27"/>
                <w:szCs w:val="27"/>
              </w:rPr>
              <w:t>510,00</w:t>
            </w:r>
          </w:p>
        </w:tc>
      </w:tr>
      <w:tr>
        <w:trPr>
          <w:trHeight w:val="224" w:hRule="atLeast"/>
        </w:trPr>
        <w:tc>
          <w:tcPr>
            <w:tcW w:w="81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jc w:val="center"/>
              <w:rPr>
                <w:bCs/>
                <w:sz w:val="27"/>
                <w:szCs w:val="27"/>
              </w:rPr>
            </w:pPr>
            <w:r>
              <w:rPr>
                <w:bCs/>
                <w:sz w:val="27"/>
                <w:szCs w:val="27"/>
              </w:rPr>
            </w:r>
          </w:p>
        </w:tc>
        <w:tc>
          <w:tcPr>
            <w:tcW w:w="444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pPr>
            <w:r>
              <w:rPr>
                <w:bCs/>
                <w:sz w:val="27"/>
                <w:szCs w:val="27"/>
              </w:rPr>
              <w:t>Разом:</w:t>
            </w:r>
          </w:p>
        </w:tc>
        <w:tc>
          <w:tcPr>
            <w:tcW w:w="438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sz w:val="27"/>
                <w:szCs w:val="27"/>
              </w:rPr>
            </w:pPr>
            <w:r>
              <w:rPr>
                <w:bCs/>
                <w:sz w:val="27"/>
                <w:szCs w:val="27"/>
              </w:rPr>
              <w:t>3 477,00</w:t>
            </w:r>
          </w:p>
        </w:tc>
      </w:tr>
    </w:tbl>
    <w:p>
      <w:pPr>
        <w:pStyle w:val="Normal"/>
        <w:ind w:firstLine="567"/>
        <w:jc w:val="both"/>
        <w:rPr/>
      </w:pPr>
      <w:r>
        <w:rPr/>
      </w:r>
    </w:p>
    <w:p>
      <w:pPr>
        <w:pStyle w:val="Normal"/>
        <w:ind w:firstLine="567"/>
        <w:jc w:val="both"/>
        <w:rPr/>
      </w:pPr>
      <w:r>
        <w:rPr>
          <w:sz w:val="28"/>
          <w:szCs w:val="28"/>
        </w:rPr>
        <w:t>Мінімальна вартість проведення процедури поховання становить 3 477,00 гривень.</w:t>
      </w:r>
    </w:p>
    <w:p>
      <w:pPr>
        <w:pStyle w:val="Normal"/>
        <w:ind w:firstLine="567"/>
        <w:jc w:val="both"/>
        <w:rPr/>
      </w:pPr>
      <w:r>
        <w:rPr/>
      </w:r>
    </w:p>
    <w:p>
      <w:pPr>
        <w:pStyle w:val="Normal"/>
        <w:ind w:firstLine="567"/>
        <w:jc w:val="both"/>
        <w:rPr/>
      </w:pPr>
      <w:r>
        <w:rPr>
          <w:rFonts w:eastAsia="Courier New"/>
          <w:b/>
          <w:bCs/>
          <w:sz w:val="28"/>
          <w:szCs w:val="28"/>
        </w:rPr>
        <w:t>Доходи підприємства.</w:t>
      </w:r>
    </w:p>
    <w:p>
      <w:pPr>
        <w:pStyle w:val="Normal"/>
        <w:ind w:firstLine="567"/>
        <w:jc w:val="both"/>
        <w:rPr>
          <w:sz w:val="28"/>
          <w:szCs w:val="28"/>
        </w:rPr>
      </w:pPr>
      <w:r>
        <w:rPr>
          <w:rFonts w:eastAsia="Courier New"/>
          <w:bCs/>
          <w:sz w:val="28"/>
          <w:szCs w:val="28"/>
        </w:rPr>
        <w:t>Доходи</w:t>
      </w:r>
      <w:r>
        <w:rPr>
          <w:rFonts w:eastAsia="Courier New"/>
          <w:sz w:val="28"/>
          <w:szCs w:val="28"/>
        </w:rPr>
        <w:t xml:space="preserve"> від</w:t>
      </w:r>
      <w:r>
        <w:rPr>
          <w:sz w:val="28"/>
          <w:szCs w:val="28"/>
        </w:rPr>
        <w:t xml:space="preserve"> діяльності підприємства за 9 місяців 2021 року склали 11 463,0 тис. грн, що на 1 617,0 тис. грн більше, ніж у відповідному періоді минулого року (9 846,0 тис. грн). </w:t>
      </w:r>
    </w:p>
    <w:p>
      <w:pPr>
        <w:pStyle w:val="Normal"/>
        <w:ind w:firstLine="567"/>
        <w:jc w:val="both"/>
        <w:rPr/>
      </w:pPr>
      <w:r>
        <w:rPr>
          <w:sz w:val="28"/>
          <w:szCs w:val="28"/>
        </w:rPr>
        <w:t xml:space="preserve">За результатами фінансово-господарської діяльності за 9 місяців 2021 року підприємство отримало </w:t>
      </w:r>
      <w:r>
        <w:rPr>
          <w:sz w:val="28"/>
          <w:szCs w:val="28"/>
        </w:rPr>
        <w:t xml:space="preserve">збиток </w:t>
      </w:r>
      <w:r>
        <w:rPr>
          <w:bCs/>
          <w:sz w:val="28"/>
          <w:szCs w:val="28"/>
        </w:rPr>
        <w:t xml:space="preserve">у сумі 499,0 тис. грн. </w:t>
      </w:r>
      <w:r>
        <w:rPr>
          <w:sz w:val="28"/>
          <w:szCs w:val="28"/>
        </w:rPr>
        <w:t xml:space="preserve">Дохід підприємства складався з надання ритуальних послуг для юридичних осіб, для населення, дохід від здачі приміщення в оренду, цільового фінансування </w:t>
      </w:r>
      <w:r>
        <w:rPr>
          <w:color w:val="000000"/>
          <w:sz w:val="28"/>
          <w:szCs w:val="28"/>
        </w:rPr>
        <w:t>з бюджету міської територіальної громади, згідно з цільовою Програмою (порівняльні показни</w:t>
      </w:r>
      <w:r>
        <w:rPr>
          <w:sz w:val="28"/>
          <w:szCs w:val="28"/>
        </w:rPr>
        <w:t>ки доходів підприємства за 9 місяців 2020 року та 9 місяців 2021 року наведено у таблиці).</w:t>
      </w:r>
    </w:p>
    <w:p>
      <w:pPr>
        <w:pStyle w:val="Normal"/>
        <w:ind w:firstLine="567"/>
        <w:jc w:val="center"/>
        <w:rPr/>
      </w:pPr>
      <w:r>
        <w:rPr/>
        <w:t xml:space="preserve">                                                                                                                                                      </w:t>
      </w:r>
      <w:r>
        <w:rPr>
          <w:b/>
          <w:bCs/>
          <w:sz w:val="27"/>
          <w:szCs w:val="27"/>
        </w:rPr>
        <w:t xml:space="preserve">Структура доходів </w:t>
      </w:r>
    </w:p>
    <w:p>
      <w:pPr>
        <w:pStyle w:val="Normal"/>
        <w:ind w:firstLine="540"/>
        <w:jc w:val="both"/>
        <w:rPr/>
      </w:pPr>
      <w:r>
        <w:rPr/>
      </w:r>
    </w:p>
    <w:tbl>
      <w:tblPr>
        <w:tblW w:w="9645" w:type="dxa"/>
        <w:jc w:val="left"/>
        <w:tblInd w:w="-5" w:type="dxa"/>
        <w:tblCellMar>
          <w:top w:w="0" w:type="dxa"/>
          <w:left w:w="108" w:type="dxa"/>
          <w:bottom w:w="0" w:type="dxa"/>
          <w:right w:w="108" w:type="dxa"/>
        </w:tblCellMar>
        <w:tblLook w:firstRow="0" w:noVBand="0" w:lastRow="0" w:firstColumn="0" w:lastColumn="0" w:noHBand="0" w:val="0000"/>
      </w:tblPr>
      <w:tblGrid>
        <w:gridCol w:w="4754"/>
        <w:gridCol w:w="2161"/>
        <w:gridCol w:w="2730"/>
      </w:tblGrid>
      <w:tr>
        <w:trPr>
          <w:trHeight w:val="534" w:hRule="atLeast"/>
        </w:trPr>
        <w:tc>
          <w:tcPr>
            <w:tcW w:w="4754" w:type="dxa"/>
            <w:tcBorders>
              <w:top w:val="single" w:sz="4" w:space="0" w:color="000000"/>
              <w:left w:val="single" w:sz="4" w:space="0" w:color="000000"/>
              <w:bottom w:val="single" w:sz="4" w:space="0" w:color="000000"/>
              <w:right w:val="single" w:sz="4" w:space="0" w:color="000000"/>
            </w:tcBorders>
            <w:shd w:color="auto" w:fill="FFFFFF" w:val="clear"/>
            <w:vAlign w:val="center"/>
          </w:tcPr>
          <w:p>
            <w:pPr>
              <w:pStyle w:val="Normal"/>
              <w:widowControl w:val="false"/>
              <w:ind w:firstLine="1080"/>
              <w:jc w:val="center"/>
              <w:rPr>
                <w:sz w:val="27"/>
                <w:szCs w:val="27"/>
              </w:rPr>
            </w:pPr>
            <w:r>
              <w:rPr>
                <w:b/>
                <w:bCs/>
                <w:sz w:val="27"/>
                <w:szCs w:val="27"/>
              </w:rPr>
              <w:t xml:space="preserve">Найменування </w:t>
            </w:r>
          </w:p>
        </w:tc>
        <w:tc>
          <w:tcPr>
            <w:tcW w:w="2161" w:type="dxa"/>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ind w:left="-71" w:right="-110" w:hanging="0"/>
              <w:jc w:val="center"/>
              <w:rPr>
                <w:sz w:val="27"/>
                <w:szCs w:val="27"/>
              </w:rPr>
            </w:pPr>
            <w:r>
              <w:rPr>
                <w:b/>
                <w:sz w:val="27"/>
                <w:szCs w:val="27"/>
              </w:rPr>
              <w:t>9 місяців 2020 р.</w:t>
            </w:r>
          </w:p>
          <w:p>
            <w:pPr>
              <w:pStyle w:val="Normal"/>
              <w:widowControl w:val="false"/>
              <w:jc w:val="center"/>
              <w:rPr>
                <w:sz w:val="27"/>
                <w:szCs w:val="27"/>
              </w:rPr>
            </w:pPr>
            <w:r>
              <w:rPr>
                <w:b/>
                <w:sz w:val="27"/>
                <w:szCs w:val="27"/>
              </w:rPr>
              <w:t>тис. грн</w:t>
            </w:r>
          </w:p>
        </w:tc>
        <w:tc>
          <w:tcPr>
            <w:tcW w:w="2730" w:type="dxa"/>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jc w:val="center"/>
              <w:rPr>
                <w:sz w:val="27"/>
                <w:szCs w:val="27"/>
              </w:rPr>
            </w:pPr>
            <w:r>
              <w:rPr>
                <w:b/>
                <w:sz w:val="27"/>
                <w:szCs w:val="27"/>
              </w:rPr>
              <w:t>9 місяців 2021 р.</w:t>
            </w:r>
          </w:p>
          <w:p>
            <w:pPr>
              <w:pStyle w:val="Normal"/>
              <w:widowControl w:val="false"/>
              <w:jc w:val="center"/>
              <w:rPr>
                <w:sz w:val="27"/>
                <w:szCs w:val="27"/>
              </w:rPr>
            </w:pPr>
            <w:r>
              <w:rPr>
                <w:b/>
                <w:sz w:val="27"/>
                <w:szCs w:val="27"/>
              </w:rPr>
              <w:t>тис. грн</w:t>
            </w:r>
          </w:p>
        </w:tc>
      </w:tr>
      <w:tr>
        <w:trPr>
          <w:trHeight w:val="733" w:hRule="exact"/>
        </w:trPr>
        <w:tc>
          <w:tcPr>
            <w:tcW w:w="4754" w:type="dxa"/>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jc w:val="both"/>
              <w:rPr>
                <w:sz w:val="27"/>
                <w:szCs w:val="27"/>
              </w:rPr>
            </w:pPr>
            <w:r>
              <w:rPr>
                <w:sz w:val="27"/>
                <w:szCs w:val="27"/>
              </w:rPr>
              <w:t>Надання ритуальних послуг для населення</w:t>
            </w:r>
          </w:p>
        </w:tc>
        <w:tc>
          <w:tcPr>
            <w:tcW w:w="216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right"/>
              <w:rPr>
                <w:sz w:val="27"/>
                <w:szCs w:val="27"/>
              </w:rPr>
            </w:pPr>
            <w:r>
              <w:rPr>
                <w:sz w:val="27"/>
                <w:szCs w:val="27"/>
              </w:rPr>
            </w:r>
          </w:p>
          <w:p>
            <w:pPr>
              <w:pStyle w:val="Normal"/>
              <w:widowControl w:val="false"/>
              <w:jc w:val="right"/>
              <w:rPr>
                <w:sz w:val="27"/>
                <w:szCs w:val="27"/>
              </w:rPr>
            </w:pPr>
            <w:r>
              <w:rPr>
                <w:bCs/>
                <w:sz w:val="27"/>
                <w:szCs w:val="27"/>
              </w:rPr>
              <w:t>5 177,0</w:t>
            </w:r>
          </w:p>
          <w:p>
            <w:pPr>
              <w:pStyle w:val="Normal"/>
              <w:widowControl w:val="false"/>
              <w:jc w:val="right"/>
              <w:rPr>
                <w:bCs/>
              </w:rPr>
            </w:pPr>
            <w:r>
              <w:rPr>
                <w:bCs/>
              </w:rPr>
            </w:r>
          </w:p>
        </w:tc>
        <w:tc>
          <w:tcPr>
            <w:tcW w:w="27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right"/>
              <w:rPr>
                <w:bCs/>
                <w:sz w:val="27"/>
                <w:szCs w:val="27"/>
              </w:rPr>
            </w:pPr>
            <w:r>
              <w:rPr>
                <w:bCs/>
                <w:sz w:val="27"/>
                <w:szCs w:val="27"/>
              </w:rPr>
              <w:t>5 724,0</w:t>
            </w:r>
          </w:p>
        </w:tc>
      </w:tr>
      <w:tr>
        <w:trPr>
          <w:trHeight w:val="484" w:hRule="atLeast"/>
        </w:trPr>
        <w:tc>
          <w:tcPr>
            <w:tcW w:w="4754"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both"/>
              <w:rPr>
                <w:sz w:val="27"/>
                <w:szCs w:val="27"/>
              </w:rPr>
            </w:pPr>
            <w:r>
              <w:rPr>
                <w:sz w:val="27"/>
                <w:szCs w:val="27"/>
              </w:rPr>
              <w:t>Надання ритуальних послуг для юридичних осіб</w:t>
            </w:r>
          </w:p>
        </w:tc>
        <w:tc>
          <w:tcPr>
            <w:tcW w:w="216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right"/>
              <w:rPr>
                <w:sz w:val="27"/>
                <w:szCs w:val="27"/>
              </w:rPr>
            </w:pPr>
            <w:r>
              <w:rPr>
                <w:sz w:val="27"/>
                <w:szCs w:val="27"/>
              </w:rPr>
            </w:r>
          </w:p>
          <w:p>
            <w:pPr>
              <w:pStyle w:val="Normal"/>
              <w:widowControl w:val="false"/>
              <w:jc w:val="right"/>
              <w:rPr>
                <w:sz w:val="27"/>
                <w:szCs w:val="27"/>
              </w:rPr>
            </w:pPr>
            <w:r>
              <w:rPr>
                <w:sz w:val="27"/>
                <w:szCs w:val="27"/>
              </w:rPr>
              <w:t>312,0</w:t>
            </w:r>
          </w:p>
        </w:tc>
        <w:tc>
          <w:tcPr>
            <w:tcW w:w="27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ind w:firstLine="288"/>
              <w:jc w:val="right"/>
              <w:rPr>
                <w:sz w:val="27"/>
                <w:szCs w:val="27"/>
              </w:rPr>
            </w:pPr>
            <w:r>
              <w:rPr>
                <w:sz w:val="27"/>
                <w:szCs w:val="27"/>
              </w:rPr>
            </w:r>
          </w:p>
          <w:p>
            <w:pPr>
              <w:pStyle w:val="Normal"/>
              <w:widowControl w:val="false"/>
              <w:jc w:val="right"/>
              <w:rPr>
                <w:sz w:val="27"/>
                <w:szCs w:val="27"/>
              </w:rPr>
            </w:pPr>
            <w:r>
              <w:rPr>
                <w:sz w:val="27"/>
                <w:szCs w:val="27"/>
              </w:rPr>
              <w:t>222,0</w:t>
            </w:r>
          </w:p>
        </w:tc>
      </w:tr>
      <w:tr>
        <w:trPr>
          <w:trHeight w:val="534" w:hRule="atLeast"/>
        </w:trPr>
        <w:tc>
          <w:tcPr>
            <w:tcW w:w="4754"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both"/>
              <w:rPr>
                <w:sz w:val="27"/>
                <w:szCs w:val="27"/>
              </w:rPr>
            </w:pPr>
            <w:r>
              <w:rPr>
                <w:sz w:val="27"/>
                <w:szCs w:val="27"/>
              </w:rPr>
              <w:t>Надання послуг:</w:t>
            </w:r>
          </w:p>
          <w:p>
            <w:pPr>
              <w:pStyle w:val="Normal"/>
              <w:widowControl w:val="false"/>
              <w:jc w:val="both"/>
              <w:rPr>
                <w:sz w:val="27"/>
                <w:szCs w:val="27"/>
              </w:rPr>
            </w:pPr>
            <w:r>
              <w:rPr>
                <w:sz w:val="27"/>
                <w:szCs w:val="27"/>
              </w:rPr>
              <w:t>- поховання одиноких громадян                                 - видалення аварійних дерев</w:t>
            </w:r>
            <w:r>
              <w:rPr>
                <w:i/>
                <w:iCs/>
                <w:sz w:val="27"/>
                <w:szCs w:val="27"/>
              </w:rPr>
              <w:t xml:space="preserve"> </w:t>
            </w:r>
          </w:p>
          <w:p>
            <w:pPr>
              <w:pStyle w:val="Normal"/>
              <w:widowControl w:val="false"/>
              <w:jc w:val="both"/>
              <w:rPr/>
            </w:pPr>
            <w:r>
              <w:rPr>
                <w:sz w:val="27"/>
                <w:szCs w:val="27"/>
              </w:rPr>
              <w:t xml:space="preserve">- поточний ремонт доріг                                                                               </w:t>
            </w:r>
            <w:r>
              <w:rPr>
                <w:i/>
                <w:iCs/>
                <w:sz w:val="27"/>
                <w:szCs w:val="27"/>
              </w:rPr>
              <w:t xml:space="preserve"> </w:t>
            </w:r>
            <w:r>
              <w:rPr>
                <w:iCs/>
                <w:sz w:val="27"/>
                <w:szCs w:val="27"/>
              </w:rPr>
              <w:t xml:space="preserve">(фінансування з </w:t>
            </w:r>
            <w:r>
              <w:rPr>
                <w:iCs/>
                <w:color w:val="000000"/>
                <w:sz w:val="27"/>
                <w:szCs w:val="27"/>
              </w:rPr>
              <w:t>бюджету міської територіальної громади)</w:t>
            </w:r>
          </w:p>
        </w:tc>
        <w:tc>
          <w:tcPr>
            <w:tcW w:w="2161" w:type="dxa"/>
            <w:tcBorders>
              <w:left w:val="single" w:sz="4" w:space="0" w:color="000000"/>
              <w:bottom w:val="single" w:sz="4" w:space="0" w:color="000000"/>
              <w:right w:val="single" w:sz="4" w:space="0" w:color="000000"/>
            </w:tcBorders>
            <w:shd w:color="auto" w:fill="auto" w:val="clear"/>
            <w:vAlign w:val="center"/>
          </w:tcPr>
          <w:p>
            <w:pPr>
              <w:pStyle w:val="Normal"/>
              <w:widowControl w:val="false"/>
              <w:jc w:val="right"/>
              <w:rPr>
                <w:sz w:val="27"/>
                <w:szCs w:val="27"/>
              </w:rPr>
            </w:pPr>
            <w:r>
              <w:rPr>
                <w:sz w:val="27"/>
                <w:szCs w:val="27"/>
              </w:rPr>
            </w:r>
          </w:p>
          <w:p>
            <w:pPr>
              <w:pStyle w:val="Normal"/>
              <w:widowControl w:val="false"/>
              <w:jc w:val="right"/>
              <w:rPr>
                <w:sz w:val="27"/>
                <w:szCs w:val="27"/>
              </w:rPr>
            </w:pPr>
            <w:r>
              <w:rPr>
                <w:sz w:val="27"/>
                <w:szCs w:val="27"/>
              </w:rPr>
              <w:t>532,0</w:t>
            </w:r>
          </w:p>
        </w:tc>
        <w:tc>
          <w:tcPr>
            <w:tcW w:w="27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ind w:firstLine="288"/>
              <w:jc w:val="right"/>
              <w:rPr>
                <w:sz w:val="27"/>
                <w:szCs w:val="27"/>
              </w:rPr>
            </w:pPr>
            <w:r>
              <w:rPr>
                <w:sz w:val="27"/>
                <w:szCs w:val="27"/>
              </w:rPr>
            </w:r>
          </w:p>
          <w:p>
            <w:pPr>
              <w:pStyle w:val="Normal"/>
              <w:widowControl w:val="false"/>
              <w:jc w:val="right"/>
              <w:rPr>
                <w:sz w:val="27"/>
                <w:szCs w:val="27"/>
              </w:rPr>
            </w:pPr>
            <w:r>
              <w:rPr>
                <w:sz w:val="27"/>
                <w:szCs w:val="27"/>
              </w:rPr>
              <w:t>270,0</w:t>
            </w:r>
          </w:p>
        </w:tc>
      </w:tr>
      <w:tr>
        <w:trPr>
          <w:trHeight w:val="1088" w:hRule="atLeast"/>
        </w:trPr>
        <w:tc>
          <w:tcPr>
            <w:tcW w:w="4754"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both"/>
              <w:rPr>
                <w:sz w:val="27"/>
                <w:szCs w:val="27"/>
              </w:rPr>
            </w:pPr>
            <w:r>
              <w:rPr>
                <w:sz w:val="27"/>
                <w:szCs w:val="27"/>
              </w:rPr>
              <w:t>Цільове ф</w:t>
            </w:r>
            <w:r>
              <w:rPr>
                <w:iCs/>
                <w:sz w:val="27"/>
                <w:szCs w:val="27"/>
              </w:rPr>
              <w:t xml:space="preserve">інансування з бюджету міста, згідно Програми </w:t>
            </w:r>
            <w:r>
              <w:rPr>
                <w:sz w:val="27"/>
                <w:szCs w:val="27"/>
              </w:rPr>
              <w:t>(утримання кладовищ і меморіальних комплексів, ч</w:t>
            </w:r>
            <w:r>
              <w:rPr>
                <w:color w:val="000000"/>
                <w:sz w:val="27"/>
                <w:szCs w:val="27"/>
              </w:rPr>
              <w:t>ергування авто катафалка</w:t>
            </w:r>
            <w:r>
              <w:rPr>
                <w:sz w:val="27"/>
                <w:szCs w:val="27"/>
              </w:rPr>
              <w:t xml:space="preserve">)                                                                              </w:t>
            </w:r>
            <w:r>
              <w:rPr>
                <w:i/>
                <w:iCs/>
                <w:sz w:val="27"/>
                <w:szCs w:val="27"/>
              </w:rPr>
              <w:t xml:space="preserve"> </w:t>
            </w:r>
          </w:p>
        </w:tc>
        <w:tc>
          <w:tcPr>
            <w:tcW w:w="2161" w:type="dxa"/>
            <w:tcBorders>
              <w:left w:val="single" w:sz="4" w:space="0" w:color="000000"/>
              <w:bottom w:val="single" w:sz="4" w:space="0" w:color="000000"/>
              <w:right w:val="single" w:sz="4" w:space="0" w:color="000000"/>
            </w:tcBorders>
            <w:shd w:color="auto" w:fill="auto" w:val="clear"/>
            <w:vAlign w:val="center"/>
          </w:tcPr>
          <w:p>
            <w:pPr>
              <w:pStyle w:val="Normal"/>
              <w:widowControl w:val="false"/>
              <w:jc w:val="right"/>
              <w:rPr>
                <w:sz w:val="27"/>
                <w:szCs w:val="27"/>
              </w:rPr>
            </w:pPr>
            <w:r>
              <w:rPr>
                <w:sz w:val="27"/>
                <w:szCs w:val="27"/>
              </w:rPr>
              <w:t>3 843,0</w:t>
            </w:r>
          </w:p>
        </w:tc>
        <w:tc>
          <w:tcPr>
            <w:tcW w:w="27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right"/>
              <w:rPr>
                <w:sz w:val="27"/>
                <w:szCs w:val="27"/>
              </w:rPr>
            </w:pPr>
            <w:r>
              <w:rPr>
                <w:sz w:val="27"/>
                <w:szCs w:val="27"/>
              </w:rPr>
              <w:t>5 110,0</w:t>
            </w:r>
          </w:p>
        </w:tc>
      </w:tr>
      <w:tr>
        <w:trPr>
          <w:trHeight w:val="414" w:hRule="atLeast"/>
        </w:trPr>
        <w:tc>
          <w:tcPr>
            <w:tcW w:w="4754" w:type="dxa"/>
            <w:tcBorders>
              <w:left w:val="single" w:sz="4" w:space="0" w:color="000000"/>
              <w:bottom w:val="single" w:sz="4" w:space="0" w:color="000000"/>
              <w:right w:val="single" w:sz="4" w:space="0" w:color="000000"/>
            </w:tcBorders>
            <w:shd w:color="auto" w:fill="auto" w:val="clear"/>
            <w:vAlign w:val="bottom"/>
          </w:tcPr>
          <w:p>
            <w:pPr>
              <w:pStyle w:val="Normal"/>
              <w:widowControl w:val="false"/>
              <w:jc w:val="both"/>
              <w:rPr>
                <w:iCs/>
              </w:rPr>
            </w:pPr>
            <w:r>
              <w:rPr>
                <w:iCs/>
                <w:sz w:val="27"/>
                <w:szCs w:val="27"/>
              </w:rPr>
              <w:t>Дохід від здачі приміщення в оренду</w:t>
            </w:r>
          </w:p>
        </w:tc>
        <w:tc>
          <w:tcPr>
            <w:tcW w:w="2161" w:type="dxa"/>
            <w:tcBorders>
              <w:left w:val="single" w:sz="4" w:space="0" w:color="000000"/>
              <w:bottom w:val="single" w:sz="4" w:space="0" w:color="000000"/>
              <w:right w:val="single" w:sz="4" w:space="0" w:color="000000"/>
            </w:tcBorders>
            <w:shd w:color="auto" w:fill="auto" w:val="clear"/>
            <w:vAlign w:val="center"/>
          </w:tcPr>
          <w:p>
            <w:pPr>
              <w:pStyle w:val="Normal"/>
              <w:widowControl w:val="false"/>
              <w:jc w:val="right"/>
              <w:rPr>
                <w:sz w:val="27"/>
                <w:szCs w:val="27"/>
              </w:rPr>
            </w:pPr>
            <w:r>
              <w:rPr>
                <w:sz w:val="27"/>
                <w:szCs w:val="27"/>
              </w:rPr>
              <w:t>87,0</w:t>
            </w:r>
          </w:p>
        </w:tc>
        <w:tc>
          <w:tcPr>
            <w:tcW w:w="27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right"/>
              <w:rPr>
                <w:sz w:val="27"/>
                <w:szCs w:val="27"/>
              </w:rPr>
            </w:pPr>
            <w:r>
              <w:rPr>
                <w:sz w:val="27"/>
                <w:szCs w:val="27"/>
              </w:rPr>
              <w:t>156,0</w:t>
            </w:r>
          </w:p>
        </w:tc>
      </w:tr>
      <w:tr>
        <w:trPr>
          <w:trHeight w:val="732" w:hRule="exact"/>
        </w:trPr>
        <w:tc>
          <w:tcPr>
            <w:tcW w:w="4754" w:type="dxa"/>
            <w:tcBorders>
              <w:left w:val="single" w:sz="4" w:space="0" w:color="000000"/>
              <w:bottom w:val="single" w:sz="4" w:space="0" w:color="000000"/>
              <w:right w:val="single" w:sz="4" w:space="0" w:color="000000"/>
            </w:tcBorders>
            <w:shd w:color="auto" w:fill="FFFFFF" w:val="clear"/>
            <w:vAlign w:val="bottom"/>
          </w:tcPr>
          <w:p>
            <w:pPr>
              <w:pStyle w:val="Normal"/>
              <w:widowControl w:val="false"/>
              <w:jc w:val="both"/>
              <w:rPr/>
            </w:pPr>
            <w:r>
              <w:rPr>
                <w:sz w:val="27"/>
                <w:szCs w:val="27"/>
              </w:rPr>
              <w:t>Дохід на суму амортизації від безкош. отриманих основних засобів</w:t>
            </w:r>
          </w:p>
        </w:tc>
        <w:tc>
          <w:tcPr>
            <w:tcW w:w="2161" w:type="dxa"/>
            <w:tcBorders>
              <w:left w:val="single" w:sz="4" w:space="0" w:color="000000"/>
              <w:bottom w:val="single" w:sz="4" w:space="0" w:color="000000"/>
              <w:right w:val="single" w:sz="4" w:space="0" w:color="000000"/>
            </w:tcBorders>
            <w:shd w:color="auto" w:fill="auto" w:val="clear"/>
            <w:vAlign w:val="center"/>
          </w:tcPr>
          <w:p>
            <w:pPr>
              <w:pStyle w:val="Normal"/>
              <w:widowControl w:val="false"/>
              <w:jc w:val="right"/>
              <w:rPr>
                <w:bCs/>
                <w:sz w:val="26"/>
                <w:szCs w:val="26"/>
              </w:rPr>
            </w:pPr>
            <w:r>
              <w:rPr>
                <w:bCs/>
                <w:sz w:val="26"/>
                <w:szCs w:val="26"/>
              </w:rPr>
            </w:r>
          </w:p>
        </w:tc>
        <w:tc>
          <w:tcPr>
            <w:tcW w:w="27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right"/>
              <w:rPr>
                <w:sz w:val="27"/>
                <w:szCs w:val="27"/>
              </w:rPr>
            </w:pPr>
            <w:r>
              <w:rPr>
                <w:bCs/>
                <w:sz w:val="27"/>
                <w:szCs w:val="27"/>
              </w:rPr>
              <w:t>358,0</w:t>
            </w:r>
          </w:p>
        </w:tc>
      </w:tr>
      <w:tr>
        <w:trPr>
          <w:trHeight w:val="454" w:hRule="exact"/>
        </w:trPr>
        <w:tc>
          <w:tcPr>
            <w:tcW w:w="4754" w:type="dxa"/>
            <w:tcBorders>
              <w:left w:val="single" w:sz="4" w:space="0" w:color="000000"/>
              <w:bottom w:val="single" w:sz="4" w:space="0" w:color="000000"/>
              <w:right w:val="single" w:sz="4" w:space="0" w:color="000000"/>
            </w:tcBorders>
            <w:shd w:color="auto" w:fill="FFFFFF" w:val="clear"/>
            <w:vAlign w:val="bottom"/>
          </w:tcPr>
          <w:p>
            <w:pPr>
              <w:pStyle w:val="Normal"/>
              <w:widowControl w:val="false"/>
              <w:jc w:val="both"/>
              <w:rPr/>
            </w:pPr>
            <w:r>
              <w:rPr>
                <w:sz w:val="27"/>
                <w:szCs w:val="27"/>
              </w:rPr>
              <w:t xml:space="preserve">Страхове відшкодування                                                                  </w:t>
            </w:r>
          </w:p>
        </w:tc>
        <w:tc>
          <w:tcPr>
            <w:tcW w:w="2161" w:type="dxa"/>
            <w:tcBorders>
              <w:left w:val="single" w:sz="4" w:space="0" w:color="000000"/>
              <w:bottom w:val="single" w:sz="4" w:space="0" w:color="000000"/>
              <w:right w:val="single" w:sz="4" w:space="0" w:color="000000"/>
            </w:tcBorders>
            <w:shd w:color="auto" w:fill="auto" w:val="clear"/>
            <w:vAlign w:val="center"/>
          </w:tcPr>
          <w:p>
            <w:pPr>
              <w:pStyle w:val="Normal"/>
              <w:widowControl w:val="false"/>
              <w:jc w:val="right"/>
              <w:rPr>
                <w:bCs/>
                <w:sz w:val="27"/>
                <w:szCs w:val="27"/>
              </w:rPr>
            </w:pPr>
            <w:r>
              <w:rPr>
                <w:bCs/>
                <w:sz w:val="27"/>
                <w:szCs w:val="27"/>
              </w:rPr>
              <w:t>2,0</w:t>
            </w:r>
          </w:p>
        </w:tc>
        <w:tc>
          <w:tcPr>
            <w:tcW w:w="27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napToGrid w:val="false"/>
              <w:jc w:val="right"/>
              <w:rPr>
                <w:bCs/>
                <w:sz w:val="27"/>
                <w:szCs w:val="27"/>
              </w:rPr>
            </w:pPr>
            <w:r>
              <w:rPr>
                <w:bCs/>
                <w:sz w:val="27"/>
                <w:szCs w:val="27"/>
              </w:rPr>
            </w:r>
          </w:p>
        </w:tc>
      </w:tr>
      <w:tr>
        <w:trPr>
          <w:trHeight w:val="735" w:hRule="exact"/>
        </w:trPr>
        <w:tc>
          <w:tcPr>
            <w:tcW w:w="4754" w:type="dxa"/>
            <w:tcBorders>
              <w:left w:val="single" w:sz="4" w:space="0" w:color="000000"/>
              <w:bottom w:val="single" w:sz="4" w:space="0" w:color="000000"/>
              <w:right w:val="single" w:sz="4" w:space="0" w:color="000000"/>
            </w:tcBorders>
            <w:shd w:color="auto" w:fill="FFFFFF" w:val="clear"/>
            <w:vAlign w:val="bottom"/>
          </w:tcPr>
          <w:p>
            <w:pPr>
              <w:pStyle w:val="Normal"/>
              <w:widowControl w:val="false"/>
              <w:jc w:val="both"/>
              <w:rPr>
                <w:bCs/>
              </w:rPr>
            </w:pPr>
            <w:r>
              <w:rPr>
                <w:bCs/>
                <w:sz w:val="27"/>
                <w:szCs w:val="27"/>
              </w:rPr>
              <w:t>Списання кредиторської заборгованості</w:t>
            </w:r>
          </w:p>
        </w:tc>
        <w:tc>
          <w:tcPr>
            <w:tcW w:w="2161" w:type="dxa"/>
            <w:tcBorders>
              <w:left w:val="single" w:sz="4" w:space="0" w:color="000000"/>
              <w:bottom w:val="single" w:sz="4" w:space="0" w:color="000000"/>
              <w:right w:val="single" w:sz="4" w:space="0" w:color="000000"/>
            </w:tcBorders>
            <w:shd w:color="auto" w:fill="auto" w:val="clear"/>
            <w:vAlign w:val="center"/>
          </w:tcPr>
          <w:p>
            <w:pPr>
              <w:pStyle w:val="Normal"/>
              <w:widowControl w:val="false"/>
              <w:snapToGrid w:val="false"/>
              <w:jc w:val="right"/>
              <w:rPr>
                <w:bCs/>
                <w:sz w:val="27"/>
                <w:szCs w:val="27"/>
              </w:rPr>
            </w:pPr>
            <w:r>
              <w:rPr>
                <w:bCs/>
                <w:sz w:val="27"/>
                <w:szCs w:val="27"/>
              </w:rPr>
            </w:r>
          </w:p>
        </w:tc>
        <w:tc>
          <w:tcPr>
            <w:tcW w:w="27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napToGrid w:val="false"/>
              <w:jc w:val="right"/>
              <w:rPr>
                <w:bCs/>
                <w:sz w:val="27"/>
                <w:szCs w:val="27"/>
              </w:rPr>
            </w:pPr>
            <w:r>
              <w:rPr>
                <w:bCs/>
                <w:sz w:val="27"/>
                <w:szCs w:val="27"/>
              </w:rPr>
            </w:r>
          </w:p>
        </w:tc>
      </w:tr>
      <w:tr>
        <w:trPr>
          <w:trHeight w:val="454" w:hRule="exact"/>
        </w:trPr>
        <w:tc>
          <w:tcPr>
            <w:tcW w:w="4754" w:type="dxa"/>
            <w:tcBorders>
              <w:left w:val="single" w:sz="4" w:space="0" w:color="000000"/>
              <w:bottom w:val="single" w:sz="4" w:space="0" w:color="000000"/>
              <w:right w:val="single" w:sz="4" w:space="0" w:color="000000"/>
            </w:tcBorders>
            <w:shd w:color="auto" w:fill="FFFFFF" w:val="clear"/>
            <w:vAlign w:val="bottom"/>
          </w:tcPr>
          <w:p>
            <w:pPr>
              <w:pStyle w:val="Normal"/>
              <w:widowControl w:val="false"/>
              <w:jc w:val="both"/>
              <w:rPr>
                <w:bCs/>
              </w:rPr>
            </w:pPr>
            <w:r>
              <w:rPr>
                <w:bCs/>
                <w:sz w:val="27"/>
                <w:szCs w:val="27"/>
              </w:rPr>
              <w:t>Дохід від ліквідації основних засобів</w:t>
            </w:r>
          </w:p>
        </w:tc>
        <w:tc>
          <w:tcPr>
            <w:tcW w:w="2161" w:type="dxa"/>
            <w:tcBorders>
              <w:left w:val="single" w:sz="4" w:space="0" w:color="000000"/>
              <w:bottom w:val="single" w:sz="4" w:space="0" w:color="000000"/>
              <w:right w:val="single" w:sz="4" w:space="0" w:color="000000"/>
            </w:tcBorders>
            <w:shd w:color="auto" w:fill="auto" w:val="clear"/>
            <w:vAlign w:val="center"/>
          </w:tcPr>
          <w:p>
            <w:pPr>
              <w:pStyle w:val="Normal"/>
              <w:widowControl w:val="false"/>
              <w:jc w:val="right"/>
              <w:rPr>
                <w:bCs/>
                <w:sz w:val="27"/>
                <w:szCs w:val="27"/>
              </w:rPr>
            </w:pPr>
            <w:r>
              <w:rPr>
                <w:bCs/>
                <w:sz w:val="27"/>
                <w:szCs w:val="27"/>
              </w:rPr>
              <w:t>10,0</w:t>
            </w:r>
          </w:p>
        </w:tc>
        <w:tc>
          <w:tcPr>
            <w:tcW w:w="27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napToGrid w:val="false"/>
              <w:jc w:val="right"/>
              <w:rPr>
                <w:bCs/>
                <w:sz w:val="27"/>
                <w:szCs w:val="27"/>
              </w:rPr>
            </w:pPr>
            <w:r>
              <w:rPr>
                <w:bCs/>
                <w:sz w:val="27"/>
                <w:szCs w:val="27"/>
              </w:rPr>
            </w:r>
          </w:p>
        </w:tc>
      </w:tr>
      <w:tr>
        <w:trPr>
          <w:trHeight w:val="608" w:hRule="exact"/>
        </w:trPr>
        <w:tc>
          <w:tcPr>
            <w:tcW w:w="4754"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pPr>
            <w:r>
              <w:rPr>
                <w:sz w:val="27"/>
                <w:szCs w:val="27"/>
              </w:rPr>
              <w:t>Всього:</w:t>
            </w:r>
          </w:p>
        </w:tc>
        <w:tc>
          <w:tcPr>
            <w:tcW w:w="2161" w:type="dxa"/>
            <w:tcBorders>
              <w:left w:val="single" w:sz="4" w:space="0" w:color="000000"/>
              <w:bottom w:val="single" w:sz="4" w:space="0" w:color="000000"/>
              <w:right w:val="single" w:sz="4" w:space="0" w:color="000000"/>
            </w:tcBorders>
            <w:shd w:color="auto" w:fill="auto" w:val="clear"/>
            <w:vAlign w:val="center"/>
          </w:tcPr>
          <w:p>
            <w:pPr>
              <w:pStyle w:val="Normal"/>
              <w:widowControl w:val="false"/>
              <w:ind w:hanging="108"/>
              <w:jc w:val="right"/>
              <w:rPr>
                <w:sz w:val="27"/>
                <w:szCs w:val="27"/>
              </w:rPr>
            </w:pPr>
            <w:r>
              <w:rPr>
                <w:sz w:val="27"/>
                <w:szCs w:val="27"/>
              </w:rPr>
              <w:t>9 846,0</w:t>
            </w:r>
          </w:p>
        </w:tc>
        <w:tc>
          <w:tcPr>
            <w:tcW w:w="273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right"/>
              <w:rPr>
                <w:sz w:val="27"/>
                <w:szCs w:val="27"/>
              </w:rPr>
            </w:pPr>
            <w:r>
              <w:rPr>
                <w:sz w:val="27"/>
                <w:szCs w:val="27"/>
              </w:rPr>
              <w:t>11 464,0</w:t>
            </w:r>
          </w:p>
        </w:tc>
      </w:tr>
    </w:tbl>
    <w:p>
      <w:pPr>
        <w:pStyle w:val="Normal"/>
        <w:ind w:firstLine="567"/>
        <w:jc w:val="both"/>
        <w:rPr>
          <w:color w:val="000000"/>
          <w:sz w:val="27"/>
          <w:szCs w:val="27"/>
        </w:rPr>
      </w:pPr>
      <w:r>
        <w:rPr>
          <w:color w:val="000000"/>
          <w:sz w:val="27"/>
          <w:szCs w:val="27"/>
        </w:rPr>
      </w:r>
    </w:p>
    <w:p>
      <w:pPr>
        <w:pStyle w:val="Normal"/>
        <w:ind w:firstLine="567"/>
        <w:jc w:val="both"/>
        <w:rPr/>
      </w:pPr>
      <w:r>
        <w:rPr>
          <w:color w:val="000000"/>
          <w:sz w:val="28"/>
          <w:szCs w:val="28"/>
        </w:rPr>
        <w:t>У звітному періоді підприємство отримало збитки у зв’язку із:</w:t>
      </w:r>
    </w:p>
    <w:p>
      <w:pPr>
        <w:pStyle w:val="Normal"/>
        <w:ind w:firstLine="567"/>
        <w:jc w:val="both"/>
        <w:rPr/>
      </w:pPr>
      <w:r>
        <w:rPr>
          <w:color w:val="000000"/>
          <w:sz w:val="28"/>
          <w:szCs w:val="28"/>
        </w:rPr>
        <w:t>- збільшенням кількості кладовищ, розширенням площі захоронень, оскільки, оновлено адміністративно-територіальний устрій Луцької міської територіальної громади (приєднання сіл);</w:t>
      </w:r>
    </w:p>
    <w:p>
      <w:pPr>
        <w:pStyle w:val="Normal"/>
        <w:ind w:firstLine="567"/>
        <w:jc w:val="both"/>
        <w:rPr/>
      </w:pPr>
      <w:r>
        <w:rPr>
          <w:color w:val="000000"/>
          <w:sz w:val="28"/>
          <w:szCs w:val="28"/>
        </w:rPr>
        <w:t>- збільшенням фонду заробітної пати, витратами на ремонт та обслуговування техніки, витратами на придбання паливно-мастильних матеріалів і запчастин до автотранспортних засобів;</w:t>
      </w:r>
    </w:p>
    <w:p>
      <w:pPr>
        <w:pStyle w:val="Normal"/>
        <w:ind w:firstLine="567"/>
        <w:jc w:val="both"/>
        <w:rPr/>
      </w:pPr>
      <w:r>
        <w:rPr>
          <w:color w:val="000000"/>
          <w:sz w:val="28"/>
          <w:szCs w:val="28"/>
        </w:rPr>
        <w:t>- розширенням послуги з цілодобового чергування катафалка, у зв’язку зі збільшенням відстаней до приєднаних громад (зросли витрати на паливно-мастильні матеріали, запасні частини та інші супутні витрати);</w:t>
      </w:r>
    </w:p>
    <w:p>
      <w:pPr>
        <w:pStyle w:val="Normal"/>
        <w:ind w:firstLine="567"/>
        <w:jc w:val="both"/>
        <w:rPr/>
      </w:pPr>
      <w:r>
        <w:rPr>
          <w:color w:val="000000"/>
          <w:sz w:val="28"/>
          <w:szCs w:val="28"/>
        </w:rPr>
        <w:t>- у зв’язку із пандемією короновірусної хвороби збільшилися витрати на придбання засобів індивідуального захисту працівникам, які задіяні в процесі транспортування та захоронення людей, які померли від важкого недугу.</w:t>
      </w:r>
    </w:p>
    <w:p>
      <w:pPr>
        <w:pStyle w:val="Normal"/>
        <w:ind w:firstLine="567"/>
        <w:jc w:val="both"/>
        <w:rPr/>
      </w:pPr>
      <w:r>
        <w:rPr>
          <w:sz w:val="28"/>
          <w:szCs w:val="28"/>
        </w:rPr>
        <w:t xml:space="preserve">Класифікація витрат на підприємстві проводиться відповідно до нормативно-правових актів, що діють на підприємствах комунального господарства. </w:t>
      </w:r>
    </w:p>
    <w:p>
      <w:pPr>
        <w:pStyle w:val="Normal"/>
        <w:jc w:val="center"/>
        <w:rPr/>
      </w:pPr>
      <w:r>
        <w:rPr/>
      </w:r>
    </w:p>
    <w:p>
      <w:pPr>
        <w:pStyle w:val="Normal"/>
        <w:jc w:val="center"/>
        <w:rPr/>
      </w:pPr>
      <w:r>
        <w:rPr>
          <w:b/>
          <w:sz w:val="26"/>
          <w:szCs w:val="26"/>
        </w:rPr>
        <w:t xml:space="preserve">Порівняльна таблиця операційних витрат  </w:t>
      </w:r>
    </w:p>
    <w:p>
      <w:pPr>
        <w:pStyle w:val="Normal"/>
        <w:jc w:val="center"/>
        <w:rPr>
          <w:b/>
          <w:b/>
          <w:bCs/>
          <w:sz w:val="22"/>
          <w:szCs w:val="22"/>
        </w:rPr>
      </w:pPr>
      <w:r>
        <w:rPr>
          <w:b/>
          <w:bCs/>
          <w:sz w:val="22"/>
          <w:szCs w:val="22"/>
        </w:rPr>
      </w:r>
    </w:p>
    <w:tbl>
      <w:tblPr>
        <w:tblW w:w="9645" w:type="dxa"/>
        <w:jc w:val="left"/>
        <w:tblInd w:w="-5" w:type="dxa"/>
        <w:tblCellMar>
          <w:top w:w="0" w:type="dxa"/>
          <w:left w:w="108" w:type="dxa"/>
          <w:bottom w:w="0" w:type="dxa"/>
          <w:right w:w="108" w:type="dxa"/>
        </w:tblCellMar>
        <w:tblLook w:firstRow="0" w:noVBand="0" w:lastRow="0" w:firstColumn="0" w:lastColumn="0" w:noHBand="0" w:val="0000"/>
      </w:tblPr>
      <w:tblGrid>
        <w:gridCol w:w="3885"/>
        <w:gridCol w:w="1440"/>
        <w:gridCol w:w="1358"/>
        <w:gridCol w:w="1413"/>
        <w:gridCol w:w="1549"/>
      </w:tblGrid>
      <w:tr>
        <w:trPr>
          <w:trHeight w:val="315" w:hRule="atLeast"/>
        </w:trPr>
        <w:tc>
          <w:tcPr>
            <w:tcW w:w="3885" w:type="dxa"/>
            <w:vMerge w:val="restart"/>
            <w:tcBorders>
              <w:top w:val="single" w:sz="4" w:space="0" w:color="000000"/>
              <w:left w:val="single" w:sz="4" w:space="0" w:color="000000"/>
              <w:right w:val="single" w:sz="4" w:space="0" w:color="000000"/>
            </w:tcBorders>
            <w:shd w:color="auto" w:fill="FFFFFF" w:val="clear"/>
            <w:vAlign w:val="center"/>
          </w:tcPr>
          <w:p>
            <w:pPr>
              <w:pStyle w:val="Normal"/>
              <w:widowControl w:val="false"/>
              <w:jc w:val="center"/>
              <w:rPr>
                <w:color w:val="000000"/>
              </w:rPr>
            </w:pPr>
            <w:r>
              <w:rPr>
                <w:b/>
                <w:bCs/>
                <w:color w:val="000000"/>
                <w:sz w:val="26"/>
                <w:szCs w:val="26"/>
              </w:rPr>
              <w:t>Структура витрат</w:t>
            </w:r>
          </w:p>
        </w:tc>
        <w:tc>
          <w:tcPr>
            <w:tcW w:w="2798" w:type="dxa"/>
            <w:gridSpan w:val="2"/>
            <w:tcBorders>
              <w:top w:val="single" w:sz="4" w:space="0" w:color="000000"/>
              <w:bottom w:val="single" w:sz="4" w:space="0" w:color="000000"/>
              <w:right w:val="single" w:sz="4" w:space="0" w:color="000000"/>
            </w:tcBorders>
            <w:shd w:color="auto" w:fill="FFFFFF" w:val="clear"/>
          </w:tcPr>
          <w:p>
            <w:pPr>
              <w:pStyle w:val="Normal"/>
              <w:widowControl w:val="false"/>
              <w:jc w:val="center"/>
              <w:rPr/>
            </w:pPr>
            <w:r>
              <w:rPr>
                <w:b/>
              </w:rPr>
              <w:t>9 місяців 2020 року</w:t>
            </w:r>
          </w:p>
        </w:tc>
        <w:tc>
          <w:tcPr>
            <w:tcW w:w="2962" w:type="dxa"/>
            <w:gridSpan w:val="2"/>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jc w:val="center"/>
              <w:rPr/>
            </w:pPr>
            <w:r>
              <w:rPr>
                <w:b/>
              </w:rPr>
              <w:t>9 місяців 2021 року</w:t>
            </w:r>
          </w:p>
        </w:tc>
      </w:tr>
      <w:tr>
        <w:trPr>
          <w:trHeight w:val="637" w:hRule="atLeast"/>
        </w:trPr>
        <w:tc>
          <w:tcPr>
            <w:tcW w:w="3885" w:type="dxa"/>
            <w:vMerge w:val="continue"/>
            <w:tcBorders>
              <w:top w:val="single" w:sz="4" w:space="0" w:color="000000"/>
              <w:left w:val="single" w:sz="4" w:space="0" w:color="000000"/>
              <w:right w:val="single" w:sz="4" w:space="0" w:color="000000"/>
            </w:tcBorders>
            <w:shd w:color="auto" w:fill="FFFFFF" w:val="clear"/>
            <w:vAlign w:val="center"/>
          </w:tcPr>
          <w:p>
            <w:pPr>
              <w:pStyle w:val="Normal"/>
              <w:widowControl w:val="false"/>
              <w:snapToGrid w:val="false"/>
              <w:ind w:firstLine="1080"/>
              <w:rPr>
                <w:b/>
                <w:b/>
                <w:bCs/>
                <w:color w:val="000000"/>
                <w:sz w:val="26"/>
                <w:szCs w:val="26"/>
              </w:rPr>
            </w:pPr>
            <w:r>
              <w:rPr>
                <w:b/>
                <w:bCs/>
                <w:color w:val="000000"/>
                <w:sz w:val="26"/>
                <w:szCs w:val="26"/>
              </w:rPr>
            </w:r>
          </w:p>
        </w:tc>
        <w:tc>
          <w:tcPr>
            <w:tcW w:w="1440" w:type="dxa"/>
            <w:tcBorders>
              <w:top w:val="single" w:sz="4" w:space="0" w:color="000000"/>
              <w:bottom w:val="single" w:sz="4" w:space="0" w:color="000000"/>
              <w:right w:val="single" w:sz="4" w:space="0" w:color="000000"/>
            </w:tcBorders>
            <w:shd w:color="auto" w:fill="FFFFFF" w:val="clear"/>
          </w:tcPr>
          <w:p>
            <w:pPr>
              <w:pStyle w:val="Normal"/>
              <w:widowControl w:val="false"/>
              <w:jc w:val="center"/>
              <w:rPr>
                <w:bCs/>
                <w:sz w:val="22"/>
                <w:szCs w:val="22"/>
              </w:rPr>
            </w:pPr>
            <w:r>
              <w:rPr>
                <w:bCs/>
                <w:sz w:val="22"/>
                <w:szCs w:val="22"/>
              </w:rPr>
              <w:t>Сума</w:t>
            </w:r>
          </w:p>
          <w:p>
            <w:pPr>
              <w:pStyle w:val="Normal"/>
              <w:widowControl w:val="false"/>
              <w:jc w:val="center"/>
              <w:rPr/>
            </w:pPr>
            <w:r>
              <w:rPr>
                <w:bCs/>
                <w:sz w:val="22"/>
                <w:szCs w:val="22"/>
              </w:rPr>
              <w:t>тис. грн</w:t>
            </w:r>
          </w:p>
        </w:tc>
        <w:tc>
          <w:tcPr>
            <w:tcW w:w="1358" w:type="dxa"/>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ind w:left="-108" w:hanging="0"/>
              <w:jc w:val="center"/>
              <w:rPr>
                <w:bCs/>
                <w:sz w:val="22"/>
                <w:szCs w:val="22"/>
              </w:rPr>
            </w:pPr>
            <w:r>
              <w:rPr>
                <w:bCs/>
                <w:sz w:val="22"/>
                <w:szCs w:val="22"/>
              </w:rPr>
              <w:t>Питома  вага</w:t>
            </w:r>
          </w:p>
          <w:p>
            <w:pPr>
              <w:pStyle w:val="Normal"/>
              <w:widowControl w:val="false"/>
              <w:ind w:left="-108" w:hanging="0"/>
              <w:jc w:val="center"/>
              <w:rPr>
                <w:bCs/>
                <w:sz w:val="22"/>
                <w:szCs w:val="22"/>
              </w:rPr>
            </w:pPr>
            <w:r>
              <w:rPr>
                <w:bCs/>
                <w:sz w:val="22"/>
                <w:szCs w:val="22"/>
              </w:rPr>
              <w:t xml:space="preserve"> </w:t>
            </w:r>
            <w:r>
              <w:rPr>
                <w:bCs/>
                <w:sz w:val="22"/>
                <w:szCs w:val="22"/>
              </w:rPr>
              <w:t>%</w:t>
            </w:r>
          </w:p>
        </w:tc>
        <w:tc>
          <w:tcPr>
            <w:tcW w:w="1413" w:type="dxa"/>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ind w:left="-108" w:hanging="0"/>
              <w:jc w:val="center"/>
              <w:rPr>
                <w:bCs/>
                <w:sz w:val="22"/>
                <w:szCs w:val="22"/>
              </w:rPr>
            </w:pPr>
            <w:r>
              <w:rPr>
                <w:bCs/>
                <w:sz w:val="22"/>
                <w:szCs w:val="22"/>
              </w:rPr>
              <w:t>Сума, тис. грн</w:t>
            </w:r>
          </w:p>
        </w:tc>
        <w:tc>
          <w:tcPr>
            <w:tcW w:w="1549" w:type="dxa"/>
            <w:tcBorders>
              <w:top w:val="single" w:sz="4" w:space="0" w:color="000000"/>
              <w:left w:val="single" w:sz="4" w:space="0" w:color="000000"/>
              <w:bottom w:val="single" w:sz="4" w:space="0" w:color="000000"/>
              <w:right w:val="single" w:sz="4" w:space="0" w:color="000000"/>
            </w:tcBorders>
            <w:shd w:color="auto" w:fill="FFFFFF" w:val="clear"/>
          </w:tcPr>
          <w:p>
            <w:pPr>
              <w:pStyle w:val="Normal"/>
              <w:widowControl w:val="false"/>
              <w:ind w:left="-108" w:hanging="0"/>
              <w:jc w:val="center"/>
              <w:rPr>
                <w:bCs/>
                <w:sz w:val="22"/>
                <w:szCs w:val="22"/>
              </w:rPr>
            </w:pPr>
            <w:r>
              <w:rPr>
                <w:bCs/>
                <w:sz w:val="22"/>
                <w:szCs w:val="22"/>
              </w:rPr>
              <w:t>Питома  вага</w:t>
            </w:r>
          </w:p>
          <w:p>
            <w:pPr>
              <w:pStyle w:val="Normal"/>
              <w:widowControl w:val="false"/>
              <w:ind w:left="-108" w:hanging="0"/>
              <w:jc w:val="center"/>
              <w:rPr>
                <w:bCs/>
                <w:sz w:val="22"/>
                <w:szCs w:val="22"/>
              </w:rPr>
            </w:pPr>
            <w:r>
              <w:rPr>
                <w:bCs/>
                <w:sz w:val="22"/>
                <w:szCs w:val="22"/>
              </w:rPr>
              <w:t xml:space="preserve"> </w:t>
            </w:r>
            <w:r>
              <w:rPr>
                <w:bCs/>
                <w:sz w:val="22"/>
                <w:szCs w:val="22"/>
              </w:rPr>
              <w:t>%</w:t>
            </w:r>
          </w:p>
        </w:tc>
      </w:tr>
      <w:tr>
        <w:trPr>
          <w:trHeight w:val="363" w:hRule="exact"/>
        </w:trPr>
        <w:tc>
          <w:tcPr>
            <w:tcW w:w="3885" w:type="dxa"/>
            <w:tcBorders>
              <w:left w:val="single" w:sz="4" w:space="0" w:color="000000"/>
              <w:bottom w:val="single" w:sz="4" w:space="0" w:color="000000"/>
              <w:right w:val="single" w:sz="4" w:space="0" w:color="000000"/>
            </w:tcBorders>
            <w:shd w:color="auto" w:fill="FFFFFF" w:val="clear"/>
            <w:vAlign w:val="bottom"/>
          </w:tcPr>
          <w:p>
            <w:pPr>
              <w:pStyle w:val="Normal"/>
              <w:widowControl w:val="false"/>
              <w:rPr>
                <w:color w:val="000000"/>
                <w:sz w:val="27"/>
                <w:szCs w:val="27"/>
              </w:rPr>
            </w:pPr>
            <w:r>
              <w:rPr>
                <w:color w:val="000000"/>
                <w:sz w:val="27"/>
                <w:szCs w:val="27"/>
              </w:rPr>
              <w:t>Матеріальні витрати:</w:t>
            </w:r>
          </w:p>
        </w:tc>
        <w:tc>
          <w:tcPr>
            <w:tcW w:w="1440" w:type="dxa"/>
            <w:tcBorders>
              <w:bottom w:val="single" w:sz="4" w:space="0" w:color="000000"/>
              <w:right w:val="single" w:sz="4" w:space="0" w:color="000000"/>
            </w:tcBorders>
            <w:shd w:color="auto" w:fill="auto" w:val="clear"/>
            <w:vAlign w:val="center"/>
          </w:tcPr>
          <w:p>
            <w:pPr>
              <w:pStyle w:val="Normal"/>
              <w:widowControl w:val="false"/>
              <w:jc w:val="right"/>
              <w:rPr>
                <w:sz w:val="27"/>
                <w:szCs w:val="27"/>
              </w:rPr>
            </w:pPr>
            <w:r>
              <w:rPr>
                <w:sz w:val="27"/>
                <w:szCs w:val="27"/>
              </w:rPr>
              <w:t>2 125,0</w:t>
            </w:r>
          </w:p>
        </w:tc>
        <w:tc>
          <w:tcPr>
            <w:tcW w:w="135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right"/>
              <w:rPr>
                <w:sz w:val="27"/>
                <w:szCs w:val="27"/>
              </w:rPr>
            </w:pPr>
            <w:r>
              <w:rPr>
                <w:sz w:val="27"/>
                <w:szCs w:val="27"/>
              </w:rPr>
              <w:t>21,7</w:t>
            </w:r>
          </w:p>
          <w:p>
            <w:pPr>
              <w:pStyle w:val="Normal"/>
              <w:widowControl w:val="false"/>
              <w:jc w:val="right"/>
              <w:rPr>
                <w:sz w:val="27"/>
                <w:szCs w:val="27"/>
              </w:rPr>
            </w:pPr>
            <w:r>
              <w:rPr>
                <w:sz w:val="27"/>
                <w:szCs w:val="27"/>
              </w:rPr>
            </w:r>
          </w:p>
        </w:tc>
        <w:tc>
          <w:tcPr>
            <w:tcW w:w="1413" w:type="dxa"/>
            <w:tcBorders>
              <w:left w:val="single" w:sz="4" w:space="0" w:color="000000"/>
              <w:bottom w:val="single" w:sz="4" w:space="0" w:color="000000"/>
              <w:right w:val="single" w:sz="4" w:space="0" w:color="000000"/>
            </w:tcBorders>
            <w:shd w:color="auto" w:fill="auto" w:val="clear"/>
            <w:vAlign w:val="center"/>
          </w:tcPr>
          <w:p>
            <w:pPr>
              <w:pStyle w:val="Normal"/>
              <w:widowControl w:val="false"/>
              <w:jc w:val="right"/>
              <w:rPr/>
            </w:pPr>
            <w:r>
              <w:rPr>
                <w:sz w:val="27"/>
                <w:szCs w:val="27"/>
              </w:rPr>
              <w:t>2 572,0</w:t>
            </w:r>
          </w:p>
        </w:tc>
        <w:tc>
          <w:tcPr>
            <w:tcW w:w="1549" w:type="dxa"/>
            <w:tcBorders>
              <w:left w:val="single" w:sz="4" w:space="0" w:color="000000"/>
              <w:bottom w:val="single" w:sz="4" w:space="0" w:color="000000"/>
              <w:right w:val="single" w:sz="4" w:space="0" w:color="000000"/>
            </w:tcBorders>
            <w:shd w:color="auto" w:fill="auto" w:val="clear"/>
            <w:vAlign w:val="center"/>
          </w:tcPr>
          <w:p>
            <w:pPr>
              <w:pStyle w:val="Normal"/>
              <w:widowControl w:val="false"/>
              <w:jc w:val="right"/>
              <w:rPr>
                <w:sz w:val="27"/>
                <w:szCs w:val="27"/>
              </w:rPr>
            </w:pPr>
            <w:r>
              <w:rPr>
                <w:sz w:val="27"/>
                <w:szCs w:val="27"/>
              </w:rPr>
              <w:t>21,5</w:t>
            </w:r>
          </w:p>
        </w:tc>
      </w:tr>
      <w:tr>
        <w:trPr>
          <w:trHeight w:val="394" w:hRule="atLeast"/>
        </w:trPr>
        <w:tc>
          <w:tcPr>
            <w:tcW w:w="3885" w:type="dxa"/>
            <w:tcBorders>
              <w:left w:val="single" w:sz="4" w:space="0" w:color="000000"/>
              <w:bottom w:val="single" w:sz="4" w:space="0" w:color="000000"/>
              <w:right w:val="single" w:sz="4" w:space="0" w:color="000000"/>
            </w:tcBorders>
            <w:shd w:color="auto" w:fill="auto" w:val="clear"/>
            <w:vAlign w:val="bottom"/>
          </w:tcPr>
          <w:p>
            <w:pPr>
              <w:pStyle w:val="Normal"/>
              <w:widowControl w:val="false"/>
              <w:rPr>
                <w:sz w:val="27"/>
                <w:szCs w:val="27"/>
              </w:rPr>
            </w:pPr>
            <w:r>
              <w:rPr>
                <w:i/>
                <w:iCs/>
                <w:sz w:val="27"/>
                <w:szCs w:val="27"/>
              </w:rPr>
              <w:t>- сировина і основні матеріали</w:t>
            </w:r>
          </w:p>
        </w:tc>
        <w:tc>
          <w:tcPr>
            <w:tcW w:w="1440"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right"/>
              <w:rPr>
                <w:sz w:val="27"/>
                <w:szCs w:val="27"/>
              </w:rPr>
            </w:pPr>
            <w:r>
              <w:rPr>
                <w:sz w:val="27"/>
                <w:szCs w:val="27"/>
              </w:rPr>
              <w:t>1 523,0</w:t>
            </w:r>
          </w:p>
        </w:tc>
        <w:tc>
          <w:tcPr>
            <w:tcW w:w="135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napToGrid w:val="false"/>
              <w:ind w:firstLine="1080"/>
              <w:jc w:val="right"/>
              <w:rPr>
                <w:sz w:val="27"/>
                <w:szCs w:val="27"/>
              </w:rPr>
            </w:pPr>
            <w:r>
              <w:rPr>
                <w:sz w:val="27"/>
                <w:szCs w:val="27"/>
              </w:rPr>
            </w:r>
          </w:p>
        </w:tc>
        <w:tc>
          <w:tcPr>
            <w:tcW w:w="14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right"/>
              <w:rPr>
                <w:sz w:val="27"/>
                <w:szCs w:val="27"/>
              </w:rPr>
            </w:pPr>
            <w:r>
              <w:rPr>
                <w:sz w:val="27"/>
                <w:szCs w:val="27"/>
              </w:rPr>
              <w:t>1718,0</w:t>
            </w:r>
          </w:p>
        </w:tc>
        <w:tc>
          <w:tcPr>
            <w:tcW w:w="154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napToGrid w:val="false"/>
              <w:ind w:firstLine="1080"/>
              <w:jc w:val="right"/>
              <w:rPr>
                <w:sz w:val="27"/>
                <w:szCs w:val="27"/>
              </w:rPr>
            </w:pPr>
            <w:r>
              <w:rPr>
                <w:sz w:val="27"/>
                <w:szCs w:val="27"/>
              </w:rPr>
            </w:r>
          </w:p>
        </w:tc>
      </w:tr>
      <w:tr>
        <w:trPr>
          <w:trHeight w:val="284" w:hRule="atLeast"/>
        </w:trPr>
        <w:tc>
          <w:tcPr>
            <w:tcW w:w="3885" w:type="dxa"/>
            <w:tcBorders>
              <w:left w:val="single" w:sz="4" w:space="0" w:color="000000"/>
              <w:bottom w:val="single" w:sz="4" w:space="0" w:color="000000"/>
              <w:right w:val="single" w:sz="4" w:space="0" w:color="000000"/>
            </w:tcBorders>
            <w:shd w:color="auto" w:fill="auto" w:val="clear"/>
            <w:vAlign w:val="bottom"/>
          </w:tcPr>
          <w:p>
            <w:pPr>
              <w:pStyle w:val="Normal"/>
              <w:widowControl w:val="false"/>
              <w:rPr>
                <w:sz w:val="27"/>
                <w:szCs w:val="27"/>
              </w:rPr>
            </w:pPr>
            <w:r>
              <w:rPr>
                <w:i/>
                <w:iCs/>
                <w:sz w:val="27"/>
                <w:szCs w:val="27"/>
              </w:rPr>
              <w:t>- паливно-мастильні матеріали та електроенергія</w:t>
            </w:r>
          </w:p>
        </w:tc>
        <w:tc>
          <w:tcPr>
            <w:tcW w:w="1440" w:type="dxa"/>
            <w:tcBorders>
              <w:bottom w:val="single" w:sz="4" w:space="0" w:color="000000"/>
              <w:right w:val="single" w:sz="4" w:space="0" w:color="000000"/>
            </w:tcBorders>
            <w:shd w:color="auto" w:fill="auto" w:val="clear"/>
            <w:vAlign w:val="center"/>
          </w:tcPr>
          <w:p>
            <w:pPr>
              <w:pStyle w:val="Normal"/>
              <w:widowControl w:val="false"/>
              <w:jc w:val="right"/>
              <w:rPr>
                <w:sz w:val="27"/>
                <w:szCs w:val="27"/>
              </w:rPr>
            </w:pPr>
            <w:r>
              <w:rPr>
                <w:sz w:val="27"/>
                <w:szCs w:val="27"/>
              </w:rPr>
              <w:t>594,0</w:t>
            </w:r>
          </w:p>
        </w:tc>
        <w:tc>
          <w:tcPr>
            <w:tcW w:w="135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napToGrid w:val="false"/>
              <w:ind w:firstLine="1080"/>
              <w:jc w:val="right"/>
              <w:rPr>
                <w:sz w:val="27"/>
                <w:szCs w:val="27"/>
              </w:rPr>
            </w:pPr>
            <w:r>
              <w:rPr>
                <w:sz w:val="27"/>
                <w:szCs w:val="27"/>
              </w:rPr>
            </w:r>
          </w:p>
        </w:tc>
        <w:tc>
          <w:tcPr>
            <w:tcW w:w="1413" w:type="dxa"/>
            <w:tcBorders>
              <w:left w:val="single" w:sz="4" w:space="0" w:color="000000"/>
              <w:bottom w:val="single" w:sz="4" w:space="0" w:color="000000"/>
              <w:right w:val="single" w:sz="4" w:space="0" w:color="000000"/>
            </w:tcBorders>
            <w:shd w:color="auto" w:fill="auto" w:val="clear"/>
            <w:vAlign w:val="center"/>
          </w:tcPr>
          <w:p>
            <w:pPr>
              <w:pStyle w:val="Normal"/>
              <w:widowControl w:val="false"/>
              <w:jc w:val="right"/>
              <w:rPr>
                <w:sz w:val="27"/>
                <w:szCs w:val="27"/>
              </w:rPr>
            </w:pPr>
            <w:r>
              <w:rPr>
                <w:sz w:val="27"/>
                <w:szCs w:val="27"/>
              </w:rPr>
              <w:t>854,0</w:t>
            </w:r>
          </w:p>
        </w:tc>
        <w:tc>
          <w:tcPr>
            <w:tcW w:w="1549" w:type="dxa"/>
            <w:tcBorders>
              <w:left w:val="single" w:sz="4" w:space="0" w:color="000000"/>
              <w:bottom w:val="single" w:sz="4" w:space="0" w:color="000000"/>
              <w:right w:val="single" w:sz="4" w:space="0" w:color="000000"/>
            </w:tcBorders>
            <w:shd w:color="auto" w:fill="auto" w:val="clear"/>
            <w:vAlign w:val="center"/>
          </w:tcPr>
          <w:p>
            <w:pPr>
              <w:pStyle w:val="Normal"/>
              <w:widowControl w:val="false"/>
              <w:snapToGrid w:val="false"/>
              <w:ind w:firstLine="1080"/>
              <w:jc w:val="right"/>
              <w:rPr>
                <w:sz w:val="27"/>
                <w:szCs w:val="27"/>
              </w:rPr>
            </w:pPr>
            <w:r>
              <w:rPr>
                <w:sz w:val="27"/>
                <w:szCs w:val="27"/>
              </w:rPr>
            </w:r>
          </w:p>
        </w:tc>
      </w:tr>
      <w:tr>
        <w:trPr>
          <w:trHeight w:val="451" w:hRule="atLeast"/>
        </w:trPr>
        <w:tc>
          <w:tcPr>
            <w:tcW w:w="3885" w:type="dxa"/>
            <w:tcBorders>
              <w:left w:val="single" w:sz="4" w:space="0" w:color="000000"/>
              <w:bottom w:val="single" w:sz="4" w:space="0" w:color="000000"/>
              <w:right w:val="single" w:sz="4" w:space="0" w:color="000000"/>
            </w:tcBorders>
            <w:shd w:color="auto" w:fill="auto" w:val="clear"/>
            <w:vAlign w:val="bottom"/>
          </w:tcPr>
          <w:p>
            <w:pPr>
              <w:pStyle w:val="Normal"/>
              <w:widowControl w:val="false"/>
              <w:rPr>
                <w:sz w:val="27"/>
                <w:szCs w:val="27"/>
              </w:rPr>
            </w:pPr>
            <w:r>
              <w:rPr>
                <w:i/>
                <w:iCs/>
                <w:sz w:val="27"/>
                <w:szCs w:val="27"/>
              </w:rPr>
              <w:t xml:space="preserve">- інші матеріальні витрати </w:t>
            </w:r>
          </w:p>
        </w:tc>
        <w:tc>
          <w:tcPr>
            <w:tcW w:w="1440" w:type="dxa"/>
            <w:tcBorders>
              <w:bottom w:val="single" w:sz="4" w:space="0" w:color="000000"/>
              <w:right w:val="single" w:sz="4" w:space="0" w:color="000000"/>
            </w:tcBorders>
            <w:shd w:color="auto" w:fill="auto" w:val="clear"/>
            <w:vAlign w:val="center"/>
          </w:tcPr>
          <w:p>
            <w:pPr>
              <w:pStyle w:val="Normal"/>
              <w:widowControl w:val="false"/>
              <w:jc w:val="right"/>
              <w:rPr>
                <w:sz w:val="27"/>
                <w:szCs w:val="27"/>
              </w:rPr>
            </w:pPr>
            <w:r>
              <w:rPr>
                <w:sz w:val="27"/>
                <w:szCs w:val="27"/>
              </w:rPr>
              <w:t>8,0</w:t>
            </w:r>
          </w:p>
        </w:tc>
        <w:tc>
          <w:tcPr>
            <w:tcW w:w="135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napToGrid w:val="false"/>
              <w:ind w:firstLine="1080"/>
              <w:jc w:val="right"/>
              <w:rPr>
                <w:sz w:val="27"/>
                <w:szCs w:val="27"/>
              </w:rPr>
            </w:pPr>
            <w:r>
              <w:rPr>
                <w:sz w:val="27"/>
                <w:szCs w:val="27"/>
              </w:rPr>
            </w:r>
          </w:p>
        </w:tc>
        <w:tc>
          <w:tcPr>
            <w:tcW w:w="1413" w:type="dxa"/>
            <w:tcBorders>
              <w:left w:val="single" w:sz="4" w:space="0" w:color="000000"/>
              <w:bottom w:val="single" w:sz="4" w:space="0" w:color="000000"/>
              <w:right w:val="single" w:sz="4" w:space="0" w:color="000000"/>
            </w:tcBorders>
            <w:shd w:color="auto" w:fill="auto" w:val="clear"/>
            <w:vAlign w:val="center"/>
          </w:tcPr>
          <w:p>
            <w:pPr>
              <w:pStyle w:val="Normal"/>
              <w:widowControl w:val="false"/>
              <w:snapToGrid w:val="false"/>
              <w:jc w:val="right"/>
              <w:rPr>
                <w:sz w:val="27"/>
                <w:szCs w:val="27"/>
              </w:rPr>
            </w:pPr>
            <w:r>
              <w:rPr>
                <w:sz w:val="27"/>
                <w:szCs w:val="27"/>
              </w:rPr>
            </w:r>
          </w:p>
        </w:tc>
        <w:tc>
          <w:tcPr>
            <w:tcW w:w="1549" w:type="dxa"/>
            <w:tcBorders>
              <w:left w:val="single" w:sz="4" w:space="0" w:color="000000"/>
              <w:bottom w:val="single" w:sz="4" w:space="0" w:color="000000"/>
              <w:right w:val="single" w:sz="4" w:space="0" w:color="000000"/>
            </w:tcBorders>
            <w:shd w:color="auto" w:fill="auto" w:val="clear"/>
            <w:vAlign w:val="center"/>
          </w:tcPr>
          <w:p>
            <w:pPr>
              <w:pStyle w:val="Normal"/>
              <w:widowControl w:val="false"/>
              <w:snapToGrid w:val="false"/>
              <w:ind w:firstLine="1080"/>
              <w:jc w:val="right"/>
              <w:rPr>
                <w:sz w:val="27"/>
                <w:szCs w:val="27"/>
              </w:rPr>
            </w:pPr>
            <w:r>
              <w:rPr>
                <w:sz w:val="27"/>
                <w:szCs w:val="27"/>
              </w:rPr>
            </w:r>
          </w:p>
        </w:tc>
      </w:tr>
      <w:tr>
        <w:trPr>
          <w:trHeight w:val="454" w:hRule="exact"/>
        </w:trPr>
        <w:tc>
          <w:tcPr>
            <w:tcW w:w="3885" w:type="dxa"/>
            <w:tcBorders>
              <w:top w:val="single" w:sz="4" w:space="0" w:color="000000"/>
              <w:left w:val="single" w:sz="4" w:space="0" w:color="000000"/>
              <w:bottom w:val="single" w:sz="4" w:space="0" w:color="000000"/>
              <w:right w:val="single" w:sz="4" w:space="0" w:color="000000"/>
            </w:tcBorders>
            <w:shd w:color="auto" w:fill="FFFFFF" w:val="clear"/>
            <w:vAlign w:val="bottom"/>
          </w:tcPr>
          <w:p>
            <w:pPr>
              <w:pStyle w:val="Normal"/>
              <w:widowControl w:val="false"/>
              <w:rPr>
                <w:sz w:val="27"/>
                <w:szCs w:val="27"/>
              </w:rPr>
            </w:pPr>
            <w:r>
              <w:rPr>
                <w:sz w:val="27"/>
                <w:szCs w:val="27"/>
              </w:rPr>
              <w:t xml:space="preserve">Витрати на оплату праці </w:t>
            </w:r>
          </w:p>
        </w:tc>
        <w:tc>
          <w:tcPr>
            <w:tcW w:w="1440"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right"/>
              <w:rPr>
                <w:sz w:val="27"/>
                <w:szCs w:val="27"/>
              </w:rPr>
            </w:pPr>
            <w:r>
              <w:rPr>
                <w:sz w:val="27"/>
                <w:szCs w:val="27"/>
              </w:rPr>
              <w:t>5 774,0</w:t>
            </w:r>
          </w:p>
        </w:tc>
        <w:tc>
          <w:tcPr>
            <w:tcW w:w="135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right"/>
              <w:rPr>
                <w:sz w:val="27"/>
                <w:szCs w:val="27"/>
              </w:rPr>
            </w:pPr>
            <w:r>
              <w:rPr>
                <w:sz w:val="27"/>
                <w:szCs w:val="27"/>
              </w:rPr>
              <w:t>58,6</w:t>
            </w:r>
          </w:p>
        </w:tc>
        <w:tc>
          <w:tcPr>
            <w:tcW w:w="14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right"/>
              <w:rPr/>
            </w:pPr>
            <w:r>
              <w:rPr>
                <w:sz w:val="27"/>
                <w:szCs w:val="27"/>
              </w:rPr>
              <w:t>6 996,0</w:t>
            </w:r>
          </w:p>
        </w:tc>
        <w:tc>
          <w:tcPr>
            <w:tcW w:w="154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right"/>
              <w:rPr>
                <w:sz w:val="27"/>
                <w:szCs w:val="27"/>
              </w:rPr>
            </w:pPr>
            <w:r>
              <w:rPr>
                <w:sz w:val="27"/>
                <w:szCs w:val="27"/>
              </w:rPr>
              <w:t>58,5</w:t>
            </w:r>
          </w:p>
        </w:tc>
      </w:tr>
      <w:tr>
        <w:trPr>
          <w:trHeight w:val="784" w:hRule="exact"/>
        </w:trPr>
        <w:tc>
          <w:tcPr>
            <w:tcW w:w="3885" w:type="dxa"/>
            <w:tcBorders>
              <w:top w:val="single" w:sz="4" w:space="0" w:color="000000"/>
              <w:left w:val="single" w:sz="4" w:space="0" w:color="000000"/>
              <w:bottom w:val="single" w:sz="4" w:space="0" w:color="000000"/>
              <w:right w:val="single" w:sz="4" w:space="0" w:color="000000"/>
            </w:tcBorders>
            <w:shd w:color="auto" w:fill="FFFFFF" w:val="clear"/>
            <w:vAlign w:val="bottom"/>
          </w:tcPr>
          <w:p>
            <w:pPr>
              <w:pStyle w:val="Normal"/>
              <w:widowControl w:val="false"/>
              <w:rPr>
                <w:sz w:val="27"/>
                <w:szCs w:val="27"/>
              </w:rPr>
            </w:pPr>
            <w:r>
              <w:rPr>
                <w:sz w:val="27"/>
                <w:szCs w:val="27"/>
              </w:rPr>
              <w:t>Відрахування на заробітну плату</w:t>
            </w:r>
          </w:p>
        </w:tc>
        <w:tc>
          <w:tcPr>
            <w:tcW w:w="1440"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right"/>
              <w:rPr>
                <w:sz w:val="27"/>
                <w:szCs w:val="27"/>
              </w:rPr>
            </w:pPr>
            <w:r>
              <w:rPr>
                <w:sz w:val="27"/>
                <w:szCs w:val="27"/>
              </w:rPr>
              <w:t>1 235,0</w:t>
            </w:r>
          </w:p>
        </w:tc>
        <w:tc>
          <w:tcPr>
            <w:tcW w:w="135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right"/>
              <w:rPr>
                <w:sz w:val="27"/>
                <w:szCs w:val="27"/>
              </w:rPr>
            </w:pPr>
            <w:r>
              <w:rPr>
                <w:sz w:val="27"/>
                <w:szCs w:val="27"/>
              </w:rPr>
              <w:t>12,5</w:t>
            </w:r>
          </w:p>
        </w:tc>
        <w:tc>
          <w:tcPr>
            <w:tcW w:w="14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right"/>
              <w:rPr>
                <w:sz w:val="27"/>
                <w:szCs w:val="27"/>
              </w:rPr>
            </w:pPr>
            <w:r>
              <w:rPr>
                <w:sz w:val="27"/>
                <w:szCs w:val="27"/>
              </w:rPr>
              <w:t>1 467,0</w:t>
            </w:r>
          </w:p>
        </w:tc>
        <w:tc>
          <w:tcPr>
            <w:tcW w:w="154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right"/>
              <w:rPr>
                <w:sz w:val="27"/>
                <w:szCs w:val="27"/>
              </w:rPr>
            </w:pPr>
            <w:r>
              <w:rPr>
                <w:sz w:val="27"/>
                <w:szCs w:val="27"/>
              </w:rPr>
              <w:t>12,3</w:t>
            </w:r>
          </w:p>
        </w:tc>
      </w:tr>
      <w:tr>
        <w:trPr>
          <w:trHeight w:val="454" w:hRule="exact"/>
        </w:trPr>
        <w:tc>
          <w:tcPr>
            <w:tcW w:w="3885" w:type="dxa"/>
            <w:tcBorders>
              <w:top w:val="single" w:sz="4" w:space="0" w:color="000000"/>
              <w:left w:val="single" w:sz="4" w:space="0" w:color="000000"/>
              <w:bottom w:val="single" w:sz="4" w:space="0" w:color="000000"/>
              <w:right w:val="single" w:sz="4" w:space="0" w:color="000000"/>
            </w:tcBorders>
            <w:shd w:color="auto" w:fill="FFFFFF" w:val="clear"/>
            <w:vAlign w:val="bottom"/>
          </w:tcPr>
          <w:p>
            <w:pPr>
              <w:pStyle w:val="Normal"/>
              <w:widowControl w:val="false"/>
              <w:rPr>
                <w:sz w:val="27"/>
                <w:szCs w:val="27"/>
              </w:rPr>
            </w:pPr>
            <w:r>
              <w:rPr>
                <w:sz w:val="27"/>
                <w:szCs w:val="27"/>
              </w:rPr>
              <w:t>Амортизаційні відрахування</w:t>
            </w:r>
          </w:p>
        </w:tc>
        <w:tc>
          <w:tcPr>
            <w:tcW w:w="1440"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right"/>
              <w:rPr>
                <w:sz w:val="27"/>
                <w:szCs w:val="27"/>
              </w:rPr>
            </w:pPr>
            <w:r>
              <w:rPr>
                <w:sz w:val="27"/>
                <w:szCs w:val="27"/>
              </w:rPr>
              <w:t>226,0</w:t>
            </w:r>
          </w:p>
        </w:tc>
        <w:tc>
          <w:tcPr>
            <w:tcW w:w="135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right"/>
              <w:rPr>
                <w:sz w:val="27"/>
                <w:szCs w:val="27"/>
              </w:rPr>
            </w:pPr>
            <w:r>
              <w:rPr>
                <w:sz w:val="27"/>
                <w:szCs w:val="27"/>
              </w:rPr>
              <w:t>2,3</w:t>
            </w:r>
          </w:p>
        </w:tc>
        <w:tc>
          <w:tcPr>
            <w:tcW w:w="141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right"/>
              <w:rPr>
                <w:sz w:val="27"/>
                <w:szCs w:val="27"/>
              </w:rPr>
            </w:pPr>
            <w:r>
              <w:rPr>
                <w:sz w:val="27"/>
                <w:szCs w:val="27"/>
              </w:rPr>
              <w:t>454,0</w:t>
            </w:r>
          </w:p>
        </w:tc>
        <w:tc>
          <w:tcPr>
            <w:tcW w:w="1549"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right"/>
              <w:rPr>
                <w:sz w:val="27"/>
                <w:szCs w:val="27"/>
              </w:rPr>
            </w:pPr>
            <w:r>
              <w:rPr>
                <w:sz w:val="27"/>
                <w:szCs w:val="27"/>
              </w:rPr>
              <w:t>3,8</w:t>
            </w:r>
          </w:p>
        </w:tc>
      </w:tr>
      <w:tr>
        <w:trPr>
          <w:trHeight w:val="454" w:hRule="exact"/>
        </w:trPr>
        <w:tc>
          <w:tcPr>
            <w:tcW w:w="3885" w:type="dxa"/>
            <w:tcBorders>
              <w:left w:val="single" w:sz="4" w:space="0" w:color="000000"/>
              <w:bottom w:val="single" w:sz="4" w:space="0" w:color="000000"/>
              <w:right w:val="single" w:sz="4" w:space="0" w:color="000000"/>
            </w:tcBorders>
            <w:shd w:color="auto" w:fill="FFFFFF" w:val="clear"/>
            <w:vAlign w:val="bottom"/>
          </w:tcPr>
          <w:p>
            <w:pPr>
              <w:pStyle w:val="Normal"/>
              <w:widowControl w:val="false"/>
              <w:rPr>
                <w:sz w:val="27"/>
                <w:szCs w:val="27"/>
              </w:rPr>
            </w:pPr>
            <w:r>
              <w:rPr>
                <w:sz w:val="27"/>
                <w:szCs w:val="27"/>
              </w:rPr>
              <w:t>Інші витрати:</w:t>
            </w:r>
          </w:p>
        </w:tc>
        <w:tc>
          <w:tcPr>
            <w:tcW w:w="1440" w:type="dxa"/>
            <w:tcBorders>
              <w:bottom w:val="single" w:sz="4" w:space="0" w:color="000000"/>
              <w:right w:val="single" w:sz="4" w:space="0" w:color="000000"/>
            </w:tcBorders>
            <w:shd w:color="auto" w:fill="auto" w:val="clear"/>
            <w:vAlign w:val="center"/>
          </w:tcPr>
          <w:p>
            <w:pPr>
              <w:pStyle w:val="Normal"/>
              <w:widowControl w:val="false"/>
              <w:jc w:val="right"/>
              <w:rPr>
                <w:sz w:val="27"/>
                <w:szCs w:val="27"/>
              </w:rPr>
            </w:pPr>
            <w:r>
              <w:rPr>
                <w:sz w:val="27"/>
                <w:szCs w:val="27"/>
              </w:rPr>
              <w:t>485,0</w:t>
            </w:r>
          </w:p>
        </w:tc>
        <w:tc>
          <w:tcPr>
            <w:tcW w:w="135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right"/>
              <w:rPr>
                <w:sz w:val="27"/>
                <w:szCs w:val="27"/>
              </w:rPr>
            </w:pPr>
            <w:r>
              <w:rPr>
                <w:sz w:val="27"/>
                <w:szCs w:val="27"/>
              </w:rPr>
              <w:t>4,9</w:t>
            </w:r>
          </w:p>
          <w:p>
            <w:pPr>
              <w:pStyle w:val="Normal"/>
              <w:widowControl w:val="false"/>
              <w:jc w:val="right"/>
              <w:rPr>
                <w:sz w:val="27"/>
                <w:szCs w:val="27"/>
              </w:rPr>
            </w:pPr>
            <w:r>
              <w:rPr>
                <w:sz w:val="27"/>
                <w:szCs w:val="27"/>
              </w:rPr>
            </w:r>
          </w:p>
        </w:tc>
        <w:tc>
          <w:tcPr>
            <w:tcW w:w="1413" w:type="dxa"/>
            <w:tcBorders>
              <w:left w:val="single" w:sz="4" w:space="0" w:color="000000"/>
              <w:bottom w:val="single" w:sz="4" w:space="0" w:color="000000"/>
              <w:right w:val="single" w:sz="4" w:space="0" w:color="000000"/>
            </w:tcBorders>
            <w:shd w:color="auto" w:fill="auto" w:val="clear"/>
            <w:vAlign w:val="center"/>
          </w:tcPr>
          <w:p>
            <w:pPr>
              <w:pStyle w:val="Normal"/>
              <w:widowControl w:val="false"/>
              <w:jc w:val="right"/>
              <w:rPr>
                <w:sz w:val="27"/>
                <w:szCs w:val="27"/>
              </w:rPr>
            </w:pPr>
            <w:r>
              <w:rPr>
                <w:sz w:val="27"/>
                <w:szCs w:val="27"/>
              </w:rPr>
              <w:t>473,0</w:t>
            </w:r>
          </w:p>
        </w:tc>
        <w:tc>
          <w:tcPr>
            <w:tcW w:w="1549" w:type="dxa"/>
            <w:tcBorders>
              <w:left w:val="single" w:sz="4" w:space="0" w:color="000000"/>
              <w:bottom w:val="single" w:sz="4" w:space="0" w:color="000000"/>
              <w:right w:val="single" w:sz="4" w:space="0" w:color="000000"/>
            </w:tcBorders>
            <w:shd w:color="auto" w:fill="auto" w:val="clear"/>
            <w:vAlign w:val="center"/>
          </w:tcPr>
          <w:p>
            <w:pPr>
              <w:pStyle w:val="Normal"/>
              <w:widowControl w:val="false"/>
              <w:jc w:val="right"/>
              <w:rPr>
                <w:sz w:val="27"/>
                <w:szCs w:val="27"/>
              </w:rPr>
            </w:pPr>
            <w:r>
              <w:rPr>
                <w:sz w:val="27"/>
                <w:szCs w:val="27"/>
              </w:rPr>
              <w:t>3,9</w:t>
            </w:r>
          </w:p>
        </w:tc>
      </w:tr>
      <w:tr>
        <w:trPr>
          <w:trHeight w:val="454" w:hRule="exact"/>
        </w:trPr>
        <w:tc>
          <w:tcPr>
            <w:tcW w:w="3885" w:type="dxa"/>
            <w:tcBorders>
              <w:left w:val="single" w:sz="4" w:space="0" w:color="000000"/>
              <w:bottom w:val="single" w:sz="4" w:space="0" w:color="000000"/>
              <w:right w:val="single" w:sz="4" w:space="0" w:color="000000"/>
            </w:tcBorders>
            <w:shd w:color="auto" w:fill="FFFFFF" w:val="clear"/>
          </w:tcPr>
          <w:p>
            <w:pPr>
              <w:pStyle w:val="Normal"/>
              <w:widowControl w:val="false"/>
              <w:rPr>
                <w:sz w:val="27"/>
                <w:szCs w:val="27"/>
              </w:rPr>
            </w:pPr>
            <w:r>
              <w:rPr>
                <w:i/>
                <w:iCs/>
                <w:sz w:val="27"/>
                <w:szCs w:val="27"/>
              </w:rPr>
              <w:t>- податки</w:t>
            </w:r>
          </w:p>
        </w:tc>
        <w:tc>
          <w:tcPr>
            <w:tcW w:w="1440" w:type="dxa"/>
            <w:tcBorders>
              <w:bottom w:val="single" w:sz="4" w:space="0" w:color="000000"/>
              <w:right w:val="single" w:sz="4" w:space="0" w:color="000000"/>
            </w:tcBorders>
            <w:shd w:color="auto" w:fill="auto" w:val="clear"/>
            <w:vAlign w:val="center"/>
          </w:tcPr>
          <w:p>
            <w:pPr>
              <w:pStyle w:val="Normal"/>
              <w:widowControl w:val="false"/>
              <w:jc w:val="right"/>
              <w:rPr>
                <w:sz w:val="27"/>
                <w:szCs w:val="27"/>
              </w:rPr>
            </w:pPr>
            <w:r>
              <w:rPr>
                <w:sz w:val="27"/>
                <w:szCs w:val="27"/>
              </w:rPr>
              <w:t>29,0</w:t>
            </w:r>
          </w:p>
        </w:tc>
        <w:tc>
          <w:tcPr>
            <w:tcW w:w="135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napToGrid w:val="false"/>
              <w:ind w:firstLine="1080"/>
              <w:jc w:val="right"/>
              <w:rPr>
                <w:sz w:val="27"/>
                <w:szCs w:val="27"/>
              </w:rPr>
            </w:pPr>
            <w:r>
              <w:rPr>
                <w:sz w:val="27"/>
                <w:szCs w:val="27"/>
              </w:rPr>
            </w:r>
          </w:p>
        </w:tc>
        <w:tc>
          <w:tcPr>
            <w:tcW w:w="1413" w:type="dxa"/>
            <w:tcBorders>
              <w:left w:val="single" w:sz="4" w:space="0" w:color="000000"/>
              <w:bottom w:val="single" w:sz="4" w:space="0" w:color="000000"/>
              <w:right w:val="single" w:sz="4" w:space="0" w:color="000000"/>
            </w:tcBorders>
            <w:shd w:color="auto" w:fill="auto" w:val="clear"/>
            <w:vAlign w:val="center"/>
          </w:tcPr>
          <w:p>
            <w:pPr>
              <w:pStyle w:val="Normal"/>
              <w:widowControl w:val="false"/>
              <w:jc w:val="right"/>
              <w:rPr>
                <w:sz w:val="27"/>
                <w:szCs w:val="27"/>
              </w:rPr>
            </w:pPr>
            <w:r>
              <w:rPr>
                <w:sz w:val="27"/>
                <w:szCs w:val="27"/>
              </w:rPr>
              <w:t>36,0</w:t>
            </w:r>
          </w:p>
        </w:tc>
        <w:tc>
          <w:tcPr>
            <w:tcW w:w="1549" w:type="dxa"/>
            <w:tcBorders>
              <w:left w:val="single" w:sz="4" w:space="0" w:color="000000"/>
              <w:bottom w:val="single" w:sz="4" w:space="0" w:color="000000"/>
              <w:right w:val="single" w:sz="4" w:space="0" w:color="000000"/>
            </w:tcBorders>
            <w:shd w:color="auto" w:fill="auto" w:val="clear"/>
            <w:vAlign w:val="center"/>
          </w:tcPr>
          <w:p>
            <w:pPr>
              <w:pStyle w:val="Normal"/>
              <w:widowControl w:val="false"/>
              <w:snapToGrid w:val="false"/>
              <w:ind w:firstLine="1080"/>
              <w:jc w:val="right"/>
              <w:rPr>
                <w:sz w:val="27"/>
                <w:szCs w:val="27"/>
              </w:rPr>
            </w:pPr>
            <w:r>
              <w:rPr>
                <w:sz w:val="27"/>
                <w:szCs w:val="27"/>
              </w:rPr>
            </w:r>
          </w:p>
        </w:tc>
      </w:tr>
      <w:tr>
        <w:trPr>
          <w:trHeight w:val="596" w:hRule="exact"/>
        </w:trPr>
        <w:tc>
          <w:tcPr>
            <w:tcW w:w="3885" w:type="dxa"/>
            <w:tcBorders>
              <w:left w:val="single" w:sz="4" w:space="0" w:color="000000"/>
              <w:bottom w:val="single" w:sz="4" w:space="0" w:color="000000"/>
              <w:right w:val="single" w:sz="4" w:space="0" w:color="000000"/>
            </w:tcBorders>
            <w:shd w:color="auto" w:fill="auto" w:val="clear"/>
          </w:tcPr>
          <w:p>
            <w:pPr>
              <w:pStyle w:val="Normal"/>
              <w:widowControl w:val="false"/>
              <w:rPr/>
            </w:pPr>
            <w:r>
              <w:rPr>
                <w:i/>
                <w:iCs/>
                <w:sz w:val="27"/>
                <w:szCs w:val="27"/>
              </w:rPr>
              <w:t>- послуги сторонніх                                                                                               організацій</w:t>
            </w:r>
          </w:p>
        </w:tc>
        <w:tc>
          <w:tcPr>
            <w:tcW w:w="1440" w:type="dxa"/>
            <w:tcBorders>
              <w:bottom w:val="single" w:sz="4" w:space="0" w:color="000000"/>
              <w:right w:val="single" w:sz="4" w:space="0" w:color="000000"/>
            </w:tcBorders>
            <w:shd w:color="auto" w:fill="auto" w:val="clear"/>
            <w:vAlign w:val="center"/>
          </w:tcPr>
          <w:p>
            <w:pPr>
              <w:pStyle w:val="Normal"/>
              <w:widowControl w:val="false"/>
              <w:jc w:val="right"/>
              <w:rPr>
                <w:sz w:val="27"/>
                <w:szCs w:val="27"/>
              </w:rPr>
            </w:pPr>
            <w:r>
              <w:rPr>
                <w:sz w:val="27"/>
                <w:szCs w:val="27"/>
              </w:rPr>
              <w:t>456,0</w:t>
            </w:r>
          </w:p>
        </w:tc>
        <w:tc>
          <w:tcPr>
            <w:tcW w:w="135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napToGrid w:val="false"/>
              <w:ind w:firstLine="1080"/>
              <w:jc w:val="right"/>
              <w:rPr>
                <w:sz w:val="27"/>
                <w:szCs w:val="27"/>
              </w:rPr>
            </w:pPr>
            <w:r>
              <w:rPr>
                <w:sz w:val="27"/>
                <w:szCs w:val="27"/>
              </w:rPr>
            </w:r>
          </w:p>
        </w:tc>
        <w:tc>
          <w:tcPr>
            <w:tcW w:w="1413" w:type="dxa"/>
            <w:tcBorders>
              <w:left w:val="single" w:sz="4" w:space="0" w:color="000000"/>
              <w:bottom w:val="single" w:sz="4" w:space="0" w:color="000000"/>
              <w:right w:val="single" w:sz="4" w:space="0" w:color="000000"/>
            </w:tcBorders>
            <w:shd w:color="auto" w:fill="auto" w:val="clear"/>
            <w:vAlign w:val="center"/>
          </w:tcPr>
          <w:p>
            <w:pPr>
              <w:pStyle w:val="Normal"/>
              <w:widowControl w:val="false"/>
              <w:jc w:val="right"/>
              <w:rPr>
                <w:sz w:val="27"/>
                <w:szCs w:val="27"/>
              </w:rPr>
            </w:pPr>
            <w:r>
              <w:rPr>
                <w:sz w:val="27"/>
                <w:szCs w:val="27"/>
              </w:rPr>
              <w:t>437,0</w:t>
            </w:r>
          </w:p>
        </w:tc>
        <w:tc>
          <w:tcPr>
            <w:tcW w:w="1549" w:type="dxa"/>
            <w:tcBorders>
              <w:left w:val="single" w:sz="4" w:space="0" w:color="000000"/>
              <w:bottom w:val="single" w:sz="4" w:space="0" w:color="000000"/>
              <w:right w:val="single" w:sz="4" w:space="0" w:color="000000"/>
            </w:tcBorders>
            <w:shd w:color="auto" w:fill="auto" w:val="clear"/>
            <w:vAlign w:val="center"/>
          </w:tcPr>
          <w:p>
            <w:pPr>
              <w:pStyle w:val="Normal"/>
              <w:widowControl w:val="false"/>
              <w:snapToGrid w:val="false"/>
              <w:ind w:firstLine="1080"/>
              <w:jc w:val="right"/>
              <w:rPr>
                <w:sz w:val="27"/>
                <w:szCs w:val="27"/>
              </w:rPr>
            </w:pPr>
            <w:r>
              <w:rPr>
                <w:sz w:val="27"/>
                <w:szCs w:val="27"/>
              </w:rPr>
            </w:r>
          </w:p>
        </w:tc>
      </w:tr>
      <w:tr>
        <w:trPr>
          <w:trHeight w:val="608" w:hRule="exact"/>
        </w:trPr>
        <w:tc>
          <w:tcPr>
            <w:tcW w:w="3885" w:type="dxa"/>
            <w:tcBorders>
              <w:left w:val="single" w:sz="4" w:space="0" w:color="000000"/>
              <w:bottom w:val="single" w:sz="4" w:space="0" w:color="000000"/>
              <w:right w:val="single" w:sz="4" w:space="0" w:color="000000"/>
            </w:tcBorders>
            <w:shd w:color="auto" w:fill="auto" w:val="clear"/>
            <w:vAlign w:val="center"/>
          </w:tcPr>
          <w:p>
            <w:pPr>
              <w:pStyle w:val="Normal"/>
              <w:widowControl w:val="false"/>
              <w:rPr/>
            </w:pPr>
            <w:r>
              <w:rPr>
                <w:sz w:val="27"/>
                <w:szCs w:val="27"/>
              </w:rPr>
              <w:t>Всього:</w:t>
            </w:r>
          </w:p>
        </w:tc>
        <w:tc>
          <w:tcPr>
            <w:tcW w:w="1440" w:type="dxa"/>
            <w:tcBorders>
              <w:bottom w:val="single" w:sz="4" w:space="0" w:color="000000"/>
              <w:right w:val="single" w:sz="4" w:space="0" w:color="000000"/>
            </w:tcBorders>
            <w:shd w:color="auto" w:fill="auto" w:val="clear"/>
            <w:vAlign w:val="center"/>
          </w:tcPr>
          <w:p>
            <w:pPr>
              <w:pStyle w:val="Normal"/>
              <w:widowControl w:val="false"/>
              <w:jc w:val="right"/>
              <w:rPr/>
            </w:pPr>
            <w:r>
              <w:rPr>
                <w:sz w:val="27"/>
                <w:szCs w:val="27"/>
              </w:rPr>
              <w:t>9 845,0</w:t>
            </w:r>
          </w:p>
        </w:tc>
        <w:tc>
          <w:tcPr>
            <w:tcW w:w="135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right"/>
              <w:rPr/>
            </w:pPr>
            <w:r>
              <w:rPr>
                <w:sz w:val="27"/>
                <w:szCs w:val="27"/>
              </w:rPr>
              <w:t>100</w:t>
            </w:r>
            <w:r>
              <w:rPr>
                <w:sz w:val="26"/>
                <w:szCs w:val="26"/>
              </w:rPr>
              <w:t>,0</w:t>
            </w:r>
          </w:p>
        </w:tc>
        <w:tc>
          <w:tcPr>
            <w:tcW w:w="1413" w:type="dxa"/>
            <w:tcBorders>
              <w:left w:val="single" w:sz="4" w:space="0" w:color="000000"/>
              <w:bottom w:val="single" w:sz="4" w:space="0" w:color="000000"/>
              <w:right w:val="single" w:sz="4" w:space="0" w:color="000000"/>
            </w:tcBorders>
            <w:shd w:color="auto" w:fill="auto" w:val="clear"/>
            <w:vAlign w:val="center"/>
          </w:tcPr>
          <w:p>
            <w:pPr>
              <w:pStyle w:val="Normal"/>
              <w:widowControl w:val="false"/>
              <w:ind w:left="-108" w:hanging="0"/>
              <w:jc w:val="right"/>
              <w:rPr>
                <w:sz w:val="27"/>
                <w:szCs w:val="27"/>
              </w:rPr>
            </w:pPr>
            <w:r>
              <w:rPr>
                <w:sz w:val="27"/>
                <w:szCs w:val="27"/>
              </w:rPr>
              <w:t>11 962,0</w:t>
            </w:r>
          </w:p>
        </w:tc>
        <w:tc>
          <w:tcPr>
            <w:tcW w:w="1549" w:type="dxa"/>
            <w:tcBorders>
              <w:left w:val="single" w:sz="4" w:space="0" w:color="000000"/>
              <w:bottom w:val="single" w:sz="4" w:space="0" w:color="000000"/>
              <w:right w:val="single" w:sz="4" w:space="0" w:color="000000"/>
            </w:tcBorders>
            <w:shd w:color="auto" w:fill="auto" w:val="clear"/>
            <w:vAlign w:val="center"/>
          </w:tcPr>
          <w:p>
            <w:pPr>
              <w:pStyle w:val="Normal"/>
              <w:widowControl w:val="false"/>
              <w:jc w:val="right"/>
              <w:rPr/>
            </w:pPr>
            <w:r>
              <w:rPr>
                <w:sz w:val="27"/>
                <w:szCs w:val="27"/>
              </w:rPr>
              <w:t>100</w:t>
            </w:r>
            <w:r>
              <w:rPr>
                <w:sz w:val="26"/>
                <w:szCs w:val="26"/>
              </w:rPr>
              <w:t>,0</w:t>
            </w:r>
          </w:p>
        </w:tc>
      </w:tr>
    </w:tbl>
    <w:p>
      <w:pPr>
        <w:pStyle w:val="Normal"/>
        <w:jc w:val="center"/>
        <w:rPr>
          <w:b/>
          <w:b/>
          <w:bCs/>
          <w:sz w:val="26"/>
          <w:szCs w:val="26"/>
        </w:rPr>
      </w:pPr>
      <w:r>
        <w:rPr>
          <w:b/>
          <w:bCs/>
          <w:sz w:val="26"/>
          <w:szCs w:val="26"/>
        </w:rPr>
      </w:r>
    </w:p>
    <w:p>
      <w:pPr>
        <w:pStyle w:val="Normal"/>
        <w:jc w:val="center"/>
        <w:rPr/>
      </w:pPr>
      <w:r>
        <w:rPr>
          <w:b/>
          <w:bCs/>
          <w:sz w:val="26"/>
          <w:szCs w:val="26"/>
        </w:rPr>
        <w:t xml:space="preserve">Порівняльна таблиця даних поточних податків та обов’язкових платежів </w:t>
      </w:r>
    </w:p>
    <w:p>
      <w:pPr>
        <w:pStyle w:val="Normal"/>
        <w:jc w:val="both"/>
        <w:rPr>
          <w:b/>
          <w:b/>
          <w:bCs/>
        </w:rPr>
      </w:pPr>
      <w:r>
        <w:rPr>
          <w:b/>
          <w:bCs/>
        </w:rPr>
      </w:r>
    </w:p>
    <w:tbl>
      <w:tblPr>
        <w:tblW w:w="9645" w:type="dxa"/>
        <w:jc w:val="left"/>
        <w:tblInd w:w="-5" w:type="dxa"/>
        <w:tblCellMar>
          <w:top w:w="0" w:type="dxa"/>
          <w:left w:w="108" w:type="dxa"/>
          <w:bottom w:w="0" w:type="dxa"/>
          <w:right w:w="108" w:type="dxa"/>
        </w:tblCellMar>
        <w:tblLook w:firstRow="0" w:noVBand="0" w:lastRow="0" w:firstColumn="0" w:lastColumn="0" w:noHBand="0" w:val="0000"/>
      </w:tblPr>
      <w:tblGrid>
        <w:gridCol w:w="4781"/>
        <w:gridCol w:w="2163"/>
        <w:gridCol w:w="2701"/>
      </w:tblGrid>
      <w:tr>
        <w:trPr>
          <w:trHeight w:val="551" w:hRule="exact"/>
        </w:trPr>
        <w:tc>
          <w:tcPr>
            <w:tcW w:w="4781"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5"/>
              <w:widowControl w:val="false"/>
              <w:numPr>
                <w:ilvl w:val="4"/>
                <w:numId w:val="2"/>
              </w:numPr>
              <w:tabs>
                <w:tab w:val="clear" w:pos="709"/>
                <w:tab w:val="left" w:pos="2940" w:leader="none"/>
              </w:tabs>
              <w:ind w:firstLine="1080"/>
              <w:rPr>
                <w:sz w:val="26"/>
                <w:szCs w:val="26"/>
              </w:rPr>
            </w:pPr>
            <w:r>
              <w:rPr>
                <w:b/>
                <w:bCs/>
                <w:sz w:val="26"/>
                <w:szCs w:val="26"/>
              </w:rPr>
              <w:t>Показники</w:t>
            </w:r>
          </w:p>
        </w:tc>
        <w:tc>
          <w:tcPr>
            <w:tcW w:w="216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jc w:val="center"/>
              <w:rPr>
                <w:b/>
                <w:b/>
                <w:sz w:val="26"/>
                <w:szCs w:val="26"/>
              </w:rPr>
            </w:pPr>
            <w:r>
              <w:rPr>
                <w:b/>
                <w:sz w:val="26"/>
                <w:szCs w:val="26"/>
              </w:rPr>
            </w:r>
          </w:p>
          <w:p>
            <w:pPr>
              <w:pStyle w:val="Normal"/>
              <w:widowControl w:val="false"/>
              <w:jc w:val="center"/>
              <w:rPr>
                <w:b/>
                <w:b/>
              </w:rPr>
            </w:pPr>
            <w:r>
              <w:rPr>
                <w:b/>
              </w:rPr>
              <w:t>9 місяців 2020 р.</w:t>
            </w:r>
          </w:p>
        </w:tc>
        <w:tc>
          <w:tcPr>
            <w:tcW w:w="270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jc w:val="center"/>
              <w:rPr>
                <w:b/>
                <w:b/>
                <w:bCs/>
                <w:sz w:val="22"/>
                <w:szCs w:val="22"/>
              </w:rPr>
            </w:pPr>
            <w:r>
              <w:rPr>
                <w:b/>
                <w:bCs/>
                <w:sz w:val="22"/>
                <w:szCs w:val="22"/>
              </w:rPr>
            </w:r>
          </w:p>
          <w:p>
            <w:pPr>
              <w:pStyle w:val="Normal"/>
              <w:widowControl w:val="false"/>
              <w:jc w:val="center"/>
              <w:rPr/>
            </w:pPr>
            <w:r>
              <w:rPr>
                <w:b/>
              </w:rPr>
              <w:t>9 місяців 2021р.</w:t>
            </w:r>
          </w:p>
        </w:tc>
      </w:tr>
      <w:tr>
        <w:trPr>
          <w:trHeight w:val="284" w:hRule="exact"/>
        </w:trPr>
        <w:tc>
          <w:tcPr>
            <w:tcW w:w="4781"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5"/>
              <w:widowControl w:val="false"/>
              <w:numPr>
                <w:ilvl w:val="0"/>
                <w:numId w:val="0"/>
              </w:numPr>
              <w:tabs>
                <w:tab w:val="clear" w:pos="709"/>
                <w:tab w:val="left" w:pos="2940" w:leader="none"/>
              </w:tabs>
              <w:snapToGrid w:val="false"/>
              <w:jc w:val="left"/>
              <w:rPr>
                <w:b/>
                <w:b/>
                <w:bCs/>
                <w:iCs/>
                <w:sz w:val="26"/>
                <w:szCs w:val="26"/>
              </w:rPr>
            </w:pPr>
            <w:r>
              <w:rPr>
                <w:b/>
                <w:bCs/>
                <w:iCs/>
                <w:sz w:val="26"/>
                <w:szCs w:val="26"/>
              </w:rPr>
            </w:r>
          </w:p>
        </w:tc>
        <w:tc>
          <w:tcPr>
            <w:tcW w:w="216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pPr>
            <w:r>
              <w:rPr>
                <w:bCs/>
                <w:sz w:val="22"/>
                <w:szCs w:val="22"/>
              </w:rPr>
              <w:t>тис. грн</w:t>
            </w:r>
          </w:p>
        </w:tc>
        <w:tc>
          <w:tcPr>
            <w:tcW w:w="270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bCs/>
                <w:sz w:val="22"/>
                <w:szCs w:val="22"/>
              </w:rPr>
            </w:pPr>
            <w:r>
              <w:rPr>
                <w:bCs/>
                <w:sz w:val="22"/>
                <w:szCs w:val="22"/>
              </w:rPr>
              <w:t>тис. грн</w:t>
            </w:r>
          </w:p>
        </w:tc>
      </w:tr>
      <w:tr>
        <w:trPr>
          <w:trHeight w:val="620" w:hRule="exact"/>
        </w:trPr>
        <w:tc>
          <w:tcPr>
            <w:tcW w:w="478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sz w:val="26"/>
                <w:szCs w:val="26"/>
              </w:rPr>
            </w:pPr>
            <w:r>
              <w:rPr>
                <w:sz w:val="26"/>
                <w:szCs w:val="26"/>
              </w:rPr>
              <w:t>Сплата поточних податків та обов’язкових платежів до бюджету</w:t>
            </w:r>
          </w:p>
        </w:tc>
        <w:tc>
          <w:tcPr>
            <w:tcW w:w="216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jc w:val="right"/>
              <w:rPr>
                <w:bCs/>
                <w:sz w:val="26"/>
                <w:szCs w:val="26"/>
              </w:rPr>
            </w:pPr>
            <w:r>
              <w:rPr>
                <w:bCs/>
                <w:sz w:val="26"/>
                <w:szCs w:val="26"/>
              </w:rPr>
            </w:r>
          </w:p>
          <w:p>
            <w:pPr>
              <w:pStyle w:val="Normal"/>
              <w:widowControl w:val="false"/>
              <w:jc w:val="right"/>
              <w:rPr/>
            </w:pPr>
            <w:r>
              <w:rPr>
                <w:bCs/>
                <w:sz w:val="26"/>
                <w:szCs w:val="26"/>
              </w:rPr>
              <w:t>2 563,0</w:t>
            </w:r>
          </w:p>
        </w:tc>
        <w:tc>
          <w:tcPr>
            <w:tcW w:w="270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ind w:hanging="108"/>
              <w:jc w:val="right"/>
              <w:rPr>
                <w:bCs/>
                <w:sz w:val="26"/>
                <w:szCs w:val="26"/>
              </w:rPr>
            </w:pPr>
            <w:r>
              <w:rPr>
                <w:bCs/>
                <w:sz w:val="26"/>
                <w:szCs w:val="26"/>
              </w:rPr>
            </w:r>
          </w:p>
          <w:p>
            <w:pPr>
              <w:pStyle w:val="Normal"/>
              <w:widowControl w:val="false"/>
              <w:ind w:hanging="108"/>
              <w:jc w:val="right"/>
              <w:rPr/>
            </w:pPr>
            <w:r>
              <w:rPr>
                <w:bCs/>
                <w:sz w:val="26"/>
                <w:szCs w:val="26"/>
              </w:rPr>
              <w:t>2 862,0</w:t>
            </w:r>
          </w:p>
        </w:tc>
      </w:tr>
      <w:tr>
        <w:trPr>
          <w:trHeight w:val="347" w:hRule="exact"/>
        </w:trPr>
        <w:tc>
          <w:tcPr>
            <w:tcW w:w="478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pPr>
            <w:r>
              <w:rPr>
                <w:sz w:val="26"/>
                <w:szCs w:val="26"/>
              </w:rPr>
              <w:t xml:space="preserve">у тому числі: </w:t>
            </w:r>
          </w:p>
        </w:tc>
        <w:tc>
          <w:tcPr>
            <w:tcW w:w="216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jc w:val="right"/>
              <w:rPr>
                <w:bCs/>
                <w:sz w:val="26"/>
                <w:szCs w:val="26"/>
              </w:rPr>
            </w:pPr>
            <w:r>
              <w:rPr>
                <w:bCs/>
                <w:sz w:val="26"/>
                <w:szCs w:val="26"/>
              </w:rPr>
            </w:r>
          </w:p>
        </w:tc>
        <w:tc>
          <w:tcPr>
            <w:tcW w:w="270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ind w:hanging="108"/>
              <w:jc w:val="right"/>
              <w:rPr>
                <w:bCs/>
                <w:sz w:val="26"/>
                <w:szCs w:val="26"/>
              </w:rPr>
            </w:pPr>
            <w:r>
              <w:rPr>
                <w:bCs/>
                <w:sz w:val="26"/>
                <w:szCs w:val="26"/>
              </w:rPr>
            </w:r>
          </w:p>
        </w:tc>
      </w:tr>
      <w:tr>
        <w:trPr>
          <w:trHeight w:val="374" w:hRule="exact"/>
        </w:trPr>
        <w:tc>
          <w:tcPr>
            <w:tcW w:w="478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both"/>
              <w:rPr/>
            </w:pPr>
            <w:r>
              <w:rPr>
                <w:sz w:val="26"/>
                <w:szCs w:val="26"/>
              </w:rPr>
              <w:t xml:space="preserve">- податок на прибуток                                                                                                                                                                                                                    </w:t>
            </w:r>
          </w:p>
        </w:tc>
        <w:tc>
          <w:tcPr>
            <w:tcW w:w="216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right"/>
              <w:rPr>
                <w:sz w:val="26"/>
                <w:szCs w:val="26"/>
              </w:rPr>
            </w:pPr>
            <w:r>
              <w:rPr>
                <w:sz w:val="26"/>
                <w:szCs w:val="26"/>
              </w:rPr>
              <w:t>0,2</w:t>
            </w:r>
          </w:p>
        </w:tc>
        <w:tc>
          <w:tcPr>
            <w:tcW w:w="270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ind w:hanging="108"/>
              <w:jc w:val="right"/>
              <w:rPr/>
            </w:pPr>
            <w:r>
              <w:rPr>
                <w:sz w:val="26"/>
                <w:szCs w:val="26"/>
              </w:rPr>
              <w:t>2,0</w:t>
            </w:r>
          </w:p>
        </w:tc>
      </w:tr>
      <w:tr>
        <w:trPr>
          <w:trHeight w:val="333" w:hRule="exact"/>
        </w:trPr>
        <w:tc>
          <w:tcPr>
            <w:tcW w:w="478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pPr>
            <w:r>
              <w:rPr>
                <w:sz w:val="26"/>
                <w:szCs w:val="26"/>
              </w:rPr>
              <w:t>- ПДВ, що підлягає сплаті до бюджету</w:t>
            </w:r>
          </w:p>
        </w:tc>
        <w:tc>
          <w:tcPr>
            <w:tcW w:w="216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right"/>
              <w:rPr>
                <w:sz w:val="26"/>
                <w:szCs w:val="26"/>
              </w:rPr>
            </w:pPr>
            <w:r>
              <w:rPr>
                <w:sz w:val="26"/>
                <w:szCs w:val="26"/>
              </w:rPr>
              <w:t>207,0</w:t>
            </w:r>
          </w:p>
        </w:tc>
        <w:tc>
          <w:tcPr>
            <w:tcW w:w="270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ind w:hanging="108"/>
              <w:jc w:val="right"/>
              <w:rPr>
                <w:sz w:val="26"/>
                <w:szCs w:val="26"/>
              </w:rPr>
            </w:pPr>
            <w:r>
              <w:rPr>
                <w:sz w:val="26"/>
                <w:szCs w:val="26"/>
              </w:rPr>
              <w:t>37,0</w:t>
            </w:r>
          </w:p>
        </w:tc>
      </w:tr>
      <w:tr>
        <w:trPr>
          <w:trHeight w:val="420" w:hRule="exact"/>
        </w:trPr>
        <w:tc>
          <w:tcPr>
            <w:tcW w:w="478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pPr>
            <w:r>
              <w:rPr>
                <w:sz w:val="26"/>
                <w:szCs w:val="26"/>
              </w:rPr>
              <w:t>- інші податки, а саме:</w:t>
            </w:r>
          </w:p>
        </w:tc>
        <w:tc>
          <w:tcPr>
            <w:tcW w:w="216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right"/>
              <w:rPr/>
            </w:pPr>
            <w:r>
              <w:rPr>
                <w:sz w:val="26"/>
                <w:szCs w:val="26"/>
              </w:rPr>
              <w:t>2 355,8</w:t>
            </w:r>
          </w:p>
        </w:tc>
        <w:tc>
          <w:tcPr>
            <w:tcW w:w="270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ind w:hanging="108"/>
              <w:jc w:val="right"/>
              <w:rPr/>
            </w:pPr>
            <w:r>
              <w:rPr>
                <w:sz w:val="26"/>
                <w:szCs w:val="26"/>
              </w:rPr>
              <w:t>2 823,0</w:t>
            </w:r>
          </w:p>
        </w:tc>
      </w:tr>
      <w:tr>
        <w:trPr>
          <w:trHeight w:val="416" w:hRule="exact"/>
        </w:trPr>
        <w:tc>
          <w:tcPr>
            <w:tcW w:w="478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pPr>
            <w:r>
              <w:rPr>
                <w:sz w:val="26"/>
                <w:szCs w:val="26"/>
              </w:rPr>
              <w:t xml:space="preserve">- єдиний соціальний внесок                                                                                                                                                                                                                                                                                                                        </w:t>
            </w:r>
          </w:p>
        </w:tc>
        <w:tc>
          <w:tcPr>
            <w:tcW w:w="216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right"/>
              <w:rPr/>
            </w:pPr>
            <w:r>
              <w:rPr>
                <w:sz w:val="26"/>
                <w:szCs w:val="26"/>
              </w:rPr>
              <w:t>1 208,0</w:t>
            </w:r>
          </w:p>
        </w:tc>
        <w:tc>
          <w:tcPr>
            <w:tcW w:w="270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ind w:hanging="108"/>
              <w:jc w:val="right"/>
              <w:rPr/>
            </w:pPr>
            <w:r>
              <w:rPr>
                <w:sz w:val="26"/>
                <w:szCs w:val="26"/>
              </w:rPr>
              <w:t>1 428,0</w:t>
            </w:r>
          </w:p>
        </w:tc>
      </w:tr>
      <w:tr>
        <w:trPr>
          <w:trHeight w:val="372" w:hRule="exact"/>
        </w:trPr>
        <w:tc>
          <w:tcPr>
            <w:tcW w:w="478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pPr>
            <w:r>
              <w:rPr>
                <w:sz w:val="26"/>
                <w:szCs w:val="26"/>
              </w:rPr>
              <w:t>- земельний податок</w:t>
            </w:r>
          </w:p>
        </w:tc>
        <w:tc>
          <w:tcPr>
            <w:tcW w:w="216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right"/>
              <w:rPr>
                <w:sz w:val="26"/>
                <w:szCs w:val="26"/>
              </w:rPr>
            </w:pPr>
            <w:r>
              <w:rPr>
                <w:sz w:val="26"/>
                <w:szCs w:val="26"/>
              </w:rPr>
              <w:t>13,0</w:t>
            </w:r>
          </w:p>
        </w:tc>
        <w:tc>
          <w:tcPr>
            <w:tcW w:w="270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ind w:hanging="108"/>
              <w:jc w:val="right"/>
              <w:rPr>
                <w:sz w:val="26"/>
                <w:szCs w:val="26"/>
              </w:rPr>
            </w:pPr>
            <w:r>
              <w:rPr>
                <w:sz w:val="26"/>
                <w:szCs w:val="26"/>
              </w:rPr>
              <w:t>13,0</w:t>
            </w:r>
          </w:p>
        </w:tc>
      </w:tr>
      <w:tr>
        <w:trPr>
          <w:trHeight w:val="397" w:hRule="exact"/>
        </w:trPr>
        <w:tc>
          <w:tcPr>
            <w:tcW w:w="478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pPr>
            <w:r>
              <w:rPr>
                <w:sz w:val="26"/>
                <w:szCs w:val="26"/>
              </w:rPr>
              <w:t>- оренда комунальної власності</w:t>
            </w:r>
          </w:p>
        </w:tc>
        <w:tc>
          <w:tcPr>
            <w:tcW w:w="216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right"/>
              <w:rPr>
                <w:sz w:val="26"/>
                <w:szCs w:val="26"/>
              </w:rPr>
            </w:pPr>
            <w:r>
              <w:rPr>
                <w:sz w:val="26"/>
                <w:szCs w:val="26"/>
              </w:rPr>
              <w:t>32,0</w:t>
            </w:r>
          </w:p>
        </w:tc>
        <w:tc>
          <w:tcPr>
            <w:tcW w:w="270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ind w:hanging="108"/>
              <w:jc w:val="right"/>
              <w:rPr>
                <w:sz w:val="26"/>
                <w:szCs w:val="26"/>
              </w:rPr>
            </w:pPr>
            <w:r>
              <w:rPr>
                <w:sz w:val="26"/>
                <w:szCs w:val="26"/>
              </w:rPr>
              <w:t>42,0</w:t>
            </w:r>
          </w:p>
        </w:tc>
      </w:tr>
      <w:tr>
        <w:trPr>
          <w:trHeight w:val="365" w:hRule="exact"/>
        </w:trPr>
        <w:tc>
          <w:tcPr>
            <w:tcW w:w="478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pPr>
            <w:r>
              <w:rPr>
                <w:sz w:val="26"/>
                <w:szCs w:val="26"/>
              </w:rPr>
              <w:t> </w:t>
            </w:r>
            <w:r>
              <w:rPr>
                <w:sz w:val="26"/>
                <w:szCs w:val="26"/>
              </w:rPr>
              <w:t>- військовий податок</w:t>
            </w:r>
          </w:p>
        </w:tc>
        <w:tc>
          <w:tcPr>
            <w:tcW w:w="216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right"/>
              <w:rPr>
                <w:sz w:val="26"/>
                <w:szCs w:val="26"/>
              </w:rPr>
            </w:pPr>
            <w:r>
              <w:rPr>
                <w:sz w:val="26"/>
                <w:szCs w:val="26"/>
              </w:rPr>
              <w:t>84,0</w:t>
            </w:r>
          </w:p>
        </w:tc>
        <w:tc>
          <w:tcPr>
            <w:tcW w:w="270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ind w:hanging="108"/>
              <w:jc w:val="right"/>
              <w:rPr>
                <w:sz w:val="26"/>
                <w:szCs w:val="26"/>
              </w:rPr>
            </w:pPr>
            <w:r>
              <w:rPr>
                <w:sz w:val="26"/>
                <w:szCs w:val="26"/>
              </w:rPr>
              <w:t>109,0</w:t>
            </w:r>
          </w:p>
        </w:tc>
      </w:tr>
      <w:tr>
        <w:trPr>
          <w:trHeight w:val="303" w:hRule="exact"/>
        </w:trPr>
        <w:tc>
          <w:tcPr>
            <w:tcW w:w="478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pPr>
            <w:r>
              <w:rPr>
                <w:sz w:val="26"/>
                <w:szCs w:val="26"/>
              </w:rPr>
              <w:t>- (вода, екологія)</w:t>
            </w:r>
          </w:p>
        </w:tc>
        <w:tc>
          <w:tcPr>
            <w:tcW w:w="216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right"/>
              <w:rPr>
                <w:sz w:val="26"/>
                <w:szCs w:val="26"/>
              </w:rPr>
            </w:pPr>
            <w:r>
              <w:rPr>
                <w:sz w:val="26"/>
                <w:szCs w:val="26"/>
              </w:rPr>
              <w:t>0,8</w:t>
            </w:r>
          </w:p>
        </w:tc>
        <w:tc>
          <w:tcPr>
            <w:tcW w:w="270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ind w:hanging="108"/>
              <w:jc w:val="right"/>
              <w:rPr>
                <w:sz w:val="26"/>
                <w:szCs w:val="26"/>
              </w:rPr>
            </w:pPr>
            <w:r>
              <w:rPr>
                <w:sz w:val="26"/>
                <w:szCs w:val="26"/>
              </w:rPr>
              <w:t>1,0</w:t>
            </w:r>
          </w:p>
        </w:tc>
      </w:tr>
      <w:tr>
        <w:trPr>
          <w:trHeight w:val="355" w:hRule="exact"/>
        </w:trPr>
        <w:tc>
          <w:tcPr>
            <w:tcW w:w="4781"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pPr>
            <w:r>
              <w:rPr>
                <w:sz w:val="26"/>
                <w:szCs w:val="26"/>
              </w:rPr>
              <w:t>- податок з доходів громадян</w:t>
            </w:r>
          </w:p>
        </w:tc>
        <w:tc>
          <w:tcPr>
            <w:tcW w:w="216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right"/>
              <w:rPr/>
            </w:pPr>
            <w:r>
              <w:rPr>
                <w:sz w:val="26"/>
                <w:szCs w:val="26"/>
              </w:rPr>
              <w:t>1 018,0</w:t>
            </w:r>
          </w:p>
        </w:tc>
        <w:tc>
          <w:tcPr>
            <w:tcW w:w="270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ind w:hanging="108"/>
              <w:jc w:val="right"/>
              <w:rPr>
                <w:sz w:val="26"/>
                <w:szCs w:val="26"/>
              </w:rPr>
            </w:pPr>
            <w:r>
              <w:rPr>
                <w:sz w:val="26"/>
                <w:szCs w:val="26"/>
              </w:rPr>
              <w:t>1 230,0</w:t>
            </w:r>
          </w:p>
        </w:tc>
      </w:tr>
    </w:tbl>
    <w:p>
      <w:pPr>
        <w:pStyle w:val="Normal"/>
        <w:jc w:val="both"/>
        <w:rPr>
          <w:b/>
          <w:b/>
          <w:bCs/>
          <w:sz w:val="27"/>
          <w:szCs w:val="27"/>
        </w:rPr>
      </w:pPr>
      <w:r>
        <w:rPr>
          <w:b/>
          <w:bCs/>
          <w:sz w:val="27"/>
          <w:szCs w:val="27"/>
        </w:rPr>
      </w:r>
    </w:p>
    <w:p>
      <w:pPr>
        <w:pStyle w:val="Normal"/>
        <w:ind w:firstLine="567"/>
        <w:jc w:val="both"/>
        <w:rPr>
          <w:sz w:val="28"/>
          <w:szCs w:val="28"/>
        </w:rPr>
      </w:pPr>
      <w:r>
        <w:rPr>
          <w:b/>
          <w:bCs/>
          <w:sz w:val="28"/>
          <w:szCs w:val="28"/>
        </w:rPr>
        <w:t>Дебіторська та кредиторська заборгованість.</w:t>
      </w:r>
    </w:p>
    <w:p>
      <w:pPr>
        <w:pStyle w:val="Normal"/>
        <w:ind w:firstLine="567"/>
        <w:jc w:val="both"/>
        <w:rPr>
          <w:sz w:val="28"/>
          <w:szCs w:val="28"/>
        </w:rPr>
      </w:pPr>
      <w:r>
        <w:rPr>
          <w:sz w:val="28"/>
          <w:szCs w:val="28"/>
        </w:rPr>
        <w:t xml:space="preserve">Щодо дебіторської та кредиторської заборгованості необхідно зазначити наступне, у порівнянні з даними 9 місяців 2020 року: </w:t>
      </w:r>
    </w:p>
    <w:p>
      <w:pPr>
        <w:pStyle w:val="Normal"/>
        <w:ind w:firstLine="567"/>
        <w:jc w:val="both"/>
        <w:rPr>
          <w:sz w:val="28"/>
          <w:szCs w:val="28"/>
        </w:rPr>
      </w:pPr>
      <w:r>
        <w:rPr>
          <w:sz w:val="28"/>
          <w:szCs w:val="28"/>
        </w:rPr>
        <w:t xml:space="preserve">- дебіторська заборгованість збільшилась у загальному на 11,1 % і станом на 01.10.2021 - складала 15,0 тис. </w:t>
      </w:r>
      <w:r>
        <w:rPr>
          <w:sz w:val="28"/>
          <w:szCs w:val="28"/>
          <w:shd w:fill="FFFFFF" w:val="clear"/>
        </w:rPr>
        <w:t xml:space="preserve">грн. Дана </w:t>
      </w:r>
      <w:r>
        <w:rPr>
          <w:sz w:val="28"/>
          <w:szCs w:val="28"/>
          <w:highlight w:val="white"/>
        </w:rPr>
        <w:t>з</w:t>
      </w:r>
      <w:r>
        <w:rPr>
          <w:sz w:val="28"/>
          <w:szCs w:val="28"/>
        </w:rPr>
        <w:t>аборгованість є поточною і оплачена протягом наступного звітного періоду.</w:t>
      </w:r>
    </w:p>
    <w:p>
      <w:pPr>
        <w:pStyle w:val="Normal"/>
        <w:ind w:firstLine="567"/>
        <w:jc w:val="both"/>
        <w:rPr/>
      </w:pPr>
      <w:r>
        <w:rPr>
          <w:sz w:val="28"/>
          <w:szCs w:val="28"/>
        </w:rPr>
        <w:t>- кредиторська заборгованість збільшилась на 70,6 % і станом на 01.10.2021р складала 1 119,0 тис. грн.</w:t>
      </w:r>
    </w:p>
    <w:p>
      <w:pPr>
        <w:pStyle w:val="Normal"/>
        <w:ind w:firstLine="567"/>
        <w:jc w:val="both"/>
        <w:rPr>
          <w:sz w:val="27"/>
          <w:szCs w:val="27"/>
        </w:rPr>
      </w:pPr>
      <w:r>
        <w:rPr>
          <w:sz w:val="27"/>
          <w:szCs w:val="27"/>
        </w:rPr>
      </w:r>
    </w:p>
    <w:tbl>
      <w:tblPr>
        <w:tblW w:w="9645" w:type="dxa"/>
        <w:jc w:val="left"/>
        <w:tblInd w:w="-5" w:type="dxa"/>
        <w:tblCellMar>
          <w:top w:w="0" w:type="dxa"/>
          <w:left w:w="108" w:type="dxa"/>
          <w:bottom w:w="0" w:type="dxa"/>
          <w:right w:w="108" w:type="dxa"/>
        </w:tblCellMar>
        <w:tblLook w:firstRow="0" w:noVBand="0" w:lastRow="0" w:firstColumn="0" w:lastColumn="0" w:noHBand="0" w:val="0000"/>
      </w:tblPr>
      <w:tblGrid>
        <w:gridCol w:w="4965"/>
        <w:gridCol w:w="2153"/>
        <w:gridCol w:w="2527"/>
      </w:tblGrid>
      <w:tr>
        <w:trPr>
          <w:trHeight w:val="675" w:hRule="exact"/>
        </w:trPr>
        <w:tc>
          <w:tcPr>
            <w:tcW w:w="4965" w:type="dxa"/>
            <w:vMerge w:val="restart"/>
            <w:tcBorders>
              <w:top w:val="single" w:sz="4" w:space="0" w:color="000000"/>
              <w:left w:val="single" w:sz="4" w:space="0" w:color="000000"/>
              <w:bottom w:val="single" w:sz="4" w:space="0" w:color="000000"/>
              <w:right w:val="single" w:sz="4" w:space="0" w:color="000000"/>
            </w:tcBorders>
            <w:shd w:color="auto" w:fill="auto" w:val="clear"/>
            <w:vAlign w:val="center"/>
          </w:tcPr>
          <w:p>
            <w:pPr>
              <w:pStyle w:val="5"/>
              <w:widowControl w:val="false"/>
              <w:numPr>
                <w:ilvl w:val="4"/>
                <w:numId w:val="2"/>
              </w:numPr>
              <w:tabs>
                <w:tab w:val="clear" w:pos="709"/>
                <w:tab w:val="left" w:pos="2940" w:leader="none"/>
              </w:tabs>
              <w:ind w:firstLine="1080"/>
              <w:jc w:val="left"/>
              <w:rPr>
                <w:b/>
                <w:b/>
                <w:sz w:val="27"/>
                <w:szCs w:val="27"/>
              </w:rPr>
            </w:pPr>
            <w:r>
              <w:rPr>
                <w:b/>
                <w:sz w:val="27"/>
                <w:szCs w:val="27"/>
              </w:rPr>
            </w:r>
          </w:p>
          <w:p>
            <w:pPr>
              <w:pStyle w:val="5"/>
              <w:widowControl w:val="false"/>
              <w:numPr>
                <w:ilvl w:val="4"/>
                <w:numId w:val="2"/>
              </w:numPr>
              <w:tabs>
                <w:tab w:val="clear" w:pos="709"/>
                <w:tab w:val="left" w:pos="2940" w:leader="none"/>
              </w:tabs>
              <w:ind w:firstLine="1080"/>
              <w:rPr/>
            </w:pPr>
            <w:r>
              <w:rPr>
                <w:b/>
                <w:sz w:val="27"/>
                <w:szCs w:val="27"/>
              </w:rPr>
              <w:t>Показники</w:t>
            </w:r>
          </w:p>
        </w:tc>
        <w:tc>
          <w:tcPr>
            <w:tcW w:w="215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b/>
                <w:b/>
                <w:sz w:val="24"/>
                <w:szCs w:val="24"/>
              </w:rPr>
            </w:pPr>
            <w:r>
              <w:rPr>
                <w:b/>
                <w:sz w:val="24"/>
                <w:szCs w:val="24"/>
              </w:rPr>
            </w:r>
          </w:p>
          <w:p>
            <w:pPr>
              <w:pStyle w:val="Normal"/>
              <w:widowControl w:val="false"/>
              <w:jc w:val="center"/>
              <w:rPr>
                <w:sz w:val="24"/>
                <w:szCs w:val="24"/>
              </w:rPr>
            </w:pPr>
            <w:r>
              <w:rPr>
                <w:b/>
                <w:sz w:val="24"/>
                <w:szCs w:val="24"/>
              </w:rPr>
              <w:t>9 місяців 2020 р.</w:t>
            </w:r>
          </w:p>
        </w:tc>
        <w:tc>
          <w:tcPr>
            <w:tcW w:w="2527"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b/>
                <w:b/>
                <w:sz w:val="24"/>
                <w:szCs w:val="24"/>
              </w:rPr>
            </w:pPr>
            <w:r>
              <w:rPr>
                <w:b/>
                <w:sz w:val="24"/>
                <w:szCs w:val="24"/>
              </w:rPr>
            </w:r>
          </w:p>
          <w:p>
            <w:pPr>
              <w:pStyle w:val="Normal"/>
              <w:widowControl w:val="false"/>
              <w:jc w:val="center"/>
              <w:rPr>
                <w:sz w:val="24"/>
                <w:szCs w:val="24"/>
              </w:rPr>
            </w:pPr>
            <w:r>
              <w:rPr>
                <w:b/>
                <w:sz w:val="24"/>
                <w:szCs w:val="24"/>
              </w:rPr>
              <w:t xml:space="preserve">9 місяців 2021р. </w:t>
            </w:r>
          </w:p>
        </w:tc>
      </w:tr>
      <w:tr>
        <w:trPr>
          <w:trHeight w:val="284" w:hRule="exact"/>
        </w:trPr>
        <w:tc>
          <w:tcPr>
            <w:tcW w:w="4965" w:type="dxa"/>
            <w:vMerge w:val="continue"/>
            <w:tcBorders>
              <w:top w:val="single" w:sz="4" w:space="0" w:color="000000"/>
              <w:left w:val="single" w:sz="4" w:space="0" w:color="000000"/>
              <w:bottom w:val="single" w:sz="4" w:space="0" w:color="000000"/>
              <w:right w:val="single" w:sz="4" w:space="0" w:color="000000"/>
            </w:tcBorders>
            <w:shd w:color="auto" w:fill="auto" w:val="clear"/>
            <w:vAlign w:val="center"/>
          </w:tcPr>
          <w:p>
            <w:pPr>
              <w:pStyle w:val="5"/>
              <w:widowControl w:val="false"/>
              <w:numPr>
                <w:ilvl w:val="0"/>
                <w:numId w:val="0"/>
              </w:numPr>
              <w:tabs>
                <w:tab w:val="clear" w:pos="709"/>
                <w:tab w:val="left" w:pos="2940" w:leader="none"/>
              </w:tabs>
              <w:snapToGrid w:val="false"/>
              <w:jc w:val="left"/>
              <w:rPr>
                <w:b/>
                <w:b/>
                <w:bCs/>
                <w:iCs/>
                <w:sz w:val="27"/>
                <w:szCs w:val="27"/>
              </w:rPr>
            </w:pPr>
            <w:r>
              <w:rPr>
                <w:b/>
                <w:bCs/>
                <w:iCs/>
                <w:sz w:val="27"/>
                <w:szCs w:val="27"/>
              </w:rPr>
            </w:r>
          </w:p>
        </w:tc>
        <w:tc>
          <w:tcPr>
            <w:tcW w:w="215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pPr>
            <w:r>
              <w:rPr>
                <w:bCs/>
                <w:i/>
                <w:iCs/>
                <w:sz w:val="27"/>
                <w:szCs w:val="27"/>
              </w:rPr>
              <w:t>тис. грн</w:t>
            </w:r>
          </w:p>
        </w:tc>
        <w:tc>
          <w:tcPr>
            <w:tcW w:w="252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pPr>
            <w:r>
              <w:rPr>
                <w:bCs/>
                <w:i/>
                <w:iCs/>
                <w:sz w:val="27"/>
                <w:szCs w:val="27"/>
              </w:rPr>
              <w:t>тис. грн</w:t>
            </w:r>
          </w:p>
        </w:tc>
      </w:tr>
      <w:tr>
        <w:trPr>
          <w:trHeight w:val="435" w:hRule="exact"/>
        </w:trPr>
        <w:tc>
          <w:tcPr>
            <w:tcW w:w="496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sz w:val="27"/>
                <w:szCs w:val="27"/>
              </w:rPr>
            </w:pPr>
            <w:r>
              <w:rPr>
                <w:b/>
                <w:bCs/>
                <w:sz w:val="27"/>
                <w:szCs w:val="27"/>
              </w:rPr>
              <w:t>Дебіторська</w:t>
            </w:r>
            <w:r>
              <w:rPr>
                <w:sz w:val="27"/>
                <w:szCs w:val="27"/>
              </w:rPr>
              <w:t xml:space="preserve"> </w:t>
            </w:r>
            <w:r>
              <w:rPr>
                <w:b/>
                <w:bCs/>
                <w:sz w:val="27"/>
                <w:szCs w:val="27"/>
              </w:rPr>
              <w:t>заборгованість</w:t>
            </w:r>
          </w:p>
        </w:tc>
        <w:tc>
          <w:tcPr>
            <w:tcW w:w="215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right"/>
              <w:rPr>
                <w:b/>
                <w:b/>
                <w:bCs/>
                <w:sz w:val="27"/>
                <w:szCs w:val="27"/>
              </w:rPr>
            </w:pPr>
            <w:r>
              <w:rPr>
                <w:b/>
                <w:bCs/>
                <w:sz w:val="27"/>
                <w:szCs w:val="27"/>
              </w:rPr>
              <w:t>13,5</w:t>
            </w:r>
          </w:p>
        </w:tc>
        <w:tc>
          <w:tcPr>
            <w:tcW w:w="252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ind w:left="-108" w:hanging="0"/>
              <w:jc w:val="right"/>
              <w:rPr>
                <w:sz w:val="27"/>
                <w:szCs w:val="27"/>
              </w:rPr>
            </w:pPr>
            <w:r>
              <w:rPr>
                <w:b/>
                <w:bCs/>
                <w:sz w:val="27"/>
                <w:szCs w:val="27"/>
              </w:rPr>
              <w:t>15,0</w:t>
            </w:r>
          </w:p>
        </w:tc>
      </w:tr>
      <w:tr>
        <w:trPr>
          <w:trHeight w:val="347" w:hRule="exact"/>
        </w:trPr>
        <w:tc>
          <w:tcPr>
            <w:tcW w:w="496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both"/>
              <w:rPr>
                <w:sz w:val="27"/>
                <w:szCs w:val="27"/>
              </w:rPr>
            </w:pPr>
            <w:r>
              <w:rPr>
                <w:sz w:val="27"/>
                <w:szCs w:val="27"/>
              </w:rPr>
              <w:t xml:space="preserve">у т. ч. </w:t>
            </w:r>
          </w:p>
        </w:tc>
        <w:tc>
          <w:tcPr>
            <w:tcW w:w="215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napToGrid w:val="false"/>
              <w:jc w:val="right"/>
              <w:rPr>
                <w:b/>
                <w:b/>
                <w:bCs/>
                <w:sz w:val="27"/>
                <w:szCs w:val="27"/>
              </w:rPr>
            </w:pPr>
            <w:r>
              <w:rPr>
                <w:b/>
                <w:bCs/>
                <w:sz w:val="27"/>
                <w:szCs w:val="27"/>
              </w:rPr>
            </w:r>
          </w:p>
        </w:tc>
        <w:tc>
          <w:tcPr>
            <w:tcW w:w="252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napToGrid w:val="false"/>
              <w:ind w:left="-108" w:hanging="0"/>
              <w:jc w:val="right"/>
              <w:rPr>
                <w:b/>
                <w:b/>
                <w:bCs/>
                <w:sz w:val="27"/>
                <w:szCs w:val="27"/>
              </w:rPr>
            </w:pPr>
            <w:r>
              <w:rPr>
                <w:b/>
                <w:bCs/>
                <w:sz w:val="27"/>
                <w:szCs w:val="27"/>
              </w:rPr>
            </w:r>
          </w:p>
        </w:tc>
      </w:tr>
      <w:tr>
        <w:trPr>
          <w:trHeight w:val="370" w:hRule="exact"/>
        </w:trPr>
        <w:tc>
          <w:tcPr>
            <w:tcW w:w="49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both"/>
              <w:rPr>
                <w:sz w:val="27"/>
                <w:szCs w:val="27"/>
              </w:rPr>
            </w:pPr>
            <w:r>
              <w:rPr>
                <w:sz w:val="27"/>
                <w:szCs w:val="27"/>
              </w:rPr>
              <w:t>– </w:t>
            </w:r>
            <w:r>
              <w:rPr>
                <w:sz w:val="27"/>
                <w:szCs w:val="27"/>
              </w:rPr>
              <w:t>бюджетні установи</w:t>
            </w:r>
          </w:p>
        </w:tc>
        <w:tc>
          <w:tcPr>
            <w:tcW w:w="215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right"/>
              <w:rPr>
                <w:sz w:val="27"/>
                <w:szCs w:val="27"/>
              </w:rPr>
            </w:pPr>
            <w:r>
              <w:rPr>
                <w:sz w:val="27"/>
                <w:szCs w:val="27"/>
              </w:rPr>
              <w:t>2,0</w:t>
            </w:r>
          </w:p>
        </w:tc>
        <w:tc>
          <w:tcPr>
            <w:tcW w:w="252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ind w:left="-108" w:hanging="0"/>
              <w:jc w:val="right"/>
              <w:rPr>
                <w:sz w:val="27"/>
                <w:szCs w:val="27"/>
              </w:rPr>
            </w:pPr>
            <w:r>
              <w:rPr>
                <w:sz w:val="27"/>
                <w:szCs w:val="27"/>
              </w:rPr>
              <w:t>2,0</w:t>
            </w:r>
          </w:p>
        </w:tc>
      </w:tr>
      <w:tr>
        <w:trPr>
          <w:trHeight w:val="351" w:hRule="exact"/>
        </w:trPr>
        <w:tc>
          <w:tcPr>
            <w:tcW w:w="49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7"/>
                <w:szCs w:val="27"/>
              </w:rPr>
            </w:pPr>
            <w:r>
              <w:rPr>
                <w:sz w:val="27"/>
                <w:szCs w:val="27"/>
              </w:rPr>
              <w:t>– </w:t>
            </w:r>
            <w:r>
              <w:rPr>
                <w:sz w:val="27"/>
                <w:szCs w:val="27"/>
              </w:rPr>
              <w:t>орендарі</w:t>
            </w:r>
          </w:p>
        </w:tc>
        <w:tc>
          <w:tcPr>
            <w:tcW w:w="215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right"/>
              <w:rPr/>
            </w:pPr>
            <w:r>
              <w:rPr>
                <w:sz w:val="27"/>
                <w:szCs w:val="27"/>
              </w:rPr>
              <w:t>11,5</w:t>
            </w:r>
          </w:p>
        </w:tc>
        <w:tc>
          <w:tcPr>
            <w:tcW w:w="252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ind w:left="-108" w:hanging="0"/>
              <w:jc w:val="right"/>
              <w:rPr/>
            </w:pPr>
            <w:r>
              <w:rPr>
                <w:sz w:val="27"/>
                <w:szCs w:val="27"/>
              </w:rPr>
              <w:t>13,0</w:t>
            </w:r>
          </w:p>
        </w:tc>
      </w:tr>
      <w:tr>
        <w:trPr>
          <w:trHeight w:val="363" w:hRule="exact"/>
        </w:trPr>
        <w:tc>
          <w:tcPr>
            <w:tcW w:w="49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7"/>
                <w:szCs w:val="27"/>
              </w:rPr>
            </w:pPr>
            <w:r>
              <w:rPr>
                <w:b/>
                <w:bCs/>
                <w:sz w:val="27"/>
                <w:szCs w:val="27"/>
              </w:rPr>
              <w:t>Кредиторська заборгованість</w:t>
            </w:r>
          </w:p>
        </w:tc>
        <w:tc>
          <w:tcPr>
            <w:tcW w:w="215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right"/>
              <w:rPr>
                <w:sz w:val="27"/>
                <w:szCs w:val="27"/>
              </w:rPr>
            </w:pPr>
            <w:r>
              <w:rPr>
                <w:b/>
                <w:sz w:val="27"/>
                <w:szCs w:val="27"/>
              </w:rPr>
              <w:t>656,0</w:t>
            </w:r>
          </w:p>
        </w:tc>
        <w:tc>
          <w:tcPr>
            <w:tcW w:w="252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ind w:left="-108" w:hanging="0"/>
              <w:jc w:val="right"/>
              <w:rPr>
                <w:sz w:val="27"/>
                <w:szCs w:val="27"/>
              </w:rPr>
            </w:pPr>
            <w:r>
              <w:rPr>
                <w:b/>
                <w:sz w:val="27"/>
                <w:szCs w:val="27"/>
              </w:rPr>
              <w:t>1119,0</w:t>
            </w:r>
          </w:p>
        </w:tc>
      </w:tr>
      <w:tr>
        <w:trPr>
          <w:trHeight w:val="284" w:hRule="exact"/>
        </w:trPr>
        <w:tc>
          <w:tcPr>
            <w:tcW w:w="49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pPr>
            <w:r>
              <w:rPr>
                <w:sz w:val="27"/>
                <w:szCs w:val="27"/>
              </w:rPr>
              <w:t xml:space="preserve">у т.ч. </w:t>
            </w:r>
          </w:p>
        </w:tc>
        <w:tc>
          <w:tcPr>
            <w:tcW w:w="215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napToGrid w:val="false"/>
              <w:jc w:val="right"/>
              <w:rPr>
                <w:b/>
                <w:b/>
                <w:sz w:val="27"/>
                <w:szCs w:val="27"/>
              </w:rPr>
            </w:pPr>
            <w:r>
              <w:rPr>
                <w:b/>
                <w:sz w:val="27"/>
                <w:szCs w:val="27"/>
              </w:rPr>
            </w:r>
          </w:p>
        </w:tc>
        <w:tc>
          <w:tcPr>
            <w:tcW w:w="252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napToGrid w:val="false"/>
              <w:ind w:left="-108" w:hanging="0"/>
              <w:jc w:val="right"/>
              <w:rPr>
                <w:b/>
                <w:b/>
                <w:sz w:val="27"/>
                <w:szCs w:val="27"/>
              </w:rPr>
            </w:pPr>
            <w:r>
              <w:rPr>
                <w:b/>
                <w:sz w:val="27"/>
                <w:szCs w:val="27"/>
              </w:rPr>
            </w:r>
          </w:p>
        </w:tc>
      </w:tr>
      <w:tr>
        <w:trPr>
          <w:trHeight w:val="420" w:hRule="exact"/>
        </w:trPr>
        <w:tc>
          <w:tcPr>
            <w:tcW w:w="49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7"/>
                <w:szCs w:val="27"/>
              </w:rPr>
            </w:pPr>
            <w:r>
              <w:rPr>
                <w:sz w:val="27"/>
                <w:szCs w:val="27"/>
              </w:rPr>
              <w:t>- з виплати заробітної плати</w:t>
            </w:r>
          </w:p>
        </w:tc>
        <w:tc>
          <w:tcPr>
            <w:tcW w:w="215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right"/>
              <w:rPr>
                <w:sz w:val="27"/>
                <w:szCs w:val="27"/>
              </w:rPr>
            </w:pPr>
            <w:r>
              <w:rPr>
                <w:sz w:val="27"/>
                <w:szCs w:val="27"/>
              </w:rPr>
              <w:t>330,0</w:t>
            </w:r>
          </w:p>
        </w:tc>
        <w:tc>
          <w:tcPr>
            <w:tcW w:w="252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ind w:left="-108" w:hanging="0"/>
              <w:jc w:val="right"/>
              <w:rPr>
                <w:sz w:val="27"/>
                <w:szCs w:val="27"/>
              </w:rPr>
            </w:pPr>
            <w:r>
              <w:rPr>
                <w:sz w:val="27"/>
                <w:szCs w:val="27"/>
              </w:rPr>
              <w:t>613,0</w:t>
            </w:r>
          </w:p>
        </w:tc>
      </w:tr>
      <w:tr>
        <w:trPr>
          <w:trHeight w:val="365" w:hRule="exact"/>
        </w:trPr>
        <w:tc>
          <w:tcPr>
            <w:tcW w:w="49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7"/>
                <w:szCs w:val="27"/>
              </w:rPr>
            </w:pPr>
            <w:r>
              <w:rPr>
                <w:sz w:val="27"/>
                <w:szCs w:val="27"/>
              </w:rPr>
              <w:t>- єдиний соціальний внесок</w:t>
            </w:r>
          </w:p>
        </w:tc>
        <w:tc>
          <w:tcPr>
            <w:tcW w:w="215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right"/>
              <w:rPr>
                <w:sz w:val="27"/>
                <w:szCs w:val="27"/>
              </w:rPr>
            </w:pPr>
            <w:r>
              <w:rPr>
                <w:sz w:val="27"/>
                <w:szCs w:val="27"/>
              </w:rPr>
              <w:t>74,0</w:t>
            </w:r>
          </w:p>
        </w:tc>
        <w:tc>
          <w:tcPr>
            <w:tcW w:w="252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right"/>
              <w:rPr>
                <w:sz w:val="27"/>
                <w:szCs w:val="27"/>
              </w:rPr>
            </w:pPr>
            <w:r>
              <w:rPr>
                <w:sz w:val="27"/>
                <w:szCs w:val="27"/>
              </w:rPr>
              <w:t>57,0</w:t>
            </w:r>
          </w:p>
        </w:tc>
      </w:tr>
      <w:tr>
        <w:trPr>
          <w:trHeight w:val="369" w:hRule="exact"/>
        </w:trPr>
        <w:tc>
          <w:tcPr>
            <w:tcW w:w="49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7"/>
                <w:szCs w:val="27"/>
              </w:rPr>
            </w:pPr>
            <w:r>
              <w:rPr>
                <w:sz w:val="27"/>
                <w:szCs w:val="27"/>
              </w:rPr>
              <w:t>- за товари, роботи, послуги</w:t>
            </w:r>
          </w:p>
        </w:tc>
        <w:tc>
          <w:tcPr>
            <w:tcW w:w="215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right"/>
              <w:rPr>
                <w:sz w:val="27"/>
                <w:szCs w:val="27"/>
              </w:rPr>
            </w:pPr>
            <w:r>
              <w:rPr>
                <w:sz w:val="27"/>
                <w:szCs w:val="27"/>
              </w:rPr>
              <w:t>220,0</w:t>
            </w:r>
          </w:p>
        </w:tc>
        <w:tc>
          <w:tcPr>
            <w:tcW w:w="252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right"/>
              <w:rPr>
                <w:sz w:val="27"/>
                <w:szCs w:val="27"/>
              </w:rPr>
            </w:pPr>
            <w:r>
              <w:rPr>
                <w:sz w:val="27"/>
                <w:szCs w:val="27"/>
              </w:rPr>
              <w:t>381,0</w:t>
            </w:r>
          </w:p>
        </w:tc>
      </w:tr>
      <w:tr>
        <w:trPr>
          <w:trHeight w:val="351" w:hRule="exact"/>
        </w:trPr>
        <w:tc>
          <w:tcPr>
            <w:tcW w:w="4965"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rPr>
                <w:sz w:val="27"/>
                <w:szCs w:val="27"/>
              </w:rPr>
            </w:pPr>
            <w:r>
              <w:rPr>
                <w:sz w:val="27"/>
                <w:szCs w:val="27"/>
              </w:rPr>
              <w:t>- розрахунки з бюджетом</w:t>
            </w:r>
          </w:p>
        </w:tc>
        <w:tc>
          <w:tcPr>
            <w:tcW w:w="2153"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right"/>
              <w:rPr>
                <w:sz w:val="27"/>
                <w:szCs w:val="27"/>
              </w:rPr>
            </w:pPr>
            <w:r>
              <w:rPr>
                <w:sz w:val="27"/>
                <w:szCs w:val="27"/>
              </w:rPr>
              <w:t>32,0</w:t>
            </w:r>
          </w:p>
        </w:tc>
        <w:tc>
          <w:tcPr>
            <w:tcW w:w="2527"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right"/>
              <w:rPr>
                <w:sz w:val="27"/>
                <w:szCs w:val="27"/>
              </w:rPr>
            </w:pPr>
            <w:r>
              <w:rPr>
                <w:sz w:val="27"/>
                <w:szCs w:val="27"/>
              </w:rPr>
              <w:t>68,0</w:t>
            </w:r>
          </w:p>
        </w:tc>
      </w:tr>
    </w:tbl>
    <w:p>
      <w:pPr>
        <w:pStyle w:val="Normal"/>
        <w:jc w:val="both"/>
        <w:rPr>
          <w:b/>
          <w:b/>
          <w:bCs/>
          <w:sz w:val="27"/>
          <w:szCs w:val="27"/>
        </w:rPr>
      </w:pPr>
      <w:r>
        <w:rPr>
          <w:b/>
          <w:bCs/>
          <w:sz w:val="27"/>
          <w:szCs w:val="27"/>
        </w:rPr>
      </w:r>
    </w:p>
    <w:p>
      <w:pPr>
        <w:pStyle w:val="Normal"/>
        <w:ind w:firstLine="567"/>
        <w:jc w:val="both"/>
        <w:rPr>
          <w:sz w:val="28"/>
          <w:szCs w:val="28"/>
        </w:rPr>
      </w:pPr>
      <w:r>
        <w:rPr>
          <w:b/>
          <w:bCs/>
          <w:sz w:val="28"/>
          <w:szCs w:val="28"/>
        </w:rPr>
        <w:t xml:space="preserve">Фонд оплати праці. </w:t>
      </w:r>
    </w:p>
    <w:p>
      <w:pPr>
        <w:pStyle w:val="Normal"/>
        <w:ind w:firstLine="510"/>
        <w:jc w:val="both"/>
        <w:rPr/>
      </w:pPr>
      <w:r>
        <w:rPr>
          <w:sz w:val="28"/>
          <w:szCs w:val="28"/>
        </w:rPr>
        <w:t>Станом на 01.10.2021 середньооблікова чисельність працівників на підприємстві склала 59 людей з них: штатних 50 чол. (виробничий та обслуговуючий персонал), що на 4 людини більше, ніж за 9 місяців 2020 року.</w:t>
      </w:r>
    </w:p>
    <w:p>
      <w:pPr>
        <w:pStyle w:val="Normal"/>
        <w:ind w:firstLine="510"/>
        <w:jc w:val="both"/>
        <w:rPr/>
      </w:pPr>
      <w:r>
        <w:rPr>
          <w:sz w:val="28"/>
          <w:szCs w:val="28"/>
        </w:rPr>
        <w:t xml:space="preserve"> </w:t>
      </w:r>
    </w:p>
    <w:tbl>
      <w:tblPr>
        <w:tblW w:w="9645" w:type="dxa"/>
        <w:jc w:val="left"/>
        <w:tblInd w:w="-5" w:type="dxa"/>
        <w:tblCellMar>
          <w:top w:w="0" w:type="dxa"/>
          <w:left w:w="108" w:type="dxa"/>
          <w:bottom w:w="0" w:type="dxa"/>
          <w:right w:w="108" w:type="dxa"/>
        </w:tblCellMar>
        <w:tblLook w:firstRow="0" w:noVBand="0" w:lastRow="0" w:firstColumn="0" w:lastColumn="0" w:noHBand="0" w:val="0000"/>
      </w:tblPr>
      <w:tblGrid>
        <w:gridCol w:w="570"/>
        <w:gridCol w:w="3226"/>
        <w:gridCol w:w="2778"/>
        <w:gridCol w:w="3070"/>
      </w:tblGrid>
      <w:tr>
        <w:trPr>
          <w:trHeight w:val="345" w:hRule="atLeast"/>
        </w:trPr>
        <w:tc>
          <w:tcPr>
            <w:tcW w:w="570" w:type="dxa"/>
            <w:vMerge w:val="restart"/>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pPr>
            <w:r>
              <w:rPr/>
              <w:t>№ </w:t>
            </w:r>
          </w:p>
          <w:p>
            <w:pPr>
              <w:pStyle w:val="Normal"/>
              <w:widowControl w:val="false"/>
              <w:rPr/>
            </w:pPr>
            <w:r>
              <w:rPr/>
              <w:t>з/п</w:t>
            </w:r>
          </w:p>
        </w:tc>
        <w:tc>
          <w:tcPr>
            <w:tcW w:w="3226" w:type="dxa"/>
            <w:vMerge w:val="restart"/>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ind w:firstLine="1080"/>
              <w:rPr>
                <w:sz w:val="26"/>
                <w:szCs w:val="26"/>
              </w:rPr>
            </w:pPr>
            <w:r>
              <w:rPr>
                <w:sz w:val="26"/>
                <w:szCs w:val="26"/>
              </w:rPr>
            </w:r>
          </w:p>
        </w:tc>
        <w:tc>
          <w:tcPr>
            <w:tcW w:w="27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ind w:left="-108" w:hanging="0"/>
              <w:jc w:val="center"/>
              <w:rPr>
                <w:sz w:val="27"/>
                <w:szCs w:val="27"/>
              </w:rPr>
            </w:pPr>
            <w:r>
              <w:rPr>
                <w:b/>
                <w:sz w:val="27"/>
                <w:szCs w:val="27"/>
              </w:rPr>
              <w:t>9 місяців 2020 р.</w:t>
            </w:r>
          </w:p>
        </w:tc>
        <w:tc>
          <w:tcPr>
            <w:tcW w:w="30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ind w:left="-108" w:hanging="0"/>
              <w:jc w:val="center"/>
              <w:rPr>
                <w:sz w:val="27"/>
                <w:szCs w:val="27"/>
              </w:rPr>
            </w:pPr>
            <w:r>
              <w:rPr>
                <w:b/>
                <w:sz w:val="27"/>
                <w:szCs w:val="27"/>
              </w:rPr>
              <w:t>9 місяців 2021 р.</w:t>
            </w:r>
          </w:p>
        </w:tc>
      </w:tr>
      <w:tr>
        <w:trPr>
          <w:trHeight w:val="553" w:hRule="atLeast"/>
        </w:trPr>
        <w:tc>
          <w:tcPr>
            <w:tcW w:w="570"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ind w:firstLine="1080"/>
              <w:rPr>
                <w:sz w:val="26"/>
                <w:szCs w:val="26"/>
              </w:rPr>
            </w:pPr>
            <w:r>
              <w:rPr>
                <w:sz w:val="26"/>
                <w:szCs w:val="26"/>
              </w:rPr>
            </w:r>
          </w:p>
        </w:tc>
        <w:tc>
          <w:tcPr>
            <w:tcW w:w="3226" w:type="dxa"/>
            <w:vMerge w:val="continue"/>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ind w:firstLine="1080"/>
              <w:rPr>
                <w:sz w:val="26"/>
                <w:szCs w:val="26"/>
              </w:rPr>
            </w:pPr>
            <w:r>
              <w:rPr>
                <w:sz w:val="26"/>
                <w:szCs w:val="26"/>
              </w:rPr>
            </w:r>
          </w:p>
        </w:tc>
        <w:tc>
          <w:tcPr>
            <w:tcW w:w="2778"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sz w:val="27"/>
                <w:szCs w:val="27"/>
              </w:rPr>
            </w:pPr>
            <w:r>
              <w:rPr>
                <w:sz w:val="27"/>
                <w:szCs w:val="27"/>
              </w:rPr>
              <w:t>Середньооблікова кількість</w:t>
            </w:r>
          </w:p>
          <w:p>
            <w:pPr>
              <w:pStyle w:val="Normal"/>
              <w:widowControl w:val="false"/>
              <w:ind w:left="-180" w:hanging="0"/>
              <w:jc w:val="center"/>
              <w:rPr/>
            </w:pPr>
            <w:r>
              <w:rPr>
                <w:sz w:val="27"/>
                <w:szCs w:val="27"/>
              </w:rPr>
              <w:t>працівників, чол.</w:t>
            </w:r>
          </w:p>
        </w:tc>
        <w:tc>
          <w:tcPr>
            <w:tcW w:w="30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sz w:val="27"/>
                <w:szCs w:val="27"/>
              </w:rPr>
            </w:pPr>
            <w:r>
              <w:rPr>
                <w:sz w:val="27"/>
                <w:szCs w:val="27"/>
              </w:rPr>
              <w:t>Середньооблікова кількість</w:t>
            </w:r>
          </w:p>
          <w:p>
            <w:pPr>
              <w:pStyle w:val="Normal"/>
              <w:widowControl w:val="false"/>
              <w:ind w:left="-108" w:hanging="0"/>
              <w:jc w:val="center"/>
              <w:rPr/>
            </w:pPr>
            <w:r>
              <w:rPr>
                <w:sz w:val="27"/>
                <w:szCs w:val="27"/>
              </w:rPr>
              <w:t>працівників, чол.</w:t>
            </w:r>
          </w:p>
        </w:tc>
      </w:tr>
      <w:tr>
        <w:trPr>
          <w:trHeight w:val="345" w:hRule="atLeast"/>
        </w:trPr>
        <w:tc>
          <w:tcPr>
            <w:tcW w:w="5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pPr>
            <w:r>
              <w:rPr/>
              <w:t>1.</w:t>
            </w:r>
          </w:p>
        </w:tc>
        <w:tc>
          <w:tcPr>
            <w:tcW w:w="322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pPr>
            <w:r>
              <w:rPr>
                <w:b/>
                <w:sz w:val="26"/>
                <w:szCs w:val="26"/>
              </w:rPr>
              <w:t>Разом</w:t>
            </w:r>
          </w:p>
        </w:tc>
        <w:tc>
          <w:tcPr>
            <w:tcW w:w="27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pPr>
            <w:r>
              <w:rPr>
                <w:b/>
                <w:sz w:val="26"/>
                <w:szCs w:val="26"/>
              </w:rPr>
              <w:t>55</w:t>
            </w:r>
          </w:p>
        </w:tc>
        <w:tc>
          <w:tcPr>
            <w:tcW w:w="307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pPr>
            <w:r>
              <w:rPr>
                <w:b/>
                <w:sz w:val="26"/>
                <w:szCs w:val="26"/>
              </w:rPr>
              <w:t>59</w:t>
            </w:r>
          </w:p>
        </w:tc>
      </w:tr>
      <w:tr>
        <w:trPr>
          <w:trHeight w:val="332" w:hRule="atLeast"/>
        </w:trPr>
        <w:tc>
          <w:tcPr>
            <w:tcW w:w="5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pPr>
            <w:r>
              <w:rPr/>
              <w:t>2.</w:t>
            </w:r>
          </w:p>
        </w:tc>
        <w:tc>
          <w:tcPr>
            <w:tcW w:w="322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pPr>
            <w:r>
              <w:rPr>
                <w:sz w:val="26"/>
                <w:szCs w:val="26"/>
              </w:rPr>
              <w:t>- керівник</w:t>
            </w:r>
          </w:p>
        </w:tc>
        <w:tc>
          <w:tcPr>
            <w:tcW w:w="27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pPr>
            <w:r>
              <w:rPr>
                <w:sz w:val="26"/>
                <w:szCs w:val="26"/>
              </w:rPr>
              <w:t>1</w:t>
            </w:r>
          </w:p>
        </w:tc>
        <w:tc>
          <w:tcPr>
            <w:tcW w:w="307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pPr>
            <w:r>
              <w:rPr>
                <w:sz w:val="26"/>
                <w:szCs w:val="26"/>
              </w:rPr>
              <w:t>1</w:t>
            </w:r>
          </w:p>
        </w:tc>
      </w:tr>
      <w:tr>
        <w:trPr>
          <w:trHeight w:val="366" w:hRule="atLeast"/>
        </w:trPr>
        <w:tc>
          <w:tcPr>
            <w:tcW w:w="5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pPr>
            <w:r>
              <w:rPr/>
              <w:t>3.</w:t>
            </w:r>
          </w:p>
        </w:tc>
        <w:tc>
          <w:tcPr>
            <w:tcW w:w="322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pPr>
            <w:r>
              <w:rPr>
                <w:sz w:val="26"/>
                <w:szCs w:val="26"/>
              </w:rPr>
              <w:t xml:space="preserve">- АУП </w:t>
            </w:r>
          </w:p>
        </w:tc>
        <w:tc>
          <w:tcPr>
            <w:tcW w:w="27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pPr>
            <w:r>
              <w:rPr>
                <w:sz w:val="26"/>
                <w:szCs w:val="26"/>
              </w:rPr>
              <w:t>8</w:t>
            </w:r>
          </w:p>
        </w:tc>
        <w:tc>
          <w:tcPr>
            <w:tcW w:w="30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pPr>
            <w:r>
              <w:rPr>
                <w:sz w:val="26"/>
                <w:szCs w:val="26"/>
              </w:rPr>
              <w:t>8</w:t>
            </w:r>
          </w:p>
        </w:tc>
      </w:tr>
      <w:tr>
        <w:trPr>
          <w:trHeight w:val="357" w:hRule="atLeast"/>
        </w:trPr>
        <w:tc>
          <w:tcPr>
            <w:tcW w:w="570"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pPr>
            <w:r>
              <w:rPr/>
              <w:t>4.</w:t>
            </w:r>
          </w:p>
        </w:tc>
        <w:tc>
          <w:tcPr>
            <w:tcW w:w="322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rPr/>
            </w:pPr>
            <w:r>
              <w:rPr>
                <w:sz w:val="26"/>
                <w:szCs w:val="26"/>
              </w:rPr>
              <w:t>-  виробничий та обслуговуючий персонал</w:t>
            </w:r>
          </w:p>
        </w:tc>
        <w:tc>
          <w:tcPr>
            <w:tcW w:w="277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snapToGrid w:val="false"/>
              <w:jc w:val="center"/>
              <w:rPr>
                <w:sz w:val="26"/>
                <w:szCs w:val="26"/>
              </w:rPr>
            </w:pPr>
            <w:r>
              <w:rPr>
                <w:sz w:val="26"/>
                <w:szCs w:val="26"/>
              </w:rPr>
            </w:r>
          </w:p>
          <w:p>
            <w:pPr>
              <w:pStyle w:val="Normal"/>
              <w:widowControl w:val="false"/>
              <w:jc w:val="center"/>
              <w:rPr/>
            </w:pPr>
            <w:r>
              <w:rPr>
                <w:sz w:val="26"/>
                <w:szCs w:val="26"/>
              </w:rPr>
              <w:t>46</w:t>
            </w:r>
          </w:p>
        </w:tc>
        <w:tc>
          <w:tcPr>
            <w:tcW w:w="3070"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napToGrid w:val="false"/>
              <w:jc w:val="center"/>
              <w:rPr>
                <w:sz w:val="26"/>
                <w:szCs w:val="26"/>
              </w:rPr>
            </w:pPr>
            <w:r>
              <w:rPr>
                <w:sz w:val="26"/>
                <w:szCs w:val="26"/>
              </w:rPr>
            </w:r>
          </w:p>
          <w:p>
            <w:pPr>
              <w:pStyle w:val="Normal"/>
              <w:widowControl w:val="false"/>
              <w:jc w:val="center"/>
              <w:rPr/>
            </w:pPr>
            <w:r>
              <w:rPr>
                <w:sz w:val="26"/>
                <w:szCs w:val="26"/>
              </w:rPr>
              <w:t>50</w:t>
            </w:r>
          </w:p>
        </w:tc>
      </w:tr>
    </w:tbl>
    <w:p>
      <w:pPr>
        <w:pStyle w:val="Normal"/>
        <w:ind w:firstLine="567"/>
        <w:jc w:val="both"/>
        <w:rPr>
          <w:sz w:val="27"/>
          <w:szCs w:val="27"/>
        </w:rPr>
      </w:pPr>
      <w:r>
        <w:rPr>
          <w:sz w:val="27"/>
          <w:szCs w:val="27"/>
        </w:rPr>
      </w:r>
    </w:p>
    <w:p>
      <w:pPr>
        <w:pStyle w:val="Normal"/>
        <w:ind w:firstLine="567"/>
        <w:jc w:val="both"/>
        <w:rPr/>
      </w:pPr>
      <w:r>
        <w:rPr>
          <w:sz w:val="28"/>
          <w:szCs w:val="28"/>
        </w:rPr>
        <w:t xml:space="preserve">Фонд оплати праці за 9 місяців 2021 року – 6 996,0 тис. грн, (відповідний період минулого року – 5 774,0 тис. грн). ФОП у 2021 році зріс на 1 222,0 тис. грн. </w:t>
      </w:r>
    </w:p>
    <w:p>
      <w:pPr>
        <w:pStyle w:val="Normal"/>
        <w:ind w:firstLine="567"/>
        <w:jc w:val="both"/>
        <w:rPr>
          <w:sz w:val="28"/>
          <w:szCs w:val="28"/>
        </w:rPr>
      </w:pPr>
      <w:r>
        <w:rPr>
          <w:sz w:val="28"/>
          <w:szCs w:val="28"/>
        </w:rPr>
        <w:t>Середньомісячна заробітна плата на підприємстві також зросла і за 9 місяців 2021 року склала ‒ 14 133,00 грн, (за відповідний період минулого року – 11 665,00</w:t>
      </w:r>
      <w:r>
        <w:rPr>
          <w:sz w:val="28"/>
          <w:szCs w:val="28"/>
          <w:highlight w:val="white"/>
        </w:rPr>
        <w:t xml:space="preserve"> </w:t>
      </w:r>
      <w:r>
        <w:rPr>
          <w:sz w:val="28"/>
          <w:szCs w:val="28"/>
          <w:shd w:fill="FFFFFF" w:val="clear"/>
        </w:rPr>
        <w:t>грн).</w:t>
      </w:r>
    </w:p>
    <w:p>
      <w:pPr>
        <w:pStyle w:val="Normal"/>
        <w:ind w:firstLine="567"/>
        <w:jc w:val="both"/>
        <w:rPr/>
      </w:pPr>
      <w:r>
        <w:rPr>
          <w:sz w:val="28"/>
          <w:szCs w:val="28"/>
        </w:rPr>
        <w:t>Причиною збільшення розміру середньої заробітної плати у порівнянні з відповідним періодом попереднього року є підвищення розміру мінімальної зарплати та збільшення кількості кваліфікованих працівників.</w:t>
      </w:r>
    </w:p>
    <w:p>
      <w:pPr>
        <w:pStyle w:val="Normal"/>
        <w:ind w:firstLine="567"/>
        <w:jc w:val="both"/>
        <w:rPr>
          <w:sz w:val="27"/>
          <w:szCs w:val="27"/>
        </w:rPr>
      </w:pPr>
      <w:r>
        <w:rPr>
          <w:sz w:val="27"/>
          <w:szCs w:val="27"/>
        </w:rPr>
      </w:r>
    </w:p>
    <w:tbl>
      <w:tblPr>
        <w:tblW w:w="9645" w:type="dxa"/>
        <w:jc w:val="left"/>
        <w:tblInd w:w="-10" w:type="dxa"/>
        <w:tblCellMar>
          <w:top w:w="0" w:type="dxa"/>
          <w:left w:w="108" w:type="dxa"/>
          <w:bottom w:w="0" w:type="dxa"/>
          <w:right w:w="108" w:type="dxa"/>
        </w:tblCellMar>
        <w:tblLook w:firstRow="0" w:noVBand="0" w:lastRow="0" w:firstColumn="0" w:lastColumn="0" w:noHBand="0" w:val="0000"/>
      </w:tblPr>
      <w:tblGrid>
        <w:gridCol w:w="4588"/>
        <w:gridCol w:w="2446"/>
        <w:gridCol w:w="2611"/>
      </w:tblGrid>
      <w:tr>
        <w:trPr>
          <w:trHeight w:val="270" w:hRule="atLeast"/>
        </w:trPr>
        <w:tc>
          <w:tcPr>
            <w:tcW w:w="4588" w:type="dxa"/>
            <w:tcBorders>
              <w:top w:val="single" w:sz="8" w:space="0" w:color="000000"/>
              <w:left w:val="single" w:sz="8" w:space="0" w:color="000000"/>
              <w:bottom w:val="single" w:sz="4" w:space="0" w:color="000000"/>
              <w:right w:val="single" w:sz="8" w:space="0" w:color="000000"/>
            </w:tcBorders>
            <w:shd w:color="auto" w:fill="auto" w:val="clear"/>
            <w:vAlign w:val="bottom"/>
          </w:tcPr>
          <w:p>
            <w:pPr>
              <w:pStyle w:val="Normal"/>
              <w:widowControl w:val="false"/>
              <w:ind w:left="-764" w:firstLine="1080"/>
              <w:jc w:val="center"/>
              <w:rPr>
                <w:b/>
                <w:b/>
                <w:bCs/>
              </w:rPr>
            </w:pPr>
            <w:r>
              <w:rPr>
                <w:b/>
                <w:bCs/>
                <w:sz w:val="27"/>
                <w:szCs w:val="27"/>
              </w:rPr>
              <w:t>Показники</w:t>
            </w:r>
          </w:p>
        </w:tc>
        <w:tc>
          <w:tcPr>
            <w:tcW w:w="2446"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b/>
                <w:b/>
                <w:bCs/>
              </w:rPr>
            </w:pPr>
            <w:r>
              <w:rPr>
                <w:b/>
                <w:bCs/>
                <w:sz w:val="27"/>
                <w:szCs w:val="27"/>
              </w:rPr>
              <w:t>9 місяців 2020 р.</w:t>
            </w:r>
          </w:p>
        </w:tc>
        <w:tc>
          <w:tcPr>
            <w:tcW w:w="2611"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jc w:val="center"/>
              <w:rPr>
                <w:b/>
                <w:b/>
                <w:bCs/>
              </w:rPr>
            </w:pPr>
            <w:r>
              <w:rPr>
                <w:b/>
                <w:bCs/>
                <w:sz w:val="27"/>
                <w:szCs w:val="27"/>
              </w:rPr>
              <w:t>9 місяців 2021 р.</w:t>
            </w:r>
          </w:p>
        </w:tc>
      </w:tr>
      <w:tr>
        <w:trPr>
          <w:trHeight w:val="507" w:hRule="atLeast"/>
        </w:trPr>
        <w:tc>
          <w:tcPr>
            <w:tcW w:w="4588" w:type="dxa"/>
            <w:tcBorders>
              <w:top w:val="single" w:sz="8" w:space="0" w:color="000000"/>
              <w:left w:val="single" w:sz="8" w:space="0" w:color="000000"/>
              <w:bottom w:val="single" w:sz="4" w:space="0" w:color="000000"/>
              <w:right w:val="single" w:sz="8" w:space="0" w:color="000000"/>
            </w:tcBorders>
            <w:shd w:color="auto" w:fill="auto" w:val="clear"/>
            <w:vAlign w:val="bottom"/>
          </w:tcPr>
          <w:p>
            <w:pPr>
              <w:pStyle w:val="Normal"/>
              <w:widowControl w:val="false"/>
              <w:rPr/>
            </w:pPr>
            <w:r>
              <w:rPr>
                <w:bCs/>
                <w:sz w:val="27"/>
                <w:szCs w:val="27"/>
              </w:rPr>
              <w:t>Фонд оплати праці усіх працівників (тис. грн)</w:t>
            </w:r>
          </w:p>
        </w:tc>
        <w:tc>
          <w:tcPr>
            <w:tcW w:w="2446" w:type="dxa"/>
            <w:tcBorders>
              <w:top w:val="single" w:sz="4" w:space="0" w:color="000000"/>
              <w:left w:val="single" w:sz="4" w:space="0" w:color="000000"/>
              <w:right w:val="single" w:sz="4" w:space="0" w:color="000000"/>
            </w:tcBorders>
            <w:shd w:color="auto" w:fill="auto" w:val="clear"/>
            <w:vAlign w:val="center"/>
          </w:tcPr>
          <w:p>
            <w:pPr>
              <w:pStyle w:val="Normal"/>
              <w:widowControl w:val="false"/>
              <w:ind w:left="-764" w:firstLine="1080"/>
              <w:jc w:val="right"/>
              <w:rPr/>
            </w:pPr>
            <w:r>
              <w:rPr>
                <w:sz w:val="27"/>
                <w:szCs w:val="27"/>
              </w:rPr>
              <w:t>5 774,0</w:t>
            </w:r>
          </w:p>
        </w:tc>
        <w:tc>
          <w:tcPr>
            <w:tcW w:w="2611" w:type="dxa"/>
            <w:tcBorders>
              <w:top w:val="single" w:sz="4" w:space="0" w:color="000000"/>
              <w:left w:val="single" w:sz="4" w:space="0" w:color="000000"/>
              <w:right w:val="single" w:sz="4" w:space="0" w:color="000000"/>
            </w:tcBorders>
            <w:shd w:color="auto" w:fill="auto" w:val="clear"/>
            <w:vAlign w:val="center"/>
          </w:tcPr>
          <w:p>
            <w:pPr>
              <w:pStyle w:val="Normal"/>
              <w:widowControl w:val="false"/>
              <w:ind w:left="-764" w:firstLine="898"/>
              <w:jc w:val="right"/>
              <w:rPr/>
            </w:pPr>
            <w:r>
              <w:rPr>
                <w:sz w:val="27"/>
                <w:szCs w:val="27"/>
              </w:rPr>
              <w:t>6 996,0</w:t>
            </w:r>
          </w:p>
        </w:tc>
      </w:tr>
      <w:tr>
        <w:trPr>
          <w:trHeight w:val="270" w:hRule="atLeast"/>
        </w:trPr>
        <w:tc>
          <w:tcPr>
            <w:tcW w:w="4588" w:type="dxa"/>
            <w:tcBorders>
              <w:left w:val="single" w:sz="8" w:space="0" w:color="000000"/>
              <w:bottom w:val="single" w:sz="4" w:space="0" w:color="000000"/>
              <w:right w:val="single" w:sz="8" w:space="0" w:color="000000"/>
            </w:tcBorders>
            <w:shd w:color="auto" w:fill="auto" w:val="clear"/>
            <w:vAlign w:val="bottom"/>
          </w:tcPr>
          <w:p>
            <w:pPr>
              <w:pStyle w:val="Normal"/>
              <w:widowControl w:val="false"/>
              <w:ind w:left="-764" w:firstLine="764"/>
              <w:jc w:val="both"/>
              <w:rPr>
                <w:sz w:val="27"/>
                <w:szCs w:val="27"/>
              </w:rPr>
            </w:pPr>
            <w:r>
              <w:rPr>
                <w:sz w:val="27"/>
                <w:szCs w:val="27"/>
              </w:rPr>
              <w:t>у тому числі:</w:t>
            </w:r>
          </w:p>
        </w:tc>
        <w:tc>
          <w:tcPr>
            <w:tcW w:w="2446" w:type="dxa"/>
            <w:tcBorders>
              <w:top w:val="single" w:sz="4" w:space="0" w:color="000000"/>
              <w:bottom w:val="single" w:sz="4" w:space="0" w:color="000000"/>
              <w:right w:val="single" w:sz="8" w:space="0" w:color="000000"/>
            </w:tcBorders>
            <w:shd w:color="auto" w:fill="auto" w:val="clear"/>
            <w:vAlign w:val="center"/>
          </w:tcPr>
          <w:p>
            <w:pPr>
              <w:pStyle w:val="Normal"/>
              <w:widowControl w:val="false"/>
              <w:snapToGrid w:val="false"/>
              <w:ind w:left="-764" w:firstLine="1080"/>
              <w:jc w:val="right"/>
              <w:rPr>
                <w:bCs/>
                <w:sz w:val="27"/>
                <w:szCs w:val="27"/>
              </w:rPr>
            </w:pPr>
            <w:r>
              <w:rPr>
                <w:bCs/>
                <w:sz w:val="27"/>
                <w:szCs w:val="27"/>
              </w:rPr>
            </w:r>
          </w:p>
        </w:tc>
        <w:tc>
          <w:tcPr>
            <w:tcW w:w="2611" w:type="dxa"/>
            <w:tcBorders>
              <w:top w:val="single" w:sz="4" w:space="0" w:color="000000"/>
              <w:bottom w:val="single" w:sz="4" w:space="0" w:color="000000"/>
              <w:right w:val="single" w:sz="4" w:space="0" w:color="000000"/>
            </w:tcBorders>
            <w:shd w:color="auto" w:fill="auto" w:val="clear"/>
            <w:vAlign w:val="center"/>
          </w:tcPr>
          <w:p>
            <w:pPr>
              <w:pStyle w:val="Normal"/>
              <w:widowControl w:val="false"/>
              <w:snapToGrid w:val="false"/>
              <w:ind w:left="-764" w:firstLine="898"/>
              <w:jc w:val="right"/>
              <w:rPr>
                <w:sz w:val="27"/>
                <w:szCs w:val="27"/>
              </w:rPr>
            </w:pPr>
            <w:r>
              <w:rPr>
                <w:sz w:val="27"/>
                <w:szCs w:val="27"/>
              </w:rPr>
            </w:r>
          </w:p>
        </w:tc>
      </w:tr>
      <w:tr>
        <w:trPr>
          <w:trHeight w:val="289" w:hRule="atLeast"/>
        </w:trPr>
        <w:tc>
          <w:tcPr>
            <w:tcW w:w="4588" w:type="dxa"/>
            <w:tcBorders>
              <w:left w:val="single" w:sz="8" w:space="0" w:color="000000"/>
              <w:bottom w:val="single" w:sz="8" w:space="0" w:color="000000"/>
              <w:right w:val="single" w:sz="8" w:space="0" w:color="000000"/>
            </w:tcBorders>
            <w:shd w:color="auto" w:fill="auto" w:val="clear"/>
          </w:tcPr>
          <w:p>
            <w:pPr>
              <w:pStyle w:val="Normal"/>
              <w:widowControl w:val="false"/>
              <w:jc w:val="both"/>
              <w:rPr>
                <w:sz w:val="27"/>
                <w:szCs w:val="27"/>
              </w:rPr>
            </w:pPr>
            <w:r>
              <w:rPr>
                <w:sz w:val="27"/>
                <w:szCs w:val="27"/>
              </w:rPr>
              <w:t>- керівник</w:t>
            </w:r>
          </w:p>
        </w:tc>
        <w:tc>
          <w:tcPr>
            <w:tcW w:w="2446" w:type="dxa"/>
            <w:tcBorders>
              <w:bottom w:val="single" w:sz="4" w:space="0" w:color="000000"/>
              <w:right w:val="single" w:sz="8" w:space="0" w:color="000000"/>
            </w:tcBorders>
            <w:shd w:color="auto" w:fill="auto" w:val="clear"/>
            <w:vAlign w:val="center"/>
          </w:tcPr>
          <w:p>
            <w:pPr>
              <w:pStyle w:val="Normal"/>
              <w:widowControl w:val="false"/>
              <w:ind w:left="-764" w:firstLine="1080"/>
              <w:jc w:val="right"/>
              <w:rPr>
                <w:sz w:val="27"/>
                <w:szCs w:val="27"/>
              </w:rPr>
            </w:pPr>
            <w:r>
              <w:rPr>
                <w:sz w:val="27"/>
                <w:szCs w:val="27"/>
              </w:rPr>
              <w:t>337,6</w:t>
            </w:r>
          </w:p>
        </w:tc>
        <w:tc>
          <w:tcPr>
            <w:tcW w:w="2611" w:type="dxa"/>
            <w:tcBorders>
              <w:bottom w:val="single" w:sz="4" w:space="0" w:color="000000"/>
              <w:right w:val="single" w:sz="4" w:space="0" w:color="000000"/>
            </w:tcBorders>
            <w:shd w:color="auto" w:fill="auto" w:val="clear"/>
            <w:vAlign w:val="center"/>
          </w:tcPr>
          <w:p>
            <w:pPr>
              <w:pStyle w:val="Normal"/>
              <w:widowControl w:val="false"/>
              <w:ind w:left="-764" w:firstLine="898"/>
              <w:jc w:val="right"/>
              <w:rPr>
                <w:sz w:val="27"/>
                <w:szCs w:val="27"/>
              </w:rPr>
            </w:pPr>
            <w:r>
              <w:rPr>
                <w:sz w:val="27"/>
                <w:szCs w:val="27"/>
              </w:rPr>
              <w:t>314,5</w:t>
            </w:r>
          </w:p>
        </w:tc>
      </w:tr>
      <w:tr>
        <w:trPr>
          <w:trHeight w:val="253" w:hRule="atLeast"/>
        </w:trPr>
        <w:tc>
          <w:tcPr>
            <w:tcW w:w="4588" w:type="dxa"/>
            <w:tcBorders>
              <w:left w:val="single" w:sz="8" w:space="0" w:color="000000"/>
              <w:bottom w:val="single" w:sz="4" w:space="0" w:color="000000"/>
              <w:right w:val="single" w:sz="8" w:space="0" w:color="000000"/>
            </w:tcBorders>
            <w:shd w:color="auto" w:fill="auto" w:val="clear"/>
          </w:tcPr>
          <w:p>
            <w:pPr>
              <w:pStyle w:val="Normal"/>
              <w:widowControl w:val="false"/>
              <w:jc w:val="both"/>
              <w:rPr>
                <w:sz w:val="27"/>
                <w:szCs w:val="27"/>
              </w:rPr>
            </w:pPr>
            <w:r>
              <w:rPr>
                <w:sz w:val="27"/>
                <w:szCs w:val="27"/>
              </w:rPr>
              <w:t xml:space="preserve">- АУП </w:t>
            </w:r>
          </w:p>
        </w:tc>
        <w:tc>
          <w:tcPr>
            <w:tcW w:w="2446" w:type="dxa"/>
            <w:tcBorders>
              <w:top w:val="single" w:sz="8" w:space="0" w:color="000000"/>
              <w:bottom w:val="single" w:sz="4" w:space="0" w:color="000000"/>
              <w:right w:val="single" w:sz="8" w:space="0" w:color="000000"/>
            </w:tcBorders>
            <w:shd w:color="auto" w:fill="auto" w:val="clear"/>
            <w:vAlign w:val="center"/>
          </w:tcPr>
          <w:p>
            <w:pPr>
              <w:pStyle w:val="Normal"/>
              <w:widowControl w:val="false"/>
              <w:ind w:left="-764" w:firstLine="1080"/>
              <w:jc w:val="right"/>
              <w:rPr>
                <w:sz w:val="27"/>
                <w:szCs w:val="27"/>
              </w:rPr>
            </w:pPr>
            <w:r>
              <w:rPr>
                <w:sz w:val="27"/>
                <w:szCs w:val="27"/>
              </w:rPr>
              <w:t>971,4</w:t>
            </w:r>
          </w:p>
        </w:tc>
        <w:tc>
          <w:tcPr>
            <w:tcW w:w="2611" w:type="dxa"/>
            <w:tcBorders>
              <w:top w:val="single" w:sz="8" w:space="0" w:color="000000"/>
              <w:bottom w:val="single" w:sz="4" w:space="0" w:color="000000"/>
              <w:right w:val="single" w:sz="4" w:space="0" w:color="000000"/>
            </w:tcBorders>
            <w:shd w:color="auto" w:fill="auto" w:val="clear"/>
            <w:vAlign w:val="center"/>
          </w:tcPr>
          <w:p>
            <w:pPr>
              <w:pStyle w:val="Normal"/>
              <w:widowControl w:val="false"/>
              <w:ind w:left="-764" w:firstLine="898"/>
              <w:jc w:val="right"/>
              <w:rPr>
                <w:sz w:val="27"/>
                <w:szCs w:val="27"/>
              </w:rPr>
            </w:pPr>
            <w:r>
              <w:rPr>
                <w:sz w:val="27"/>
                <w:szCs w:val="27"/>
              </w:rPr>
              <w:t>1 051,5</w:t>
            </w:r>
          </w:p>
        </w:tc>
      </w:tr>
      <w:tr>
        <w:trPr>
          <w:trHeight w:val="270" w:hRule="atLeast"/>
        </w:trPr>
        <w:tc>
          <w:tcPr>
            <w:tcW w:w="4588" w:type="dxa"/>
            <w:tcBorders>
              <w:left w:val="single" w:sz="8" w:space="0" w:color="000000"/>
              <w:bottom w:val="single" w:sz="8" w:space="0" w:color="000000"/>
              <w:right w:val="single" w:sz="8" w:space="0" w:color="000000"/>
            </w:tcBorders>
            <w:shd w:color="auto" w:fill="auto" w:val="clear"/>
          </w:tcPr>
          <w:p>
            <w:pPr>
              <w:pStyle w:val="Normal"/>
              <w:widowControl w:val="false"/>
              <w:jc w:val="both"/>
              <w:rPr>
                <w:sz w:val="27"/>
                <w:szCs w:val="27"/>
              </w:rPr>
            </w:pPr>
            <w:r>
              <w:rPr>
                <w:sz w:val="27"/>
                <w:szCs w:val="27"/>
              </w:rPr>
              <w:t>- виробничий та обслуговуючий персонал</w:t>
            </w:r>
          </w:p>
        </w:tc>
        <w:tc>
          <w:tcPr>
            <w:tcW w:w="2446" w:type="dxa"/>
            <w:tcBorders>
              <w:bottom w:val="single" w:sz="8" w:space="0" w:color="000000"/>
              <w:right w:val="single" w:sz="8" w:space="0" w:color="000000"/>
            </w:tcBorders>
            <w:shd w:color="auto" w:fill="auto" w:val="clear"/>
            <w:vAlign w:val="center"/>
          </w:tcPr>
          <w:p>
            <w:pPr>
              <w:pStyle w:val="Normal"/>
              <w:widowControl w:val="false"/>
              <w:ind w:left="-764" w:firstLine="1080"/>
              <w:jc w:val="right"/>
              <w:rPr/>
            </w:pPr>
            <w:r>
              <w:rPr>
                <w:sz w:val="27"/>
                <w:szCs w:val="27"/>
              </w:rPr>
              <w:t>4 465,0</w:t>
            </w:r>
          </w:p>
        </w:tc>
        <w:tc>
          <w:tcPr>
            <w:tcW w:w="2611" w:type="dxa"/>
            <w:tcBorders>
              <w:bottom w:val="single" w:sz="8" w:space="0" w:color="000000"/>
              <w:right w:val="single" w:sz="4" w:space="0" w:color="000000"/>
            </w:tcBorders>
            <w:shd w:color="auto" w:fill="auto" w:val="clear"/>
            <w:vAlign w:val="center"/>
          </w:tcPr>
          <w:p>
            <w:pPr>
              <w:pStyle w:val="Normal"/>
              <w:widowControl w:val="false"/>
              <w:ind w:left="-764" w:firstLine="898"/>
              <w:jc w:val="right"/>
              <w:rPr/>
            </w:pPr>
            <w:r>
              <w:rPr>
                <w:sz w:val="27"/>
                <w:szCs w:val="27"/>
              </w:rPr>
              <w:t>5 630,0</w:t>
            </w:r>
          </w:p>
        </w:tc>
      </w:tr>
      <w:tr>
        <w:trPr>
          <w:trHeight w:val="430" w:hRule="atLeast"/>
        </w:trPr>
        <w:tc>
          <w:tcPr>
            <w:tcW w:w="4588" w:type="dxa"/>
            <w:tcBorders>
              <w:left w:val="single" w:sz="8" w:space="0" w:color="000000"/>
              <w:bottom w:val="single" w:sz="4" w:space="0" w:color="000000"/>
              <w:right w:val="single" w:sz="8" w:space="0" w:color="000000"/>
            </w:tcBorders>
            <w:shd w:color="auto" w:fill="auto" w:val="clear"/>
            <w:vAlign w:val="bottom"/>
          </w:tcPr>
          <w:p>
            <w:pPr>
              <w:pStyle w:val="Normal"/>
              <w:widowControl w:val="false"/>
              <w:ind w:left="-764" w:firstLine="764"/>
              <w:rPr/>
            </w:pPr>
            <w:r>
              <w:rPr>
                <w:bCs/>
                <w:sz w:val="27"/>
                <w:szCs w:val="27"/>
              </w:rPr>
              <w:t xml:space="preserve">Середньомісячна заробітна плата </w:t>
            </w:r>
            <w:r>
              <w:rPr>
                <w:bCs/>
                <w:sz w:val="26"/>
                <w:szCs w:val="26"/>
              </w:rPr>
              <w:t>( грн)</w:t>
            </w:r>
          </w:p>
        </w:tc>
        <w:tc>
          <w:tcPr>
            <w:tcW w:w="2446" w:type="dxa"/>
            <w:tcBorders>
              <w:bottom w:val="single" w:sz="4" w:space="0" w:color="000000"/>
              <w:right w:val="single" w:sz="8" w:space="0" w:color="000000"/>
            </w:tcBorders>
            <w:shd w:color="auto" w:fill="auto" w:val="clear"/>
            <w:vAlign w:val="center"/>
          </w:tcPr>
          <w:p>
            <w:pPr>
              <w:pStyle w:val="Normal"/>
              <w:widowControl w:val="false"/>
              <w:ind w:left="-764" w:firstLine="1080"/>
              <w:jc w:val="both"/>
              <w:rPr/>
            </w:pPr>
            <w:r>
              <w:rPr>
                <w:sz w:val="27"/>
                <w:szCs w:val="27"/>
              </w:rPr>
              <w:t xml:space="preserve">               </w:t>
            </w:r>
          </w:p>
          <w:p>
            <w:pPr>
              <w:pStyle w:val="Normal"/>
              <w:widowControl w:val="false"/>
              <w:ind w:left="-764" w:firstLine="1080"/>
              <w:jc w:val="both"/>
              <w:rPr/>
            </w:pPr>
            <w:r>
              <w:rPr>
                <w:sz w:val="27"/>
                <w:szCs w:val="27"/>
              </w:rPr>
              <w:t xml:space="preserve">             </w:t>
            </w:r>
            <w:r>
              <w:rPr>
                <w:sz w:val="27"/>
                <w:szCs w:val="27"/>
              </w:rPr>
              <w:t>11 665,0</w:t>
            </w:r>
          </w:p>
        </w:tc>
        <w:tc>
          <w:tcPr>
            <w:tcW w:w="2611" w:type="dxa"/>
            <w:tcBorders>
              <w:bottom w:val="single" w:sz="4" w:space="0" w:color="000000"/>
              <w:right w:val="single" w:sz="4" w:space="0" w:color="000000"/>
            </w:tcBorders>
            <w:shd w:color="auto" w:fill="auto" w:val="clear"/>
            <w:vAlign w:val="center"/>
          </w:tcPr>
          <w:p>
            <w:pPr>
              <w:pStyle w:val="Normal"/>
              <w:widowControl w:val="false"/>
              <w:ind w:left="-764" w:firstLine="898"/>
              <w:jc w:val="both"/>
              <w:rPr/>
            </w:pPr>
            <w:r>
              <w:rPr>
                <w:sz w:val="27"/>
                <w:szCs w:val="27"/>
              </w:rPr>
              <w:t xml:space="preserve"> </w:t>
            </w:r>
          </w:p>
          <w:p>
            <w:pPr>
              <w:pStyle w:val="Normal"/>
              <w:widowControl w:val="false"/>
              <w:ind w:left="-764" w:firstLine="898"/>
              <w:jc w:val="both"/>
              <w:rPr/>
            </w:pPr>
            <w:r>
              <w:rPr>
                <w:sz w:val="27"/>
                <w:szCs w:val="27"/>
              </w:rPr>
              <w:t xml:space="preserve">                  </w:t>
            </w:r>
            <w:r>
              <w:rPr>
                <w:sz w:val="27"/>
                <w:szCs w:val="27"/>
              </w:rPr>
              <w:t>14 133,0</w:t>
            </w:r>
          </w:p>
        </w:tc>
      </w:tr>
      <w:tr>
        <w:trPr>
          <w:trHeight w:val="363" w:hRule="atLeast"/>
        </w:trPr>
        <w:tc>
          <w:tcPr>
            <w:tcW w:w="4588" w:type="dxa"/>
            <w:tcBorders>
              <w:left w:val="single" w:sz="8" w:space="0" w:color="000000"/>
              <w:bottom w:val="single" w:sz="4" w:space="0" w:color="000000"/>
              <w:right w:val="single" w:sz="8" w:space="0" w:color="000000"/>
            </w:tcBorders>
            <w:shd w:color="auto" w:fill="auto" w:val="clear"/>
            <w:vAlign w:val="bottom"/>
          </w:tcPr>
          <w:p>
            <w:pPr>
              <w:pStyle w:val="Normal"/>
              <w:widowControl w:val="false"/>
              <w:ind w:left="-764" w:firstLine="764"/>
              <w:rPr>
                <w:sz w:val="27"/>
                <w:szCs w:val="27"/>
              </w:rPr>
            </w:pPr>
            <w:r>
              <w:rPr>
                <w:sz w:val="27"/>
                <w:szCs w:val="27"/>
              </w:rPr>
              <w:t>у тому числі:</w:t>
            </w:r>
          </w:p>
        </w:tc>
        <w:tc>
          <w:tcPr>
            <w:tcW w:w="2446" w:type="dxa"/>
            <w:tcBorders>
              <w:bottom w:val="single" w:sz="4" w:space="0" w:color="000000"/>
              <w:right w:val="single" w:sz="8" w:space="0" w:color="000000"/>
            </w:tcBorders>
            <w:shd w:color="auto" w:fill="auto" w:val="clear"/>
            <w:vAlign w:val="center"/>
          </w:tcPr>
          <w:p>
            <w:pPr>
              <w:pStyle w:val="Normal"/>
              <w:widowControl w:val="false"/>
              <w:snapToGrid w:val="false"/>
              <w:ind w:left="-764" w:firstLine="1080"/>
              <w:jc w:val="right"/>
              <w:rPr>
                <w:sz w:val="27"/>
                <w:szCs w:val="27"/>
              </w:rPr>
            </w:pPr>
            <w:r>
              <w:rPr>
                <w:sz w:val="27"/>
                <w:szCs w:val="27"/>
              </w:rPr>
            </w:r>
          </w:p>
        </w:tc>
        <w:tc>
          <w:tcPr>
            <w:tcW w:w="2611" w:type="dxa"/>
            <w:tcBorders>
              <w:bottom w:val="single" w:sz="4" w:space="0" w:color="000000"/>
              <w:right w:val="single" w:sz="4" w:space="0" w:color="000000"/>
            </w:tcBorders>
            <w:shd w:color="auto" w:fill="auto" w:val="clear"/>
            <w:vAlign w:val="center"/>
          </w:tcPr>
          <w:p>
            <w:pPr>
              <w:pStyle w:val="Normal"/>
              <w:widowControl w:val="false"/>
              <w:snapToGrid w:val="false"/>
              <w:ind w:left="-764" w:firstLine="898"/>
              <w:jc w:val="right"/>
              <w:rPr>
                <w:sz w:val="27"/>
                <w:szCs w:val="27"/>
              </w:rPr>
            </w:pPr>
            <w:r>
              <w:rPr>
                <w:sz w:val="27"/>
                <w:szCs w:val="27"/>
              </w:rPr>
            </w:r>
          </w:p>
        </w:tc>
      </w:tr>
      <w:tr>
        <w:trPr>
          <w:trHeight w:val="363" w:hRule="atLeast"/>
        </w:trPr>
        <w:tc>
          <w:tcPr>
            <w:tcW w:w="4588" w:type="dxa"/>
            <w:tcBorders>
              <w:left w:val="single" w:sz="8" w:space="0" w:color="000000"/>
              <w:bottom w:val="single" w:sz="4" w:space="0" w:color="000000"/>
              <w:right w:val="single" w:sz="8" w:space="0" w:color="000000"/>
            </w:tcBorders>
            <w:shd w:color="auto" w:fill="auto" w:val="clear"/>
          </w:tcPr>
          <w:p>
            <w:pPr>
              <w:pStyle w:val="Normal"/>
              <w:widowControl w:val="false"/>
              <w:rPr/>
            </w:pPr>
            <w:r>
              <w:rPr>
                <w:sz w:val="27"/>
                <w:szCs w:val="27"/>
              </w:rPr>
              <w:t>– </w:t>
            </w:r>
            <w:r>
              <w:rPr>
                <w:sz w:val="27"/>
                <w:szCs w:val="27"/>
              </w:rPr>
              <w:t>керівник (грн)</w:t>
            </w:r>
          </w:p>
        </w:tc>
        <w:tc>
          <w:tcPr>
            <w:tcW w:w="2446" w:type="dxa"/>
            <w:tcBorders>
              <w:bottom w:val="single" w:sz="4" w:space="0" w:color="000000"/>
              <w:right w:val="single" w:sz="8" w:space="0" w:color="000000"/>
            </w:tcBorders>
            <w:shd w:color="auto" w:fill="auto" w:val="clear"/>
            <w:vAlign w:val="center"/>
          </w:tcPr>
          <w:p>
            <w:pPr>
              <w:pStyle w:val="Normal"/>
              <w:widowControl w:val="false"/>
              <w:ind w:left="-764" w:firstLine="1080"/>
              <w:jc w:val="right"/>
              <w:rPr/>
            </w:pPr>
            <w:r>
              <w:rPr>
                <w:sz w:val="27"/>
                <w:szCs w:val="27"/>
              </w:rPr>
              <w:t>37 511,0</w:t>
            </w:r>
          </w:p>
        </w:tc>
        <w:tc>
          <w:tcPr>
            <w:tcW w:w="2611" w:type="dxa"/>
            <w:tcBorders>
              <w:bottom w:val="single" w:sz="4" w:space="0" w:color="000000"/>
              <w:right w:val="single" w:sz="4" w:space="0" w:color="000000"/>
            </w:tcBorders>
            <w:shd w:color="auto" w:fill="auto" w:val="clear"/>
            <w:vAlign w:val="center"/>
          </w:tcPr>
          <w:p>
            <w:pPr>
              <w:pStyle w:val="Normal"/>
              <w:widowControl w:val="false"/>
              <w:ind w:left="-764" w:firstLine="898"/>
              <w:jc w:val="right"/>
              <w:rPr/>
            </w:pPr>
            <w:r>
              <w:rPr>
                <w:sz w:val="27"/>
                <w:szCs w:val="27"/>
              </w:rPr>
              <w:t>34 944,0</w:t>
            </w:r>
          </w:p>
        </w:tc>
      </w:tr>
      <w:tr>
        <w:trPr>
          <w:trHeight w:val="363" w:hRule="atLeast"/>
        </w:trPr>
        <w:tc>
          <w:tcPr>
            <w:tcW w:w="4588" w:type="dxa"/>
            <w:tcBorders>
              <w:left w:val="single" w:sz="8" w:space="0" w:color="000000"/>
              <w:bottom w:val="single" w:sz="4" w:space="0" w:color="000000"/>
              <w:right w:val="single" w:sz="8" w:space="0" w:color="000000"/>
            </w:tcBorders>
            <w:shd w:color="auto" w:fill="auto" w:val="clear"/>
          </w:tcPr>
          <w:p>
            <w:pPr>
              <w:pStyle w:val="Normal"/>
              <w:widowControl w:val="false"/>
              <w:rPr/>
            </w:pPr>
            <w:r>
              <w:rPr>
                <w:sz w:val="27"/>
                <w:szCs w:val="27"/>
              </w:rPr>
              <w:t>– </w:t>
            </w:r>
            <w:r>
              <w:rPr>
                <w:sz w:val="27"/>
                <w:szCs w:val="27"/>
              </w:rPr>
              <w:t>АУП (грн)</w:t>
            </w:r>
          </w:p>
        </w:tc>
        <w:tc>
          <w:tcPr>
            <w:tcW w:w="2446" w:type="dxa"/>
            <w:tcBorders>
              <w:bottom w:val="single" w:sz="4" w:space="0" w:color="000000"/>
              <w:right w:val="single" w:sz="8" w:space="0" w:color="000000"/>
            </w:tcBorders>
            <w:shd w:color="auto" w:fill="auto" w:val="clear"/>
            <w:vAlign w:val="center"/>
          </w:tcPr>
          <w:p>
            <w:pPr>
              <w:pStyle w:val="Normal"/>
              <w:widowControl w:val="false"/>
              <w:ind w:left="-764" w:firstLine="1080"/>
              <w:jc w:val="right"/>
              <w:rPr/>
            </w:pPr>
            <w:r>
              <w:rPr>
                <w:sz w:val="27"/>
                <w:szCs w:val="27"/>
              </w:rPr>
              <w:t>13 492,0</w:t>
            </w:r>
          </w:p>
        </w:tc>
        <w:tc>
          <w:tcPr>
            <w:tcW w:w="2611" w:type="dxa"/>
            <w:tcBorders>
              <w:bottom w:val="single" w:sz="4" w:space="0" w:color="000000"/>
              <w:right w:val="single" w:sz="4" w:space="0" w:color="000000"/>
            </w:tcBorders>
            <w:shd w:color="auto" w:fill="auto" w:val="clear"/>
            <w:vAlign w:val="center"/>
          </w:tcPr>
          <w:p>
            <w:pPr>
              <w:pStyle w:val="Normal"/>
              <w:widowControl w:val="false"/>
              <w:ind w:left="-764" w:firstLine="898"/>
              <w:jc w:val="right"/>
              <w:rPr/>
            </w:pPr>
            <w:r>
              <w:rPr>
                <w:sz w:val="27"/>
                <w:szCs w:val="27"/>
              </w:rPr>
              <w:t>14 604,0</w:t>
            </w:r>
          </w:p>
        </w:tc>
      </w:tr>
      <w:tr>
        <w:trPr>
          <w:trHeight w:val="363" w:hRule="atLeast"/>
        </w:trPr>
        <w:tc>
          <w:tcPr>
            <w:tcW w:w="4588" w:type="dxa"/>
            <w:tcBorders>
              <w:left w:val="single" w:sz="8" w:space="0" w:color="000000"/>
              <w:bottom w:val="single" w:sz="4" w:space="0" w:color="000000"/>
              <w:right w:val="single" w:sz="8" w:space="0" w:color="000000"/>
            </w:tcBorders>
            <w:shd w:color="auto" w:fill="auto" w:val="clear"/>
          </w:tcPr>
          <w:p>
            <w:pPr>
              <w:pStyle w:val="Normal"/>
              <w:widowControl w:val="false"/>
              <w:rPr/>
            </w:pPr>
            <w:r>
              <w:rPr>
                <w:sz w:val="27"/>
                <w:szCs w:val="27"/>
              </w:rPr>
              <w:t>– </w:t>
            </w:r>
            <w:r>
              <w:rPr>
                <w:sz w:val="27"/>
                <w:szCs w:val="27"/>
              </w:rPr>
              <w:t>виробничий та обслуговуючий персонал (грн)</w:t>
            </w:r>
          </w:p>
        </w:tc>
        <w:tc>
          <w:tcPr>
            <w:tcW w:w="2446" w:type="dxa"/>
            <w:tcBorders>
              <w:bottom w:val="single" w:sz="4" w:space="0" w:color="000000"/>
              <w:right w:val="single" w:sz="8" w:space="0" w:color="000000"/>
            </w:tcBorders>
            <w:shd w:color="auto" w:fill="auto" w:val="clear"/>
            <w:vAlign w:val="center"/>
          </w:tcPr>
          <w:p>
            <w:pPr>
              <w:pStyle w:val="Normal"/>
              <w:widowControl w:val="false"/>
              <w:ind w:left="-764" w:firstLine="1080"/>
              <w:jc w:val="right"/>
              <w:rPr/>
            </w:pPr>
            <w:r>
              <w:rPr>
                <w:sz w:val="27"/>
                <w:szCs w:val="27"/>
              </w:rPr>
              <w:t>10 785,0</w:t>
            </w:r>
          </w:p>
        </w:tc>
        <w:tc>
          <w:tcPr>
            <w:tcW w:w="2611" w:type="dxa"/>
            <w:tcBorders>
              <w:bottom w:val="single" w:sz="4" w:space="0" w:color="000000"/>
              <w:right w:val="single" w:sz="4" w:space="0" w:color="000000"/>
            </w:tcBorders>
            <w:shd w:color="auto" w:fill="auto" w:val="clear"/>
            <w:vAlign w:val="center"/>
          </w:tcPr>
          <w:p>
            <w:pPr>
              <w:pStyle w:val="Normal"/>
              <w:widowControl w:val="false"/>
              <w:ind w:left="-764" w:firstLine="898"/>
              <w:jc w:val="right"/>
              <w:rPr/>
            </w:pPr>
            <w:r>
              <w:rPr>
                <w:sz w:val="27"/>
                <w:szCs w:val="27"/>
              </w:rPr>
              <w:t>12 511,0</w:t>
            </w:r>
          </w:p>
        </w:tc>
      </w:tr>
      <w:tr>
        <w:trPr>
          <w:trHeight w:val="541" w:hRule="atLeast"/>
        </w:trPr>
        <w:tc>
          <w:tcPr>
            <w:tcW w:w="4588" w:type="dxa"/>
            <w:tcBorders>
              <w:top w:val="single" w:sz="4" w:space="0" w:color="000000"/>
              <w:left w:val="single" w:sz="8" w:space="0" w:color="000000"/>
              <w:bottom w:val="single" w:sz="8" w:space="0" w:color="000000"/>
              <w:right w:val="single" w:sz="8" w:space="0" w:color="000000"/>
            </w:tcBorders>
            <w:shd w:color="auto" w:fill="auto" w:val="clear"/>
            <w:vAlign w:val="bottom"/>
          </w:tcPr>
          <w:p>
            <w:pPr>
              <w:pStyle w:val="Normal"/>
              <w:widowControl w:val="false"/>
              <w:jc w:val="both"/>
              <w:rPr/>
            </w:pPr>
            <w:r>
              <w:rPr>
                <w:sz w:val="27"/>
                <w:szCs w:val="27"/>
              </w:rPr>
              <w:t>Діючий розмір мінімального посадового окладу (грн)</w:t>
            </w:r>
          </w:p>
        </w:tc>
        <w:tc>
          <w:tcPr>
            <w:tcW w:w="2446" w:type="dxa"/>
            <w:tcBorders>
              <w:top w:val="single" w:sz="4" w:space="0" w:color="000000"/>
              <w:bottom w:val="single" w:sz="8" w:space="0" w:color="000000"/>
              <w:right w:val="single" w:sz="8" w:space="0" w:color="000000"/>
            </w:tcBorders>
            <w:shd w:color="auto" w:fill="auto" w:val="clear"/>
            <w:vAlign w:val="center"/>
          </w:tcPr>
          <w:p>
            <w:pPr>
              <w:pStyle w:val="Normal"/>
              <w:widowControl w:val="false"/>
              <w:ind w:left="-764" w:firstLine="1080"/>
              <w:jc w:val="right"/>
              <w:rPr/>
            </w:pPr>
            <w:r>
              <w:rPr>
                <w:sz w:val="27"/>
                <w:szCs w:val="27"/>
              </w:rPr>
              <w:t>5 000,0</w:t>
            </w:r>
          </w:p>
        </w:tc>
        <w:tc>
          <w:tcPr>
            <w:tcW w:w="2611" w:type="dxa"/>
            <w:tcBorders>
              <w:top w:val="single" w:sz="4" w:space="0" w:color="000000"/>
              <w:bottom w:val="single" w:sz="8" w:space="0" w:color="000000"/>
              <w:right w:val="single" w:sz="4" w:space="0" w:color="000000"/>
            </w:tcBorders>
            <w:shd w:color="auto" w:fill="auto" w:val="clear"/>
            <w:vAlign w:val="center"/>
          </w:tcPr>
          <w:p>
            <w:pPr>
              <w:pStyle w:val="Normal"/>
              <w:widowControl w:val="false"/>
              <w:ind w:left="-764" w:firstLine="898"/>
              <w:jc w:val="right"/>
              <w:rPr/>
            </w:pPr>
            <w:r>
              <w:rPr>
                <w:sz w:val="27"/>
                <w:szCs w:val="27"/>
              </w:rPr>
              <w:t>6 000,0</w:t>
            </w:r>
          </w:p>
        </w:tc>
      </w:tr>
    </w:tbl>
    <w:p>
      <w:pPr>
        <w:pStyle w:val="Normal"/>
        <w:jc w:val="both"/>
        <w:rPr>
          <w:b/>
          <w:b/>
          <w:bCs/>
          <w:sz w:val="27"/>
          <w:szCs w:val="27"/>
        </w:rPr>
      </w:pPr>
      <w:r>
        <w:rPr>
          <w:b/>
          <w:bCs/>
          <w:sz w:val="27"/>
          <w:szCs w:val="27"/>
        </w:rPr>
      </w:r>
    </w:p>
    <w:p>
      <w:pPr>
        <w:pStyle w:val="Normal"/>
        <w:ind w:firstLine="510"/>
        <w:jc w:val="both"/>
        <w:rPr>
          <w:sz w:val="28"/>
          <w:szCs w:val="28"/>
        </w:rPr>
      </w:pPr>
      <w:r>
        <w:rPr>
          <w:b/>
          <w:bCs/>
          <w:sz w:val="28"/>
          <w:szCs w:val="28"/>
        </w:rPr>
        <w:t>Господарська діяльність.</w:t>
      </w:r>
    </w:p>
    <w:p>
      <w:pPr>
        <w:pStyle w:val="Normal"/>
        <w:ind w:firstLine="567"/>
        <w:jc w:val="both"/>
        <w:rPr/>
      </w:pPr>
      <w:r>
        <w:rPr>
          <w:sz w:val="28"/>
          <w:szCs w:val="28"/>
        </w:rPr>
        <w:t xml:space="preserve">За період роботи з 01.01.2021 – 30.09.2021 підприємством здійснено ряд важливих заходів а саме: </w:t>
      </w:r>
    </w:p>
    <w:p>
      <w:pPr>
        <w:pStyle w:val="Normal"/>
        <w:ind w:firstLine="567"/>
        <w:jc w:val="both"/>
        <w:rPr/>
      </w:pPr>
      <w:r>
        <w:rPr>
          <w:sz w:val="28"/>
          <w:szCs w:val="28"/>
        </w:rPr>
        <w:t>- розширення кладовища с. Гаразджа (придбано 1,4 га землі);</w:t>
      </w:r>
    </w:p>
    <w:p>
      <w:pPr>
        <w:pStyle w:val="Normal"/>
        <w:ind w:firstLine="567"/>
        <w:jc w:val="both"/>
        <w:rPr/>
      </w:pPr>
      <w:r>
        <w:rPr>
          <w:sz w:val="28"/>
          <w:szCs w:val="28"/>
        </w:rPr>
        <w:t>- розширено кладовище у с. Прилуцьке  на 0,5 га;</w:t>
      </w:r>
    </w:p>
    <w:p>
      <w:pPr>
        <w:pStyle w:val="Normal"/>
        <w:ind w:firstLine="567"/>
        <w:jc w:val="both"/>
        <w:rPr/>
      </w:pPr>
      <w:r>
        <w:rPr>
          <w:bCs/>
          <w:iCs/>
          <w:sz w:val="28"/>
          <w:szCs w:val="28"/>
          <w:lang w:eastAsia="uk-UA"/>
        </w:rPr>
        <w:t>-</w:t>
      </w:r>
      <w:r>
        <w:rPr>
          <w:bCs/>
          <w:iCs/>
          <w:color w:val="000000"/>
          <w:sz w:val="28"/>
          <w:szCs w:val="28"/>
          <w:lang w:eastAsia="uk-UA"/>
        </w:rPr>
        <w:t> обслуговування територій 32 кладовищ, п</w:t>
      </w:r>
      <w:r>
        <w:rPr>
          <w:bCs/>
          <w:iCs/>
          <w:sz w:val="28"/>
          <w:szCs w:val="28"/>
          <w:lang w:eastAsia="uk-UA"/>
        </w:rPr>
        <w:t>лощею 35,044 га.</w:t>
      </w:r>
    </w:p>
    <w:p>
      <w:pPr>
        <w:pStyle w:val="Normal"/>
        <w:ind w:firstLine="567"/>
        <w:jc w:val="both"/>
        <w:rPr/>
      </w:pPr>
      <w:r>
        <w:rPr>
          <w:bCs/>
          <w:iCs/>
          <w:sz w:val="28"/>
          <w:szCs w:val="28"/>
          <w:lang w:eastAsia="uk-UA"/>
        </w:rPr>
        <w:t>Загальна площа усіх кладовищ, які обслуговує комунальне підприємство складає 89,9 га.</w:t>
      </w:r>
    </w:p>
    <w:p>
      <w:pPr>
        <w:pStyle w:val="Normal"/>
        <w:ind w:firstLine="567"/>
        <w:jc w:val="both"/>
        <w:rPr/>
      </w:pPr>
      <w:r>
        <w:rPr>
          <w:color w:val="000000"/>
          <w:sz w:val="28"/>
          <w:szCs w:val="28"/>
        </w:rPr>
        <w:t>Отримано техніку, передану з сіл Забороль та Княгининок, зокрема:</w:t>
      </w:r>
    </w:p>
    <w:p>
      <w:pPr>
        <w:pStyle w:val="Normal"/>
        <w:ind w:firstLine="567"/>
        <w:jc w:val="both"/>
        <w:rPr/>
      </w:pPr>
      <w:r>
        <w:rPr>
          <w:color w:val="000000"/>
          <w:sz w:val="28"/>
          <w:szCs w:val="28"/>
        </w:rPr>
        <w:t>- трактор МТЗ 82.1 з навісним обладнанням та причепом;</w:t>
      </w:r>
    </w:p>
    <w:p>
      <w:pPr>
        <w:pStyle w:val="Normal"/>
        <w:ind w:firstLine="567"/>
        <w:jc w:val="both"/>
        <w:rPr/>
      </w:pPr>
      <w:r>
        <w:rPr>
          <w:color w:val="000000"/>
          <w:sz w:val="28"/>
          <w:szCs w:val="28"/>
        </w:rPr>
        <w:t>- відвал для снігу, косарка роторна та деревоподрібнююча машина;</w:t>
      </w:r>
    </w:p>
    <w:p>
      <w:pPr>
        <w:pStyle w:val="Normal"/>
        <w:ind w:firstLine="567"/>
        <w:jc w:val="both"/>
        <w:rPr/>
      </w:pPr>
      <w:r>
        <w:rPr>
          <w:color w:val="000000"/>
          <w:sz w:val="28"/>
          <w:szCs w:val="28"/>
        </w:rPr>
        <w:t xml:space="preserve">-  автомобіль ГАЗ 3309 - самоскид. </w:t>
      </w:r>
    </w:p>
    <w:p>
      <w:pPr>
        <w:pStyle w:val="Normal"/>
        <w:ind w:firstLine="567"/>
        <w:jc w:val="both"/>
        <w:rPr>
          <w:sz w:val="28"/>
          <w:szCs w:val="28"/>
        </w:rPr>
      </w:pPr>
      <w:r>
        <w:rPr>
          <w:sz w:val="28"/>
          <w:szCs w:val="28"/>
        </w:rPr>
        <w:t xml:space="preserve">За кошти </w:t>
      </w:r>
      <w:r>
        <w:rPr>
          <w:sz w:val="28"/>
          <w:szCs w:val="28"/>
          <w:shd w:fill="FFFFFF" w:val="clear"/>
        </w:rPr>
        <w:t>бюджету Луцької міської територіальної громади</w:t>
      </w:r>
      <w:r>
        <w:rPr>
          <w:sz w:val="28"/>
          <w:szCs w:val="28"/>
          <w:highlight w:val="white"/>
        </w:rPr>
        <w:t xml:space="preserve"> </w:t>
      </w:r>
      <w:r>
        <w:rPr>
          <w:sz w:val="28"/>
          <w:szCs w:val="28"/>
        </w:rPr>
        <w:t xml:space="preserve">придбаний автомобіль-самоскид з грейферним навантажувачем. </w:t>
      </w:r>
    </w:p>
    <w:p>
      <w:pPr>
        <w:pStyle w:val="Normal"/>
        <w:ind w:firstLine="567"/>
        <w:jc w:val="both"/>
        <w:rPr>
          <w:sz w:val="28"/>
          <w:szCs w:val="28"/>
        </w:rPr>
      </w:pPr>
      <w:r>
        <w:rPr>
          <w:sz w:val="28"/>
          <w:szCs w:val="28"/>
        </w:rPr>
        <w:t xml:space="preserve">Виконано такі роботи з благоустрою та утримання кладовищ </w:t>
      </w:r>
      <w:r>
        <w:rPr>
          <w:bCs/>
          <w:iCs/>
          <w:sz w:val="28"/>
          <w:szCs w:val="28"/>
          <w:lang w:eastAsia="uk-UA"/>
        </w:rPr>
        <w:t xml:space="preserve">Луцької міської територіальної громади, як </w:t>
      </w:r>
      <w:r>
        <w:rPr>
          <w:sz w:val="28"/>
          <w:szCs w:val="28"/>
        </w:rPr>
        <w:t xml:space="preserve">видалення аварійних дерев на кладовищах Гаразджа, на вул. Володимирська, Рівненська та с. Буків (79 дерев), видалено самосіву у повному обсязі на старому кладовищі с. Жидичин, </w:t>
      </w:r>
      <w:r>
        <w:rPr>
          <w:color w:val="000000"/>
          <w:sz w:val="28"/>
          <w:szCs w:val="28"/>
        </w:rPr>
        <w:t>виконано</w:t>
      </w:r>
      <w:r>
        <w:rPr>
          <w:b/>
          <w:i/>
          <w:sz w:val="28"/>
          <w:szCs w:val="28"/>
        </w:rPr>
        <w:t xml:space="preserve"> </w:t>
      </w:r>
      <w:r>
        <w:rPr>
          <w:bCs/>
          <w:iCs/>
          <w:sz w:val="28"/>
          <w:szCs w:val="28"/>
          <w:lang w:eastAsia="uk-UA"/>
        </w:rPr>
        <w:t>поточний ремонт огорожі кладовища у с. Забороль (20,0 м), у нових секторах кладовища с. Гаразджа прокладено дорогу, площею 150,0 м</w:t>
      </w:r>
      <w:r>
        <w:rPr>
          <w:rFonts w:cs="Arial" w:ascii="Arial" w:hAnsi="Arial"/>
          <w:bCs/>
          <w:iCs/>
          <w:sz w:val="28"/>
          <w:szCs w:val="28"/>
          <w:lang w:eastAsia="uk-UA"/>
        </w:rPr>
        <w:t>²</w:t>
      </w:r>
      <w:r>
        <w:rPr>
          <w:bCs/>
          <w:iCs/>
          <w:sz w:val="28"/>
          <w:szCs w:val="28"/>
          <w:lang w:eastAsia="uk-UA"/>
        </w:rPr>
        <w:t>.</w:t>
      </w:r>
    </w:p>
    <w:p>
      <w:pPr>
        <w:pStyle w:val="Normal"/>
        <w:ind w:firstLine="567"/>
        <w:jc w:val="both"/>
        <w:rPr>
          <w:sz w:val="28"/>
          <w:szCs w:val="28"/>
        </w:rPr>
      </w:pPr>
      <w:r>
        <w:rPr>
          <w:sz w:val="28"/>
          <w:szCs w:val="28"/>
        </w:rPr>
      </w:r>
    </w:p>
    <w:p>
      <w:pPr>
        <w:pStyle w:val="Normal"/>
        <w:ind w:firstLine="567"/>
        <w:jc w:val="both"/>
        <w:rPr/>
      </w:pPr>
      <w:r>
        <w:rPr>
          <w:b/>
          <w:bCs/>
          <w:iCs/>
          <w:sz w:val="28"/>
          <w:szCs w:val="28"/>
          <w:lang w:eastAsia="uk-UA"/>
        </w:rPr>
        <w:t>Претензійно-позовна робота.</w:t>
      </w:r>
    </w:p>
    <w:p>
      <w:pPr>
        <w:pStyle w:val="Normal"/>
        <w:ind w:firstLine="567"/>
        <w:jc w:val="both"/>
        <w:rPr>
          <w:sz w:val="28"/>
          <w:szCs w:val="28"/>
        </w:rPr>
      </w:pPr>
      <w:r>
        <w:rPr>
          <w:sz w:val="28"/>
          <w:szCs w:val="28"/>
        </w:rPr>
        <w:t xml:space="preserve">Основний акцент в роботі підприємства зроблено на досудове та позасудове стягнення дебіторської заборгованості шляхом перевірки майбутніх контрагентів, правильного формулювання умов договорів та налагодження системи їх виконання, здійснення контролю над проведенням розрахунків, постійного ведення переговорів з боржниками. В даний час на підприємстві відсутня протермінована дебіторська заборгованість за оренду нерухомого майна, постачання ритуальної продукції та надання ритуальних послуг. Однак, є лише незначна поточна заборгованість, що в кінці місяця, як правило, погашається в повному обсязі. </w:t>
      </w:r>
    </w:p>
    <w:p>
      <w:pPr>
        <w:pStyle w:val="Normal"/>
        <w:ind w:firstLine="567"/>
        <w:jc w:val="both"/>
        <w:rPr/>
      </w:pPr>
      <w:r>
        <w:rPr/>
      </w:r>
    </w:p>
    <w:p>
      <w:pPr>
        <w:pStyle w:val="Normal"/>
        <w:widowControl/>
        <w:suppressAutoHyphens w:val="true"/>
        <w:bidi w:val="0"/>
        <w:ind w:left="0" w:right="0" w:firstLine="567"/>
        <w:jc w:val="both"/>
        <w:rPr>
          <w:b/>
          <w:b/>
          <w:bCs/>
          <w:sz w:val="28"/>
          <w:szCs w:val="28"/>
        </w:rPr>
      </w:pPr>
      <w:r>
        <w:rPr>
          <w:b/>
          <w:bCs/>
          <w:sz w:val="28"/>
          <w:szCs w:val="28"/>
        </w:rPr>
      </w:r>
    </w:p>
    <w:p>
      <w:pPr>
        <w:pStyle w:val="Normal"/>
        <w:widowControl/>
        <w:suppressAutoHyphens w:val="true"/>
        <w:bidi w:val="0"/>
        <w:ind w:left="0" w:right="0" w:firstLine="567"/>
        <w:jc w:val="both"/>
        <w:rPr/>
      </w:pPr>
      <w:r>
        <w:rPr>
          <w:b/>
          <w:bCs/>
          <w:sz w:val="28"/>
          <w:szCs w:val="28"/>
        </w:rPr>
        <w:t>Пропозиції для подальшої роботи підприємства.</w:t>
      </w:r>
    </w:p>
    <w:p>
      <w:pPr>
        <w:pStyle w:val="Normal"/>
        <w:ind w:firstLine="567"/>
        <w:jc w:val="both"/>
        <w:rPr/>
      </w:pPr>
      <w:r>
        <w:rPr>
          <w:sz w:val="28"/>
          <w:szCs w:val="28"/>
        </w:rPr>
        <w:t>У наступних роках підприємством планується здійснити такі заходи:</w:t>
      </w:r>
    </w:p>
    <w:p>
      <w:pPr>
        <w:pStyle w:val="Normal"/>
        <w:ind w:firstLine="567"/>
        <w:jc w:val="both"/>
        <w:rPr>
          <w:sz w:val="28"/>
          <w:szCs w:val="28"/>
        </w:rPr>
      </w:pPr>
      <w:r>
        <w:rPr>
          <w:sz w:val="28"/>
          <w:szCs w:val="28"/>
        </w:rPr>
        <w:t>-</w:t>
      </w:r>
      <w:r>
        <w:rPr>
          <w:sz w:val="28"/>
          <w:szCs w:val="28"/>
          <w:highlight w:val="white"/>
        </w:rPr>
        <w:t> </w:t>
      </w:r>
      <w:r>
        <w:rPr>
          <w:sz w:val="28"/>
          <w:szCs w:val="28"/>
          <w:shd w:fill="FFFFFF" w:val="clear"/>
        </w:rPr>
        <w:t>придбання земельної ділянки</w:t>
      </w:r>
      <w:r>
        <w:rPr>
          <w:sz w:val="28"/>
          <w:szCs w:val="28"/>
          <w:highlight w:val="white"/>
        </w:rPr>
        <w:t xml:space="preserve"> </w:t>
      </w:r>
      <w:r>
        <w:rPr>
          <w:sz w:val="28"/>
          <w:szCs w:val="28"/>
        </w:rPr>
        <w:t>для подальшого розширення меж кладовища в с. Гаразджа;</w:t>
      </w:r>
    </w:p>
    <w:p>
      <w:pPr>
        <w:pStyle w:val="Normal"/>
        <w:ind w:firstLine="567"/>
        <w:jc w:val="both"/>
        <w:rPr/>
      </w:pPr>
      <w:r>
        <w:rPr>
          <w:sz w:val="28"/>
          <w:szCs w:val="28"/>
        </w:rPr>
        <w:t>- проведення поточного ремонту доріг до придбаних ділянок на кладовищі в с. Гаразджа;</w:t>
      </w:r>
    </w:p>
    <w:p>
      <w:pPr>
        <w:pStyle w:val="Normal"/>
        <w:ind w:firstLine="567"/>
        <w:jc w:val="both"/>
        <w:rPr/>
      </w:pPr>
      <w:r>
        <w:rPr>
          <w:sz w:val="28"/>
          <w:szCs w:val="28"/>
        </w:rPr>
        <w:t xml:space="preserve">- видалення аварійних дерев на кладовищах в с. Гаразджа, на вул. Рівненська, вул. Чернишевського та у селах Брище, Жидичин, Забороль, Омеляник, Сирники, Сьомаки; </w:t>
      </w:r>
    </w:p>
    <w:p>
      <w:pPr>
        <w:pStyle w:val="Normal"/>
        <w:ind w:firstLine="567"/>
        <w:jc w:val="both"/>
        <w:rPr/>
      </w:pPr>
      <w:r>
        <w:rPr>
          <w:sz w:val="28"/>
          <w:szCs w:val="28"/>
        </w:rPr>
        <w:t>- встановлення майданчиків для збору сміття на всіх кладовищах</w:t>
      </w:r>
      <w:r>
        <w:rPr>
          <w:sz w:val="28"/>
          <w:szCs w:val="28"/>
          <w:highlight w:val="white"/>
        </w:rPr>
        <w:t xml:space="preserve"> </w:t>
      </w:r>
      <w:r>
        <w:rPr>
          <w:sz w:val="28"/>
          <w:szCs w:val="28"/>
          <w:shd w:fill="FFFFFF" w:val="clear"/>
        </w:rPr>
        <w:t>Луцької  міської територіальної громади;</w:t>
      </w:r>
    </w:p>
    <w:p>
      <w:pPr>
        <w:pStyle w:val="Normal"/>
        <w:ind w:firstLine="567"/>
        <w:jc w:val="both"/>
        <w:rPr>
          <w:sz w:val="28"/>
          <w:szCs w:val="28"/>
        </w:rPr>
      </w:pPr>
      <w:r>
        <w:rPr>
          <w:sz w:val="28"/>
          <w:szCs w:val="28"/>
        </w:rPr>
        <w:t xml:space="preserve">-  придбати </w:t>
      </w:r>
      <w:r>
        <w:rPr>
          <w:sz w:val="28"/>
          <w:szCs w:val="28"/>
          <w:shd w:fill="FFFFFF" w:val="clear"/>
        </w:rPr>
        <w:t>автомобіль –</w:t>
      </w:r>
      <w:bookmarkStart w:id="2" w:name="_GoBack"/>
      <w:bookmarkEnd w:id="2"/>
      <w:r>
        <w:rPr>
          <w:sz w:val="28"/>
          <w:szCs w:val="28"/>
          <w:shd w:fill="FFFFFF" w:val="clear"/>
        </w:rPr>
        <w:t> к</w:t>
      </w:r>
      <w:r>
        <w:rPr>
          <w:sz w:val="28"/>
          <w:szCs w:val="28"/>
          <w:highlight w:val="white"/>
        </w:rPr>
        <w:t>атафалк.</w:t>
      </w:r>
    </w:p>
    <w:p>
      <w:pPr>
        <w:pStyle w:val="Normal"/>
        <w:jc w:val="both"/>
        <w:rPr>
          <w:b/>
          <w:b/>
          <w:sz w:val="26"/>
          <w:szCs w:val="26"/>
        </w:rPr>
      </w:pPr>
      <w:r>
        <w:rPr>
          <w:b/>
          <w:sz w:val="26"/>
          <w:szCs w:val="26"/>
        </w:rPr>
      </w:r>
    </w:p>
    <w:p>
      <w:pPr>
        <w:pStyle w:val="Normal"/>
        <w:jc w:val="both"/>
        <w:rPr>
          <w:b/>
          <w:b/>
          <w:sz w:val="26"/>
          <w:szCs w:val="26"/>
        </w:rPr>
      </w:pPr>
      <w:r>
        <w:rPr>
          <w:b/>
          <w:sz w:val="26"/>
          <w:szCs w:val="26"/>
        </w:rPr>
      </w:r>
    </w:p>
    <w:p>
      <w:pPr>
        <w:pStyle w:val="Normal"/>
        <w:jc w:val="both"/>
        <w:rPr>
          <w:sz w:val="27"/>
          <w:szCs w:val="27"/>
        </w:rPr>
      </w:pPr>
      <w:r>
        <w:rPr>
          <w:sz w:val="28"/>
          <w:szCs w:val="28"/>
        </w:rPr>
        <w:t xml:space="preserve">Директор </w:t>
      </w:r>
    </w:p>
    <w:p>
      <w:pPr>
        <w:pStyle w:val="Normal"/>
        <w:jc w:val="both"/>
        <w:rPr/>
      </w:pPr>
      <w:r>
        <w:rPr>
          <w:sz w:val="28"/>
          <w:szCs w:val="28"/>
        </w:rPr>
        <w:t>КП «Луцький спецкомбінат КПО»</w:t>
      </w:r>
      <w:r>
        <w:rPr>
          <w:b/>
          <w:bCs/>
          <w:sz w:val="28"/>
          <w:szCs w:val="28"/>
        </w:rPr>
        <w:t xml:space="preserve"> </w:t>
      </w:r>
      <w:r>
        <w:rPr>
          <w:sz w:val="28"/>
          <w:szCs w:val="28"/>
        </w:rPr>
        <w:t xml:space="preserve">                                                Василь ЦЕТНАР</w:t>
      </w:r>
    </w:p>
    <w:sectPr>
      <w:type w:val="nextPage"/>
      <w:pgSz w:w="11906" w:h="16838"/>
      <w:pgMar w:left="1701" w:right="567" w:header="0" w:top="1134"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ourier New">
    <w:charset w:val="cc"/>
    <w:family w:val="roman"/>
    <w:pitch w:val="variable"/>
  </w:font>
  <w:font w:name="Wingdings">
    <w:charset w:val="cc"/>
    <w:family w:val="roman"/>
    <w:pitch w:val="variable"/>
  </w:font>
  <w:font w:name="Symbol">
    <w:charset w:val="cc"/>
    <w:family w:val="roman"/>
    <w:pitch w:val="variable"/>
  </w:font>
  <w:font w:name="Liberation Sans">
    <w:altName w:val="Arial"/>
    <w:charset w:val="cc"/>
    <w:family w:val="roman"/>
    <w:pitch w:val="variable"/>
  </w:font>
  <w:font w:name="Verdana">
    <w:charset w:val="cc"/>
    <w:family w:val="roman"/>
    <w:pitch w:val="variable"/>
  </w:font>
  <w:font w:name="Arial">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pStyle w:val="4"/>
      <w:numFmt w:val="none"/>
      <w:suff w:val="nothing"/>
      <w:lvlText w:val=""/>
      <w:lvlJc w:val="left"/>
      <w:pPr>
        <w:ind w:left="0" w:hanging="0"/>
      </w:pPr>
    </w:lvl>
    <w:lvl w:ilvl="4">
      <w:start w:val="1"/>
      <w:pStyle w:val="5"/>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autoHyphenation w:val="false"/>
  <w:compat>
    <w:compatSetting w:name="compatibilityMode" w:uri="http://schemas.microsoft.com/office/word" w:val="14"/>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Unicode MS"/>
        <w:szCs w:val="24"/>
        <w:lang w:val="uk-UA" w:eastAsia="zh-CN" w:bidi="hi-IN"/>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jc w:val="left"/>
    </w:pPr>
    <w:rPr>
      <w:rFonts w:ascii="Times New Roman" w:hAnsi="Times New Roman" w:eastAsia="Times New Roman" w:cs="Times New Roman"/>
      <w:color w:val="auto"/>
      <w:kern w:val="0"/>
      <w:sz w:val="24"/>
      <w:szCs w:val="24"/>
      <w:lang w:val="uk-UA" w:eastAsia="zh-CN" w:bidi="ar-SA"/>
    </w:rPr>
  </w:style>
  <w:style w:type="paragraph" w:styleId="4">
    <w:name w:val="Heading 4"/>
    <w:basedOn w:val="Normal"/>
    <w:next w:val="Normal"/>
    <w:qFormat/>
    <w:pPr>
      <w:keepNext w:val="true"/>
      <w:numPr>
        <w:ilvl w:val="3"/>
        <w:numId w:val="1"/>
      </w:numPr>
      <w:ind w:left="-180" w:hanging="0"/>
      <w:jc w:val="center"/>
      <w:outlineLvl w:val="3"/>
    </w:pPr>
    <w:rPr>
      <w:sz w:val="28"/>
      <w:szCs w:val="28"/>
    </w:rPr>
  </w:style>
  <w:style w:type="paragraph" w:styleId="5">
    <w:name w:val="Heading 5"/>
    <w:basedOn w:val="Normal"/>
    <w:next w:val="Normal"/>
    <w:qFormat/>
    <w:pPr>
      <w:keepNext w:val="true"/>
      <w:numPr>
        <w:ilvl w:val="4"/>
        <w:numId w:val="1"/>
      </w:numPr>
      <w:jc w:val="center"/>
      <w:outlineLvl w:val="4"/>
    </w:pPr>
    <w:rPr>
      <w:sz w:val="28"/>
      <w:szCs w:val="28"/>
    </w:rPr>
  </w:style>
  <w:style w:type="character" w:styleId="DefaultParagraphFont" w:default="1">
    <w:name w:val="Default Paragraph Font"/>
    <w:uiPriority w:val="1"/>
    <w:semiHidden/>
    <w:unhideWhenUsed/>
    <w:qFormat/>
    <w:rPr/>
  </w:style>
  <w:style w:type="character" w:styleId="WW8Num1z0" w:customStyle="1">
    <w:name w:val="WW8Num1z0"/>
    <w:qFormat/>
    <w:rPr>
      <w:rFonts w:ascii="Times New Roman" w:hAnsi="Times New Roman" w:eastAsia="Times New Roman" w:cs="Times New Roman"/>
    </w:rPr>
  </w:style>
  <w:style w:type="character" w:styleId="WW8Num1z1" w:customStyle="1">
    <w:name w:val="WW8Num1z1"/>
    <w:qFormat/>
    <w:rPr>
      <w:rFonts w:ascii="Courier New" w:hAnsi="Courier New" w:cs="Courier New"/>
    </w:rPr>
  </w:style>
  <w:style w:type="character" w:styleId="WW8Num1z2" w:customStyle="1">
    <w:name w:val="WW8Num1z2"/>
    <w:qFormat/>
    <w:rPr>
      <w:rFonts w:ascii="Wingdings" w:hAnsi="Wingdings" w:cs="Wingdings"/>
    </w:rPr>
  </w:style>
  <w:style w:type="character" w:styleId="WW8Num1z3" w:customStyle="1">
    <w:name w:val="WW8Num1z3"/>
    <w:qFormat/>
    <w:rPr>
      <w:rFonts w:ascii="Symbol" w:hAnsi="Symbol" w:cs="Symbol"/>
    </w:rPr>
  </w:style>
  <w:style w:type="character" w:styleId="WW8Num2z0" w:customStyle="1">
    <w:name w:val="WW8Num2z0"/>
    <w:qFormat/>
    <w:rPr>
      <w:rFonts w:ascii="Times New Roman" w:hAnsi="Times New Roman" w:eastAsia="Times New Roman" w:cs="Times New Roman"/>
    </w:rPr>
  </w:style>
  <w:style w:type="character" w:styleId="WW8Num2z1" w:customStyle="1">
    <w:name w:val="WW8Num2z1"/>
    <w:qFormat/>
    <w:rPr>
      <w:rFonts w:ascii="Courier New" w:hAnsi="Courier New" w:cs="Courier New"/>
    </w:rPr>
  </w:style>
  <w:style w:type="character" w:styleId="WW8Num2z2" w:customStyle="1">
    <w:name w:val="WW8Num2z2"/>
    <w:qFormat/>
    <w:rPr>
      <w:rFonts w:ascii="Wingdings" w:hAnsi="Wingdings" w:cs="Wingdings"/>
    </w:rPr>
  </w:style>
  <w:style w:type="character" w:styleId="WW8Num2z3" w:customStyle="1">
    <w:name w:val="WW8Num2z3"/>
    <w:qFormat/>
    <w:rPr>
      <w:rFonts w:ascii="Symbol" w:hAnsi="Symbol" w:cs="Symbol"/>
    </w:rPr>
  </w:style>
  <w:style w:type="character" w:styleId="WW8Num3z0" w:customStyle="1">
    <w:name w:val="WW8Num3z0"/>
    <w:qFormat/>
    <w:rPr/>
  </w:style>
  <w:style w:type="character" w:styleId="WW8Num3z1" w:customStyle="1">
    <w:name w:val="WW8Num3z1"/>
    <w:qFormat/>
    <w:rPr/>
  </w:style>
  <w:style w:type="character" w:styleId="WW8Num3z2" w:customStyle="1">
    <w:name w:val="WW8Num3z2"/>
    <w:qFormat/>
    <w:rPr/>
  </w:style>
  <w:style w:type="character" w:styleId="WW8Num3z3" w:customStyle="1">
    <w:name w:val="WW8Num3z3"/>
    <w:qFormat/>
    <w:rPr/>
  </w:style>
  <w:style w:type="character" w:styleId="WW8Num3z4" w:customStyle="1">
    <w:name w:val="WW8Num3z4"/>
    <w:qFormat/>
    <w:rPr/>
  </w:style>
  <w:style w:type="character" w:styleId="WW8Num3z5" w:customStyle="1">
    <w:name w:val="WW8Num3z5"/>
    <w:qFormat/>
    <w:rPr/>
  </w:style>
  <w:style w:type="character" w:styleId="WW8Num3z6" w:customStyle="1">
    <w:name w:val="WW8Num3z6"/>
    <w:qFormat/>
    <w:rPr/>
  </w:style>
  <w:style w:type="character" w:styleId="WW8Num3z7" w:customStyle="1">
    <w:name w:val="WW8Num3z7"/>
    <w:qFormat/>
    <w:rPr/>
  </w:style>
  <w:style w:type="character" w:styleId="WW8Num3z8" w:customStyle="1">
    <w:name w:val="WW8Num3z8"/>
    <w:qFormat/>
    <w:rPr/>
  </w:style>
  <w:style w:type="character" w:styleId="WW8Num4z0" w:customStyle="1">
    <w:name w:val="WW8Num4z0"/>
    <w:qFormat/>
    <w:rPr/>
  </w:style>
  <w:style w:type="character" w:styleId="WW8Num4z1" w:customStyle="1">
    <w:name w:val="WW8Num4z1"/>
    <w:qFormat/>
    <w:rPr/>
  </w:style>
  <w:style w:type="character" w:styleId="WW8Num4z2" w:customStyle="1">
    <w:name w:val="WW8Num4z2"/>
    <w:qFormat/>
    <w:rPr/>
  </w:style>
  <w:style w:type="character" w:styleId="WW8Num4z3" w:customStyle="1">
    <w:name w:val="WW8Num4z3"/>
    <w:qFormat/>
    <w:rPr/>
  </w:style>
  <w:style w:type="character" w:styleId="WW8Num4z4" w:customStyle="1">
    <w:name w:val="WW8Num4z4"/>
    <w:qFormat/>
    <w:rPr/>
  </w:style>
  <w:style w:type="character" w:styleId="WW8Num4z5" w:customStyle="1">
    <w:name w:val="WW8Num4z5"/>
    <w:qFormat/>
    <w:rPr/>
  </w:style>
  <w:style w:type="character" w:styleId="WW8Num4z6" w:customStyle="1">
    <w:name w:val="WW8Num4z6"/>
    <w:qFormat/>
    <w:rPr/>
  </w:style>
  <w:style w:type="character" w:styleId="WW8Num4z7" w:customStyle="1">
    <w:name w:val="WW8Num4z7"/>
    <w:qFormat/>
    <w:rPr/>
  </w:style>
  <w:style w:type="character" w:styleId="WW8Num4z8" w:customStyle="1">
    <w:name w:val="WW8Num4z8"/>
    <w:qFormat/>
    <w:rPr/>
  </w:style>
  <w:style w:type="character" w:styleId="WW8Num5z0" w:customStyle="1">
    <w:name w:val="WW8Num5z0"/>
    <w:qFormat/>
    <w:rPr>
      <w:rFonts w:ascii="Times New Roman" w:hAnsi="Times New Roman" w:eastAsia="Times New Roman" w:cs="Times New Roman"/>
    </w:rPr>
  </w:style>
  <w:style w:type="character" w:styleId="WW8Num5z1" w:customStyle="1">
    <w:name w:val="WW8Num5z1"/>
    <w:qFormat/>
    <w:rPr>
      <w:rFonts w:ascii="Courier New" w:hAnsi="Courier New" w:cs="Courier New"/>
    </w:rPr>
  </w:style>
  <w:style w:type="character" w:styleId="WW8Num5z2" w:customStyle="1">
    <w:name w:val="WW8Num5z2"/>
    <w:qFormat/>
    <w:rPr>
      <w:rFonts w:ascii="Wingdings" w:hAnsi="Wingdings" w:cs="Wingdings"/>
    </w:rPr>
  </w:style>
  <w:style w:type="character" w:styleId="WW8Num5z3" w:customStyle="1">
    <w:name w:val="WW8Num5z3"/>
    <w:qFormat/>
    <w:rPr>
      <w:rFonts w:ascii="Symbol" w:hAnsi="Symbol" w:cs="Symbol"/>
    </w:rPr>
  </w:style>
  <w:style w:type="character" w:styleId="WW8Num6z0" w:customStyle="1">
    <w:name w:val="WW8Num6z0"/>
    <w:qFormat/>
    <w:rPr>
      <w:rFonts w:ascii="Times New Roman" w:hAnsi="Times New Roman" w:eastAsia="Times New Roman" w:cs="Times New Roman"/>
    </w:rPr>
  </w:style>
  <w:style w:type="character" w:styleId="WW8Num6z1" w:customStyle="1">
    <w:name w:val="WW8Num6z1"/>
    <w:qFormat/>
    <w:rPr>
      <w:rFonts w:ascii="Courier New" w:hAnsi="Courier New" w:cs="Courier New"/>
    </w:rPr>
  </w:style>
  <w:style w:type="character" w:styleId="WW8Num6z2" w:customStyle="1">
    <w:name w:val="WW8Num6z2"/>
    <w:qFormat/>
    <w:rPr>
      <w:rFonts w:ascii="Wingdings" w:hAnsi="Wingdings" w:cs="Wingdings"/>
    </w:rPr>
  </w:style>
  <w:style w:type="character" w:styleId="WW8Num6z3" w:customStyle="1">
    <w:name w:val="WW8Num6z3"/>
    <w:qFormat/>
    <w:rPr>
      <w:rFonts w:ascii="Symbol" w:hAnsi="Symbol" w:cs="Symbol"/>
    </w:rPr>
  </w:style>
  <w:style w:type="character" w:styleId="WW8Num7z0" w:customStyle="1">
    <w:name w:val="WW8Num7z0"/>
    <w:qFormat/>
    <w:rPr/>
  </w:style>
  <w:style w:type="character" w:styleId="WW8Num8z0" w:customStyle="1">
    <w:name w:val="WW8Num8z0"/>
    <w:qFormat/>
    <w:rPr>
      <w:rFonts w:ascii="Times New Roman" w:hAnsi="Times New Roman" w:eastAsia="Times New Roman" w:cs="Times New Roman"/>
    </w:rPr>
  </w:style>
  <w:style w:type="character" w:styleId="WW8Num8z1" w:customStyle="1">
    <w:name w:val="WW8Num8z1"/>
    <w:qFormat/>
    <w:rPr>
      <w:rFonts w:ascii="Courier New" w:hAnsi="Courier New" w:cs="Courier New"/>
    </w:rPr>
  </w:style>
  <w:style w:type="character" w:styleId="WW8Num8z2" w:customStyle="1">
    <w:name w:val="WW8Num8z2"/>
    <w:qFormat/>
    <w:rPr>
      <w:rFonts w:ascii="Wingdings" w:hAnsi="Wingdings" w:cs="Wingdings"/>
    </w:rPr>
  </w:style>
  <w:style w:type="character" w:styleId="WW8Num8z3" w:customStyle="1">
    <w:name w:val="WW8Num8z3"/>
    <w:qFormat/>
    <w:rPr>
      <w:rFonts w:ascii="Symbol" w:hAnsi="Symbol" w:cs="Symbol"/>
    </w:rPr>
  </w:style>
  <w:style w:type="character" w:styleId="WW8Num9z0" w:customStyle="1">
    <w:name w:val="WW8Num9z0"/>
    <w:qFormat/>
    <w:rPr>
      <w:rFonts w:ascii="Times New Roman" w:hAnsi="Times New Roman" w:eastAsia="Times New Roman" w:cs="Times New Roman"/>
      <w:lang w:eastAsia="uk-UA"/>
    </w:rPr>
  </w:style>
  <w:style w:type="character" w:styleId="WW8Num9z1" w:customStyle="1">
    <w:name w:val="WW8Num9z1"/>
    <w:qFormat/>
    <w:rPr>
      <w:rFonts w:ascii="Courier New" w:hAnsi="Courier New" w:cs="Courier New"/>
    </w:rPr>
  </w:style>
  <w:style w:type="character" w:styleId="WW8Num9z2" w:customStyle="1">
    <w:name w:val="WW8Num9z2"/>
    <w:qFormat/>
    <w:rPr>
      <w:rFonts w:ascii="Wingdings" w:hAnsi="Wingdings" w:cs="Wingdings"/>
    </w:rPr>
  </w:style>
  <w:style w:type="character" w:styleId="WW8Num9z3" w:customStyle="1">
    <w:name w:val="WW8Num9z3"/>
    <w:qFormat/>
    <w:rPr>
      <w:rFonts w:ascii="Symbol" w:hAnsi="Symbol" w:cs="Symbol"/>
    </w:rPr>
  </w:style>
  <w:style w:type="character" w:styleId="WW8Num10z0" w:customStyle="1">
    <w:name w:val="WW8Num10z0"/>
    <w:qFormat/>
    <w:rPr>
      <w:rFonts w:ascii="Times New Roman" w:hAnsi="Times New Roman" w:eastAsia="Times New Roman" w:cs="Times New Roman"/>
    </w:rPr>
  </w:style>
  <w:style w:type="character" w:styleId="WW8Num10z1" w:customStyle="1">
    <w:name w:val="WW8Num10z1"/>
    <w:qFormat/>
    <w:rPr>
      <w:rFonts w:ascii="Courier New" w:hAnsi="Courier New" w:cs="Courier New"/>
    </w:rPr>
  </w:style>
  <w:style w:type="character" w:styleId="WW8Num10z2" w:customStyle="1">
    <w:name w:val="WW8Num10z2"/>
    <w:qFormat/>
    <w:rPr>
      <w:rFonts w:ascii="Wingdings" w:hAnsi="Wingdings" w:cs="Wingdings"/>
    </w:rPr>
  </w:style>
  <w:style w:type="character" w:styleId="WW8Num10z3" w:customStyle="1">
    <w:name w:val="WW8Num10z3"/>
    <w:qFormat/>
    <w:rPr>
      <w:rFonts w:ascii="Symbol" w:hAnsi="Symbol" w:cs="Symbol"/>
    </w:rPr>
  </w:style>
  <w:style w:type="character" w:styleId="WW8Num11z0" w:customStyle="1">
    <w:name w:val="WW8Num11z0"/>
    <w:qFormat/>
    <w:rPr/>
  </w:style>
  <w:style w:type="character" w:styleId="WW8Num12z0" w:customStyle="1">
    <w:name w:val="WW8Num12z0"/>
    <w:qFormat/>
    <w:rPr>
      <w:rFonts w:ascii="Times New Roman" w:hAnsi="Times New Roman" w:eastAsia="Times New Roman" w:cs="Times New Roman"/>
    </w:rPr>
  </w:style>
  <w:style w:type="character" w:styleId="WW8Num12z1" w:customStyle="1">
    <w:name w:val="WW8Num12z1"/>
    <w:qFormat/>
    <w:rPr>
      <w:rFonts w:ascii="Courier New" w:hAnsi="Courier New" w:cs="Courier New"/>
    </w:rPr>
  </w:style>
  <w:style w:type="character" w:styleId="WW8Num12z2" w:customStyle="1">
    <w:name w:val="WW8Num12z2"/>
    <w:qFormat/>
    <w:rPr>
      <w:rFonts w:ascii="Wingdings" w:hAnsi="Wingdings" w:cs="Wingdings"/>
    </w:rPr>
  </w:style>
  <w:style w:type="character" w:styleId="WW8Num12z3" w:customStyle="1">
    <w:name w:val="WW8Num12z3"/>
    <w:qFormat/>
    <w:rPr>
      <w:rFonts w:ascii="Symbol" w:hAnsi="Symbol" w:cs="Symbol"/>
    </w:rPr>
  </w:style>
  <w:style w:type="character" w:styleId="WW8Num13z0" w:customStyle="1">
    <w:name w:val="WW8Num13z0"/>
    <w:qFormat/>
    <w:rPr/>
  </w:style>
  <w:style w:type="character" w:styleId="WW8Num14z0" w:customStyle="1">
    <w:name w:val="WW8Num14z0"/>
    <w:qFormat/>
    <w:rPr>
      <w:rFonts w:ascii="Times New Roman" w:hAnsi="Times New Roman" w:eastAsia="Times New Roman" w:cs="Times New Roman"/>
    </w:rPr>
  </w:style>
  <w:style w:type="character" w:styleId="WW8Num14z1" w:customStyle="1">
    <w:name w:val="WW8Num14z1"/>
    <w:qFormat/>
    <w:rPr>
      <w:rFonts w:ascii="Courier New" w:hAnsi="Courier New" w:cs="Courier New"/>
    </w:rPr>
  </w:style>
  <w:style w:type="character" w:styleId="WW8Num14z2" w:customStyle="1">
    <w:name w:val="WW8Num14z2"/>
    <w:qFormat/>
    <w:rPr>
      <w:rFonts w:ascii="Wingdings" w:hAnsi="Wingdings" w:cs="Wingdings"/>
    </w:rPr>
  </w:style>
  <w:style w:type="character" w:styleId="WW8Num14z3" w:customStyle="1">
    <w:name w:val="WW8Num14z3"/>
    <w:qFormat/>
    <w:rPr>
      <w:rFonts w:ascii="Symbol" w:hAnsi="Symbol" w:cs="Symbol"/>
    </w:rPr>
  </w:style>
  <w:style w:type="character" w:styleId="WW8Num15z0" w:customStyle="1">
    <w:name w:val="WW8Num15z0"/>
    <w:qFormat/>
    <w:rPr/>
  </w:style>
  <w:style w:type="character" w:styleId="WW8Num15z1" w:customStyle="1">
    <w:name w:val="WW8Num15z1"/>
    <w:qFormat/>
    <w:rPr/>
  </w:style>
  <w:style w:type="character" w:styleId="WW8Num15z2" w:customStyle="1">
    <w:name w:val="WW8Num15z2"/>
    <w:qFormat/>
    <w:rPr/>
  </w:style>
  <w:style w:type="character" w:styleId="WW8Num15z3" w:customStyle="1">
    <w:name w:val="WW8Num15z3"/>
    <w:qFormat/>
    <w:rPr/>
  </w:style>
  <w:style w:type="character" w:styleId="WW8Num15z4" w:customStyle="1">
    <w:name w:val="WW8Num15z4"/>
    <w:qFormat/>
    <w:rPr/>
  </w:style>
  <w:style w:type="character" w:styleId="WW8Num15z5" w:customStyle="1">
    <w:name w:val="WW8Num15z5"/>
    <w:qFormat/>
    <w:rPr/>
  </w:style>
  <w:style w:type="character" w:styleId="WW8Num15z6" w:customStyle="1">
    <w:name w:val="WW8Num15z6"/>
    <w:qFormat/>
    <w:rPr/>
  </w:style>
  <w:style w:type="character" w:styleId="WW8Num15z7" w:customStyle="1">
    <w:name w:val="WW8Num15z7"/>
    <w:qFormat/>
    <w:rPr/>
  </w:style>
  <w:style w:type="character" w:styleId="WW8Num15z8" w:customStyle="1">
    <w:name w:val="WW8Num15z8"/>
    <w:qFormat/>
    <w:rPr/>
  </w:style>
  <w:style w:type="character" w:styleId="WW8Num16z0" w:customStyle="1">
    <w:name w:val="WW8Num16z0"/>
    <w:qFormat/>
    <w:rPr>
      <w:rFonts w:ascii="Times New Roman" w:hAnsi="Times New Roman" w:eastAsia="Times New Roman" w:cs="Times New Roman"/>
    </w:rPr>
  </w:style>
  <w:style w:type="character" w:styleId="WW8Num16z1" w:customStyle="1">
    <w:name w:val="WW8Num16z1"/>
    <w:qFormat/>
    <w:rPr>
      <w:rFonts w:ascii="Courier New" w:hAnsi="Courier New" w:cs="Courier New"/>
    </w:rPr>
  </w:style>
  <w:style w:type="character" w:styleId="WW8Num16z2" w:customStyle="1">
    <w:name w:val="WW8Num16z2"/>
    <w:qFormat/>
    <w:rPr>
      <w:rFonts w:ascii="Wingdings" w:hAnsi="Wingdings" w:cs="Wingdings"/>
    </w:rPr>
  </w:style>
  <w:style w:type="character" w:styleId="WW8Num16z3" w:customStyle="1">
    <w:name w:val="WW8Num16z3"/>
    <w:qFormat/>
    <w:rPr>
      <w:rFonts w:ascii="Symbol" w:hAnsi="Symbol" w:cs="Symbol"/>
    </w:rPr>
  </w:style>
  <w:style w:type="character" w:styleId="WW8Num17z0" w:customStyle="1">
    <w:name w:val="WW8Num17z0"/>
    <w:qFormat/>
    <w:rPr>
      <w:rFonts w:ascii="Times New Roman" w:hAnsi="Times New Roman" w:eastAsia="Times New Roman" w:cs="Times New Roman"/>
    </w:rPr>
  </w:style>
  <w:style w:type="character" w:styleId="WW8Num17z1" w:customStyle="1">
    <w:name w:val="WW8Num17z1"/>
    <w:qFormat/>
    <w:rPr>
      <w:rFonts w:ascii="Courier New" w:hAnsi="Courier New" w:cs="Courier New"/>
    </w:rPr>
  </w:style>
  <w:style w:type="character" w:styleId="WW8Num17z2" w:customStyle="1">
    <w:name w:val="WW8Num17z2"/>
    <w:qFormat/>
    <w:rPr>
      <w:rFonts w:ascii="Wingdings" w:hAnsi="Wingdings" w:cs="Wingdings"/>
    </w:rPr>
  </w:style>
  <w:style w:type="character" w:styleId="WW8Num17z3" w:customStyle="1">
    <w:name w:val="WW8Num17z3"/>
    <w:qFormat/>
    <w:rPr>
      <w:rFonts w:ascii="Symbol" w:hAnsi="Symbol" w:cs="Symbol"/>
    </w:rPr>
  </w:style>
  <w:style w:type="character" w:styleId="WW8Num18z0" w:customStyle="1">
    <w:name w:val="WW8Num18z0"/>
    <w:qFormat/>
    <w:rPr>
      <w:rFonts w:ascii="Times New Roman" w:hAnsi="Times New Roman" w:eastAsia="Times New Roman" w:cs="Times New Roman"/>
    </w:rPr>
  </w:style>
  <w:style w:type="character" w:styleId="WW8Num18z1" w:customStyle="1">
    <w:name w:val="WW8Num18z1"/>
    <w:qFormat/>
    <w:rPr>
      <w:rFonts w:ascii="Courier New" w:hAnsi="Courier New" w:cs="Courier New"/>
    </w:rPr>
  </w:style>
  <w:style w:type="character" w:styleId="WW8Num18z2" w:customStyle="1">
    <w:name w:val="WW8Num18z2"/>
    <w:qFormat/>
    <w:rPr>
      <w:rFonts w:ascii="Wingdings" w:hAnsi="Wingdings" w:cs="Wingdings"/>
    </w:rPr>
  </w:style>
  <w:style w:type="character" w:styleId="WW8Num18z3" w:customStyle="1">
    <w:name w:val="WW8Num18z3"/>
    <w:qFormat/>
    <w:rPr>
      <w:rFonts w:ascii="Symbol" w:hAnsi="Symbol" w:cs="Symbol"/>
    </w:rPr>
  </w:style>
  <w:style w:type="character" w:styleId="WW8Num19z0" w:customStyle="1">
    <w:name w:val="WW8Num19z0"/>
    <w:qFormat/>
    <w:rPr/>
  </w:style>
  <w:style w:type="character" w:styleId="WW8Num20z0" w:customStyle="1">
    <w:name w:val="WW8Num20z0"/>
    <w:qFormat/>
    <w:rPr>
      <w:rFonts w:ascii="Times New Roman" w:hAnsi="Times New Roman" w:eastAsia="Times New Roman" w:cs="Times New Roman"/>
    </w:rPr>
  </w:style>
  <w:style w:type="character" w:styleId="WW8Num20z1" w:customStyle="1">
    <w:name w:val="WW8Num20z1"/>
    <w:qFormat/>
    <w:rPr>
      <w:rFonts w:ascii="Courier New" w:hAnsi="Courier New" w:cs="Courier New"/>
    </w:rPr>
  </w:style>
  <w:style w:type="character" w:styleId="WW8Num20z2" w:customStyle="1">
    <w:name w:val="WW8Num20z2"/>
    <w:qFormat/>
    <w:rPr>
      <w:rFonts w:ascii="Wingdings" w:hAnsi="Wingdings" w:cs="Wingdings"/>
    </w:rPr>
  </w:style>
  <w:style w:type="character" w:styleId="WW8Num20z3" w:customStyle="1">
    <w:name w:val="WW8Num20z3"/>
    <w:qFormat/>
    <w:rPr>
      <w:rFonts w:ascii="Symbol" w:hAnsi="Symbol" w:cs="Symbol"/>
    </w:rPr>
  </w:style>
  <w:style w:type="character" w:styleId="WW8Num21z0" w:customStyle="1">
    <w:name w:val="WW8Num21z0"/>
    <w:qFormat/>
    <w:rPr>
      <w:rFonts w:ascii="Times New Roman" w:hAnsi="Times New Roman" w:eastAsia="Times New Roman" w:cs="Times New Roman"/>
    </w:rPr>
  </w:style>
  <w:style w:type="character" w:styleId="WW8Num21z1" w:customStyle="1">
    <w:name w:val="WW8Num21z1"/>
    <w:qFormat/>
    <w:rPr>
      <w:rFonts w:ascii="Courier New" w:hAnsi="Courier New" w:cs="Courier New"/>
    </w:rPr>
  </w:style>
  <w:style w:type="character" w:styleId="WW8Num21z2" w:customStyle="1">
    <w:name w:val="WW8Num21z2"/>
    <w:qFormat/>
    <w:rPr>
      <w:rFonts w:ascii="Wingdings" w:hAnsi="Wingdings" w:cs="Wingdings"/>
    </w:rPr>
  </w:style>
  <w:style w:type="character" w:styleId="WW8Num21z3" w:customStyle="1">
    <w:name w:val="WW8Num21z3"/>
    <w:qFormat/>
    <w:rPr>
      <w:rFonts w:ascii="Symbol" w:hAnsi="Symbol" w:cs="Symbol"/>
    </w:rPr>
  </w:style>
  <w:style w:type="character" w:styleId="WW8Num22z0" w:customStyle="1">
    <w:name w:val="WW8Num22z0"/>
    <w:qFormat/>
    <w:rPr>
      <w:rFonts w:ascii="Times New Roman" w:hAnsi="Times New Roman" w:eastAsia="Times New Roman" w:cs="Times New Roman"/>
    </w:rPr>
  </w:style>
  <w:style w:type="character" w:styleId="WW8Num22z1" w:customStyle="1">
    <w:name w:val="WW8Num22z1"/>
    <w:qFormat/>
    <w:rPr>
      <w:rFonts w:ascii="Courier New" w:hAnsi="Courier New" w:cs="Courier New"/>
    </w:rPr>
  </w:style>
  <w:style w:type="character" w:styleId="WW8Num22z2" w:customStyle="1">
    <w:name w:val="WW8Num22z2"/>
    <w:qFormat/>
    <w:rPr>
      <w:rFonts w:ascii="Wingdings" w:hAnsi="Wingdings" w:cs="Wingdings"/>
    </w:rPr>
  </w:style>
  <w:style w:type="character" w:styleId="WW8Num22z3" w:customStyle="1">
    <w:name w:val="WW8Num22z3"/>
    <w:qFormat/>
    <w:rPr>
      <w:rFonts w:ascii="Symbol" w:hAnsi="Symbol" w:cs="Symbol"/>
    </w:rPr>
  </w:style>
  <w:style w:type="character" w:styleId="WW8Num23z0" w:customStyle="1">
    <w:name w:val="WW8Num23z0"/>
    <w:qFormat/>
    <w:rPr/>
  </w:style>
  <w:style w:type="character" w:styleId="WW8Num24z0" w:customStyle="1">
    <w:name w:val="WW8Num24z0"/>
    <w:qFormat/>
    <w:rPr>
      <w:rFonts w:ascii="Times New Roman" w:hAnsi="Times New Roman" w:eastAsia="Times New Roman" w:cs="Times New Roman"/>
    </w:rPr>
  </w:style>
  <w:style w:type="character" w:styleId="WW8Num24z1" w:customStyle="1">
    <w:name w:val="WW8Num24z1"/>
    <w:qFormat/>
    <w:rPr>
      <w:rFonts w:ascii="Courier New" w:hAnsi="Courier New" w:cs="Courier New"/>
    </w:rPr>
  </w:style>
  <w:style w:type="character" w:styleId="WW8Num24z2" w:customStyle="1">
    <w:name w:val="WW8Num24z2"/>
    <w:qFormat/>
    <w:rPr>
      <w:rFonts w:ascii="Wingdings" w:hAnsi="Wingdings" w:cs="Wingdings"/>
    </w:rPr>
  </w:style>
  <w:style w:type="character" w:styleId="WW8Num24z3" w:customStyle="1">
    <w:name w:val="WW8Num24z3"/>
    <w:qFormat/>
    <w:rPr>
      <w:rFonts w:ascii="Symbol" w:hAnsi="Symbol" w:cs="Symbol"/>
    </w:rPr>
  </w:style>
  <w:style w:type="character" w:styleId="WW8Num25z0" w:customStyle="1">
    <w:name w:val="WW8Num25z0"/>
    <w:qFormat/>
    <w:rPr>
      <w:rFonts w:ascii="Times New Roman" w:hAnsi="Times New Roman" w:eastAsia="Times New Roman" w:cs="Times New Roman"/>
    </w:rPr>
  </w:style>
  <w:style w:type="character" w:styleId="WW8Num25z1" w:customStyle="1">
    <w:name w:val="WW8Num25z1"/>
    <w:qFormat/>
    <w:rPr>
      <w:rFonts w:ascii="Courier New" w:hAnsi="Courier New" w:cs="Courier New"/>
    </w:rPr>
  </w:style>
  <w:style w:type="character" w:styleId="WW8Num25z2" w:customStyle="1">
    <w:name w:val="WW8Num25z2"/>
    <w:qFormat/>
    <w:rPr>
      <w:rFonts w:ascii="Wingdings" w:hAnsi="Wingdings" w:cs="Wingdings"/>
    </w:rPr>
  </w:style>
  <w:style w:type="character" w:styleId="WW8Num25z3" w:customStyle="1">
    <w:name w:val="WW8Num25z3"/>
    <w:qFormat/>
    <w:rPr>
      <w:rFonts w:ascii="Symbol" w:hAnsi="Symbol" w:cs="Symbol"/>
    </w:rPr>
  </w:style>
  <w:style w:type="character" w:styleId="WW8Num26z0" w:customStyle="1">
    <w:name w:val="WW8Num26z0"/>
    <w:qFormat/>
    <w:rPr>
      <w:rFonts w:ascii="Times New Roman" w:hAnsi="Times New Roman" w:eastAsia="Times New Roman" w:cs="Times New Roman"/>
    </w:rPr>
  </w:style>
  <w:style w:type="character" w:styleId="WW8Num26z1" w:customStyle="1">
    <w:name w:val="WW8Num26z1"/>
    <w:qFormat/>
    <w:rPr>
      <w:rFonts w:ascii="Courier New" w:hAnsi="Courier New" w:cs="Courier New"/>
    </w:rPr>
  </w:style>
  <w:style w:type="character" w:styleId="WW8Num26z2" w:customStyle="1">
    <w:name w:val="WW8Num26z2"/>
    <w:qFormat/>
    <w:rPr>
      <w:rFonts w:ascii="Wingdings" w:hAnsi="Wingdings" w:cs="Wingdings"/>
    </w:rPr>
  </w:style>
  <w:style w:type="character" w:styleId="WW8Num26z3" w:customStyle="1">
    <w:name w:val="WW8Num26z3"/>
    <w:qFormat/>
    <w:rPr>
      <w:rFonts w:ascii="Symbol" w:hAnsi="Symbol" w:cs="Symbol"/>
    </w:rPr>
  </w:style>
  <w:style w:type="character" w:styleId="WW8Num27z0" w:customStyle="1">
    <w:name w:val="WW8Num27z0"/>
    <w:qFormat/>
    <w:rPr/>
  </w:style>
  <w:style w:type="character" w:styleId="WW8Num28z0" w:customStyle="1">
    <w:name w:val="WW8Num28z0"/>
    <w:qFormat/>
    <w:rPr>
      <w:rFonts w:ascii="Times New Roman" w:hAnsi="Times New Roman" w:eastAsia="Times New Roman" w:cs="Times New Roman"/>
    </w:rPr>
  </w:style>
  <w:style w:type="character" w:styleId="WW8Num28z1" w:customStyle="1">
    <w:name w:val="WW8Num28z1"/>
    <w:qFormat/>
    <w:rPr>
      <w:rFonts w:ascii="Courier New" w:hAnsi="Courier New" w:cs="Courier New"/>
    </w:rPr>
  </w:style>
  <w:style w:type="character" w:styleId="WW8Num28z2" w:customStyle="1">
    <w:name w:val="WW8Num28z2"/>
    <w:qFormat/>
    <w:rPr>
      <w:rFonts w:ascii="Wingdings" w:hAnsi="Wingdings" w:cs="Wingdings"/>
    </w:rPr>
  </w:style>
  <w:style w:type="character" w:styleId="WW8Num28z3" w:customStyle="1">
    <w:name w:val="WW8Num28z3"/>
    <w:qFormat/>
    <w:rPr>
      <w:rFonts w:ascii="Symbol" w:hAnsi="Symbol" w:cs="Symbol"/>
    </w:rPr>
  </w:style>
  <w:style w:type="paragraph" w:styleId="Style12" w:customStyle="1">
    <w:name w:val="Заголовок"/>
    <w:basedOn w:val="Normal"/>
    <w:next w:val="Style13"/>
    <w:qFormat/>
    <w:pPr>
      <w:keepNext w:val="true"/>
      <w:spacing w:before="240" w:after="120"/>
    </w:pPr>
    <w:rPr>
      <w:rFonts w:ascii="Liberation Sans" w:hAnsi="Liberation Sans" w:eastAsia="Microsoft YaHei" w:cs="Arial Unicode MS"/>
      <w:sz w:val="28"/>
      <w:szCs w:val="28"/>
    </w:rPr>
  </w:style>
  <w:style w:type="paragraph" w:styleId="Style13">
    <w:name w:val="Body Text"/>
    <w:basedOn w:val="Normal"/>
    <w:pPr>
      <w:spacing w:lineRule="auto" w:line="276" w:before="0" w:after="140"/>
    </w:pPr>
    <w:rPr/>
  </w:style>
  <w:style w:type="paragraph" w:styleId="Style14">
    <w:name w:val="List"/>
    <w:basedOn w:val="Style13"/>
    <w:pPr/>
    <w:rPr>
      <w:rFonts w:cs="Arial Unicode MS"/>
    </w:rPr>
  </w:style>
  <w:style w:type="paragraph" w:styleId="Style15">
    <w:name w:val="Caption"/>
    <w:basedOn w:val="Normal"/>
    <w:qFormat/>
    <w:pPr>
      <w:suppressLineNumbers/>
      <w:spacing w:before="120" w:after="120"/>
    </w:pPr>
    <w:rPr>
      <w:rFonts w:cs="Arial"/>
      <w:i/>
      <w:iCs/>
      <w:sz w:val="24"/>
      <w:szCs w:val="24"/>
    </w:rPr>
  </w:style>
  <w:style w:type="paragraph" w:styleId="Style16" w:customStyle="1">
    <w:name w:val="Покажчик"/>
    <w:basedOn w:val="Normal"/>
    <w:qFormat/>
    <w:pPr>
      <w:suppressLineNumbers/>
    </w:pPr>
    <w:rPr>
      <w:rFonts w:cs="Arial Unicode MS"/>
    </w:rPr>
  </w:style>
  <w:style w:type="paragraph" w:styleId="Caption">
    <w:name w:val="caption"/>
    <w:basedOn w:val="Normal"/>
    <w:qFormat/>
    <w:pPr>
      <w:suppressLineNumbers/>
      <w:spacing w:before="120" w:after="120"/>
    </w:pPr>
    <w:rPr>
      <w:rFonts w:cs="Arial Unicode MS"/>
      <w:i/>
      <w:iCs/>
    </w:rPr>
  </w:style>
  <w:style w:type="paragraph" w:styleId="BodyTextIndent2">
    <w:name w:val="Body Text Indent 2"/>
    <w:basedOn w:val="Normal"/>
    <w:qFormat/>
    <w:pPr>
      <w:spacing w:lineRule="auto" w:line="480" w:before="0" w:after="120"/>
      <w:ind w:left="283" w:hanging="0"/>
    </w:pPr>
    <w:rPr/>
  </w:style>
  <w:style w:type="paragraph" w:styleId="Style17" w:customStyle="1">
    <w:name w:val="Знак"/>
    <w:basedOn w:val="Normal"/>
    <w:qFormat/>
    <w:pPr/>
    <w:rPr>
      <w:rFonts w:ascii="Verdana" w:hAnsi="Verdana" w:cs="Verdana"/>
      <w:sz w:val="20"/>
      <w:szCs w:val="20"/>
      <w:lang w:val="en-US"/>
    </w:rPr>
  </w:style>
  <w:style w:type="paragraph" w:styleId="CharChar" w:customStyle="1">
    <w:name w:val="Char Знак Знак Char Знак Знак Знак Знак Знак Знак Знак Знак Знак Знак Знак Знак Знак Знак Знак"/>
    <w:basedOn w:val="Normal"/>
    <w:qFormat/>
    <w:pPr/>
    <w:rPr>
      <w:rFonts w:ascii="Verdana" w:hAnsi="Verdana" w:cs="Verdana"/>
      <w:sz w:val="20"/>
      <w:szCs w:val="20"/>
      <w:lang w:val="en-US"/>
    </w:rPr>
  </w:style>
  <w:style w:type="paragraph" w:styleId="NormalWeb">
    <w:name w:val="Normal (Web)"/>
    <w:basedOn w:val="Normal"/>
    <w:qFormat/>
    <w:pPr>
      <w:spacing w:before="280" w:after="280"/>
    </w:pPr>
    <w:rPr>
      <w:lang w:val="ru-RU"/>
    </w:rPr>
  </w:style>
  <w:style w:type="paragraph" w:styleId="HTMLPreformatted">
    <w:name w:val="HTML Preformatted"/>
    <w:basedOn w:val="Normal"/>
    <w:qFormat/>
    <w:pPr>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cs="Courier New"/>
      <w:sz w:val="20"/>
      <w:szCs w:val="20"/>
      <w:lang w:val="ru-RU"/>
    </w:rPr>
  </w:style>
  <w:style w:type="paragraph" w:styleId="Style18" w:customStyle="1">
    <w:name w:val="Вміст рамки"/>
    <w:basedOn w:val="Normal"/>
    <w:qFormat/>
    <w:pPr/>
    <w:rPr/>
  </w:style>
  <w:style w:type="paragraph" w:styleId="Style19" w:customStyle="1">
    <w:name w:val="Вміст таблиці"/>
    <w:basedOn w:val="Normal"/>
    <w:qFormat/>
    <w:pPr>
      <w:widowControl w:val="false"/>
      <w:suppressLineNumbers/>
    </w:pPr>
    <w:rPr/>
  </w:style>
  <w:style w:type="paragraph" w:styleId="Style20" w:customStyle="1">
    <w:name w:val="Заголовок таблиці"/>
    <w:basedOn w:val="Style19"/>
    <w:qFormat/>
    <w:pPr>
      <w:jc w:val="center"/>
    </w:pPr>
    <w:rPr>
      <w:b/>
      <w:bCs/>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numbering" w:styleId="WW8Num4" w:customStyle="1">
    <w:name w:val="WW8Num4"/>
    <w:qFormat/>
  </w:style>
  <w:style w:type="numbering" w:styleId="WW8Num5" w:customStyle="1">
    <w:name w:val="WW8Num5"/>
    <w:qFormat/>
  </w:style>
  <w:style w:type="numbering" w:styleId="WW8Num6" w:customStyle="1">
    <w:name w:val="WW8Num6"/>
    <w:qFormat/>
  </w:style>
  <w:style w:type="numbering" w:styleId="WW8Num7" w:customStyle="1">
    <w:name w:val="WW8Num7"/>
    <w:qFormat/>
  </w:style>
  <w:style w:type="numbering" w:styleId="WW8Num8" w:customStyle="1">
    <w:name w:val="WW8Num8"/>
    <w:qFormat/>
  </w:style>
  <w:style w:type="numbering" w:styleId="WW8Num9" w:customStyle="1">
    <w:name w:val="WW8Num9"/>
    <w:qFormat/>
  </w:style>
  <w:style w:type="numbering" w:styleId="WW8Num10" w:customStyle="1">
    <w:name w:val="WW8Num10"/>
    <w:qFormat/>
  </w:style>
  <w:style w:type="numbering" w:styleId="WW8Num11" w:customStyle="1">
    <w:name w:val="WW8Num11"/>
    <w:qFormat/>
  </w:style>
  <w:style w:type="numbering" w:styleId="WW8Num12" w:customStyle="1">
    <w:name w:val="WW8Num12"/>
    <w:qFormat/>
  </w:style>
  <w:style w:type="numbering" w:styleId="WW8Num13" w:customStyle="1">
    <w:name w:val="WW8Num13"/>
    <w:qFormat/>
  </w:style>
  <w:style w:type="numbering" w:styleId="WW8Num14" w:customStyle="1">
    <w:name w:val="WW8Num14"/>
    <w:qFormat/>
  </w:style>
  <w:style w:type="numbering" w:styleId="WW8Num15" w:customStyle="1">
    <w:name w:val="WW8Num15"/>
    <w:qFormat/>
  </w:style>
  <w:style w:type="numbering" w:styleId="WW8Num16" w:customStyle="1">
    <w:name w:val="WW8Num16"/>
    <w:qFormat/>
  </w:style>
  <w:style w:type="numbering" w:styleId="WW8Num17" w:customStyle="1">
    <w:name w:val="WW8Num17"/>
    <w:qFormat/>
  </w:style>
  <w:style w:type="numbering" w:styleId="WW8Num18" w:customStyle="1">
    <w:name w:val="WW8Num18"/>
    <w:qFormat/>
  </w:style>
  <w:style w:type="numbering" w:styleId="WW8Num19" w:customStyle="1">
    <w:name w:val="WW8Num19"/>
    <w:qFormat/>
  </w:style>
  <w:style w:type="numbering" w:styleId="WW8Num20" w:customStyle="1">
    <w:name w:val="WW8Num20"/>
    <w:qFormat/>
  </w:style>
  <w:style w:type="numbering" w:styleId="WW8Num21" w:customStyle="1">
    <w:name w:val="WW8Num21"/>
    <w:qFormat/>
  </w:style>
  <w:style w:type="numbering" w:styleId="WW8Num22" w:customStyle="1">
    <w:name w:val="WW8Num22"/>
    <w:qFormat/>
  </w:style>
  <w:style w:type="numbering" w:styleId="WW8Num23" w:customStyle="1">
    <w:name w:val="WW8Num23"/>
    <w:qFormat/>
  </w:style>
  <w:style w:type="numbering" w:styleId="WW8Num24" w:customStyle="1">
    <w:name w:val="WW8Num24"/>
    <w:qFormat/>
  </w:style>
  <w:style w:type="numbering" w:styleId="WW8Num25" w:customStyle="1">
    <w:name w:val="WW8Num25"/>
    <w:qFormat/>
  </w:style>
  <w:style w:type="numbering" w:styleId="WW8Num26" w:customStyle="1">
    <w:name w:val="WW8Num26"/>
    <w:qFormat/>
  </w:style>
  <w:style w:type="numbering" w:styleId="WW8Num27" w:customStyle="1">
    <w:name w:val="WW8Num27"/>
    <w:qFormat/>
  </w:style>
  <w:style w:type="numbering" w:styleId="WW8Num28" w:customStyle="1">
    <w:name w:val="WW8Num28"/>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160</TotalTime>
  <Application>LibreOffice/6.2.1.2$Windows_X86_64 LibreOffice_project/7bcb35dc3024a62dea0caee87020152d1ee96e71</Application>
  <Pages>7</Pages>
  <Words>1548</Words>
  <Characters>9581</Characters>
  <CharactersWithSpaces>12020</CharactersWithSpaces>
  <Paragraphs>284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2021-11-25T14:35:00Z</dcterms:created>
  <dc:creator>www</dc:creator>
  <dc:description/>
  <cp:keywords> </cp:keywords>
  <dc:language>uk-UA</dc:language>
  <cp:lastModifiedBy/>
  <cp:lastPrinted>2021-11-24T14:31:00Z</cp:lastPrinted>
  <dcterms:modified xsi:type="dcterms:W3CDTF">2021-12-07T09:52:43Z</dcterms:modified>
  <cp:revision>95</cp:revision>
  <dc:subject/>
  <dc:title>Звіт про роботу</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