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735" w:leader="none"/>
          <w:tab w:val="left" w:pos="4820" w:leader="none"/>
        </w:tabs>
        <w:jc w:val="center"/>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4pt;height:59.25pt;mso-wrap-distance-right:0pt" filled="t" fillcolor="#FFFFFF" o:ole="">
            <v:imagedata r:id="rId3" o:title=""/>
          </v:shape>
          <o:OLEObject Type="Embed" ProgID="Paint.Picture" ShapeID="ole_rId2" DrawAspect="Content" ObjectID="_1613023617" r:id="rId2"/>
        </w:object>
      </w:r>
    </w:p>
    <w:p>
      <w:pPr>
        <w:pStyle w:val="Normal"/>
        <w:tabs>
          <w:tab w:val="clear" w:pos="708"/>
          <w:tab w:val="left" w:pos="4820" w:leader="none"/>
        </w:tabs>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32"/>
          <w:szCs w:val="32"/>
        </w:rPr>
      </w:pPr>
      <w:r>
        <w:rPr>
          <w:b/>
          <w:sz w:val="32"/>
          <w:szCs w:val="32"/>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widowControl w:val="false"/>
        <w:tabs>
          <w:tab w:val="clear" w:pos="708"/>
          <w:tab w:val="left" w:pos="1280" w:leader="none"/>
          <w:tab w:val="left" w:pos="4395" w:leader="none"/>
          <w:tab w:val="left" w:pos="4962" w:leader="none"/>
          <w:tab w:val="left" w:pos="5325" w:leader="none"/>
        </w:tabs>
        <w:rPr/>
      </w:pPr>
      <w:r>
        <w:rPr>
          <w:spacing w:val="-6"/>
          <w:sz w:val="28"/>
          <w:szCs w:val="28"/>
        </w:rPr>
        <w:t>Про</w:t>
      </w:r>
      <w:r>
        <w:rPr>
          <w:spacing w:val="-6"/>
          <w:sz w:val="26"/>
          <w:szCs w:val="26"/>
        </w:rPr>
        <w:t xml:space="preserve">  </w:t>
      </w:r>
      <w:r>
        <w:rPr>
          <w:spacing w:val="-6"/>
          <w:sz w:val="28"/>
          <w:szCs w:val="28"/>
        </w:rPr>
        <w:t xml:space="preserve">надання  </w:t>
      </w:r>
      <w:r>
        <w:rPr>
          <w:color w:val="000000"/>
          <w:spacing w:val="-6"/>
          <w:sz w:val="28"/>
          <w:szCs w:val="28"/>
        </w:rPr>
        <w:t>АКЦІОНЕРНОМУ</w:t>
      </w:r>
      <w:r>
        <w:rPr>
          <w:color w:val="000000"/>
          <w:spacing w:val="-6"/>
          <w:sz w:val="36"/>
          <w:szCs w:val="36"/>
        </w:rPr>
        <w:t xml:space="preserve"> </w:t>
      </w:r>
      <w:r>
        <w:rPr>
          <w:color w:val="000000"/>
          <w:spacing w:val="-6"/>
          <w:sz w:val="28"/>
          <w:szCs w:val="28"/>
        </w:rPr>
        <w:t>ТОВАРИСТВУ</w:t>
      </w:r>
    </w:p>
    <w:p>
      <w:pPr>
        <w:pStyle w:val="Normal"/>
        <w:widowControl w:val="false"/>
        <w:tabs>
          <w:tab w:val="clear" w:pos="708"/>
          <w:tab w:val="left" w:pos="4395" w:leader="none"/>
          <w:tab w:val="left" w:pos="4962" w:leader="none"/>
          <w:tab w:val="left" w:pos="5325" w:leader="none"/>
          <w:tab w:val="left" w:pos="5610" w:leader="none"/>
        </w:tabs>
        <w:rPr/>
      </w:pPr>
      <w:r>
        <w:rPr>
          <w:color w:val="000000"/>
          <w:spacing w:val="-6"/>
          <w:sz w:val="28"/>
          <w:szCs w:val="28"/>
        </w:rPr>
        <w:t xml:space="preserve">«ОПЕРАТОР </w:t>
      </w:r>
      <w:r>
        <w:rPr>
          <w:color w:val="000000"/>
          <w:spacing w:val="-6"/>
          <w:sz w:val="24"/>
          <w:szCs w:val="24"/>
        </w:rPr>
        <w:t xml:space="preserve"> </w:t>
      </w:r>
      <w:r>
        <w:rPr>
          <w:color w:val="000000"/>
          <w:spacing w:val="-6"/>
          <w:sz w:val="28"/>
          <w:szCs w:val="28"/>
        </w:rPr>
        <w:t>ГАЗОРОЗПОДІЛЬНОЇ</w:t>
      </w:r>
      <w:r>
        <w:rPr>
          <w:color w:val="000000"/>
          <w:spacing w:val="-6"/>
          <w:sz w:val="24"/>
          <w:szCs w:val="24"/>
        </w:rPr>
        <w:t xml:space="preserve"> </w:t>
      </w:r>
      <w:r>
        <w:rPr>
          <w:color w:val="000000"/>
          <w:spacing w:val="-6"/>
          <w:sz w:val="28"/>
          <w:szCs w:val="28"/>
        </w:rPr>
        <w:t xml:space="preserve">СИСТЕМИ </w:t>
      </w:r>
    </w:p>
    <w:p>
      <w:pPr>
        <w:pStyle w:val="Normal"/>
        <w:widowControl w:val="false"/>
        <w:tabs>
          <w:tab w:val="clear" w:pos="708"/>
          <w:tab w:val="left" w:pos="4395" w:leader="none"/>
          <w:tab w:val="left" w:pos="4962" w:leader="none"/>
          <w:tab w:val="left" w:pos="5325" w:leader="none"/>
        </w:tabs>
        <w:rPr/>
      </w:pPr>
      <w:r>
        <w:rPr>
          <w:color w:val="000000"/>
          <w:spacing w:val="-6"/>
          <w:sz w:val="28"/>
          <w:szCs w:val="28"/>
        </w:rPr>
        <w:t>«</w:t>
      </w:r>
      <w:r>
        <w:rPr>
          <w:rFonts w:eastAsia="Times New Roman" w:cs="Times New Roman"/>
          <w:color w:val="000000"/>
          <w:spacing w:val="-2"/>
          <w:kern w:val="0"/>
          <w:sz w:val="28"/>
          <w:szCs w:val="28"/>
          <w:lang w:val="uk-UA" w:eastAsia="zh-CN" w:bidi="ar-SA"/>
        </w:rPr>
        <w:t>ВОЛИНЬГАЗ</w:t>
      </w:r>
      <w:r>
        <w:rPr>
          <w:color w:val="000000"/>
          <w:spacing w:val="-2"/>
          <w:sz w:val="28"/>
          <w:szCs w:val="28"/>
        </w:rPr>
        <w:t xml:space="preserve">» </w:t>
      </w:r>
      <w:r>
        <w:rPr>
          <w:spacing w:val="-6"/>
          <w:sz w:val="28"/>
          <w:szCs w:val="28"/>
        </w:rPr>
        <w:t>дозволу</w:t>
      </w:r>
      <w:r>
        <w:rPr>
          <w:spacing w:val="-6"/>
          <w:sz w:val="22"/>
          <w:szCs w:val="22"/>
        </w:rPr>
        <w:t xml:space="preserve">  </w:t>
      </w:r>
      <w:r>
        <w:rPr>
          <w:spacing w:val="-6"/>
          <w:sz w:val="28"/>
          <w:szCs w:val="28"/>
        </w:rPr>
        <w:t>на</w:t>
      </w:r>
      <w:r>
        <w:rPr>
          <w:spacing w:val="-6"/>
          <w:sz w:val="22"/>
          <w:szCs w:val="22"/>
        </w:rPr>
        <w:t xml:space="preserve">  </w:t>
      </w:r>
      <w:r>
        <w:rPr>
          <w:spacing w:val="-6"/>
          <w:sz w:val="28"/>
          <w:szCs w:val="28"/>
        </w:rPr>
        <w:t>розроблення</w:t>
      </w:r>
      <w:r>
        <w:rPr>
          <w:spacing w:val="-6"/>
          <w:sz w:val="20"/>
          <w:szCs w:val="20"/>
        </w:rPr>
        <w:t xml:space="preserve">  </w:t>
      </w:r>
      <w:r>
        <w:rPr>
          <w:spacing w:val="-6"/>
          <w:sz w:val="28"/>
          <w:szCs w:val="28"/>
        </w:rPr>
        <w:t>техніч-</w:t>
      </w:r>
    </w:p>
    <w:p>
      <w:pPr>
        <w:pStyle w:val="Normal"/>
        <w:widowControl w:val="false"/>
        <w:tabs>
          <w:tab w:val="clear" w:pos="708"/>
          <w:tab w:val="left" w:pos="4395" w:leader="none"/>
          <w:tab w:val="left" w:pos="4962" w:leader="none"/>
          <w:tab w:val="left" w:pos="5325" w:leader="none"/>
          <w:tab w:val="left" w:pos="5670" w:leader="none"/>
        </w:tabs>
        <w:rPr/>
      </w:pPr>
      <w:r>
        <w:rPr>
          <w:spacing w:val="-6"/>
          <w:sz w:val="28"/>
          <w:szCs w:val="28"/>
        </w:rPr>
        <w:t>ної</w:t>
      </w:r>
      <w:r>
        <w:rPr>
          <w:spacing w:val="-6"/>
          <w:sz w:val="26"/>
          <w:szCs w:val="26"/>
        </w:rPr>
        <w:t xml:space="preserve">   </w:t>
      </w:r>
      <w:r>
        <w:rPr>
          <w:spacing w:val="-6"/>
          <w:sz w:val="28"/>
          <w:szCs w:val="28"/>
        </w:rPr>
        <w:t>документації</w:t>
      </w:r>
      <w:r>
        <w:rPr>
          <w:spacing w:val="-6"/>
          <w:sz w:val="36"/>
          <w:szCs w:val="36"/>
        </w:rPr>
        <w:t xml:space="preserve">  </w:t>
      </w:r>
      <w:r>
        <w:rPr>
          <w:spacing w:val="-6"/>
          <w:sz w:val="28"/>
          <w:szCs w:val="28"/>
        </w:rPr>
        <w:t>із</w:t>
      </w:r>
      <w:r>
        <w:rPr>
          <w:spacing w:val="-6"/>
          <w:sz w:val="40"/>
          <w:szCs w:val="40"/>
        </w:rPr>
        <w:t xml:space="preserve"> </w:t>
      </w:r>
      <w:r>
        <w:rPr>
          <w:spacing w:val="-6"/>
          <w:sz w:val="28"/>
          <w:szCs w:val="28"/>
        </w:rPr>
        <w:t xml:space="preserve">землеустрою   щодо </w:t>
      </w:r>
      <w:r>
        <w:rPr>
          <w:spacing w:val="-6"/>
          <w:sz w:val="16"/>
          <w:szCs w:val="16"/>
        </w:rPr>
        <w:t xml:space="preserve"> </w:t>
      </w:r>
      <w:r>
        <w:rPr>
          <w:spacing w:val="-6"/>
          <w:sz w:val="24"/>
          <w:szCs w:val="24"/>
        </w:rPr>
        <w:t xml:space="preserve"> </w:t>
      </w:r>
      <w:r>
        <w:rPr>
          <w:spacing w:val="-6"/>
          <w:sz w:val="28"/>
          <w:szCs w:val="28"/>
        </w:rPr>
        <w:t xml:space="preserve">поділу </w:t>
      </w:r>
    </w:p>
    <w:p>
      <w:pPr>
        <w:pStyle w:val="Normal"/>
        <w:widowControl w:val="false"/>
        <w:tabs>
          <w:tab w:val="clear" w:pos="708"/>
          <w:tab w:val="left" w:pos="4395" w:leader="none"/>
          <w:tab w:val="left" w:pos="4962" w:leader="none"/>
          <w:tab w:val="left" w:pos="5325" w:leader="none"/>
          <w:tab w:val="left" w:pos="5670" w:leader="none"/>
        </w:tabs>
        <w:rPr/>
      </w:pPr>
      <w:r>
        <w:rPr>
          <w:sz w:val="28"/>
          <w:szCs w:val="28"/>
        </w:rPr>
        <w:t>та</w:t>
      </w:r>
      <w:r>
        <w:rPr>
          <w:sz w:val="24"/>
          <w:szCs w:val="24"/>
        </w:rPr>
        <w:t xml:space="preserve">   </w:t>
      </w:r>
      <w:r>
        <w:rPr>
          <w:sz w:val="28"/>
          <w:szCs w:val="28"/>
        </w:rPr>
        <w:t>об’єднання</w:t>
      </w:r>
      <w:r>
        <w:rPr>
          <w:spacing w:val="-6"/>
          <w:sz w:val="28"/>
          <w:szCs w:val="28"/>
        </w:rPr>
        <w:t xml:space="preserve">  земельних  ділянок</w:t>
      </w:r>
      <w:r>
        <w:rPr>
          <w:spacing w:val="-6"/>
          <w:sz w:val="24"/>
          <w:szCs w:val="24"/>
        </w:rPr>
        <w:t xml:space="preserve"> </w:t>
      </w:r>
      <w:r>
        <w:rPr>
          <w:spacing w:val="-6"/>
          <w:sz w:val="28"/>
          <w:szCs w:val="28"/>
        </w:rPr>
        <w:t xml:space="preserve"> </w:t>
      </w:r>
      <w:r>
        <w:rPr>
          <w:spacing w:val="-6"/>
          <w:sz w:val="20"/>
          <w:szCs w:val="20"/>
        </w:rPr>
        <w:t xml:space="preserve"> </w:t>
      </w:r>
      <w:r>
        <w:rPr>
          <w:spacing w:val="-6"/>
          <w:sz w:val="28"/>
          <w:szCs w:val="28"/>
        </w:rPr>
        <w:t xml:space="preserve">комунальної </w:t>
      </w:r>
    </w:p>
    <w:p>
      <w:pPr>
        <w:pStyle w:val="Normal"/>
        <w:widowControl w:val="false"/>
        <w:tabs>
          <w:tab w:val="clear" w:pos="708"/>
          <w:tab w:val="left" w:pos="4395" w:leader="none"/>
          <w:tab w:val="left" w:pos="4962" w:leader="none"/>
          <w:tab w:val="left" w:pos="5325" w:leader="none"/>
          <w:tab w:val="left" w:pos="5610" w:leader="none"/>
        </w:tabs>
        <w:rPr/>
      </w:pPr>
      <w:r>
        <w:rPr>
          <w:sz w:val="28"/>
          <w:szCs w:val="28"/>
        </w:rPr>
        <w:t xml:space="preserve">власності на </w:t>
      </w:r>
      <w:r>
        <w:rPr>
          <w:spacing w:val="-4"/>
          <w:sz w:val="28"/>
          <w:szCs w:val="28"/>
        </w:rPr>
        <w:t xml:space="preserve">вул. Львівській, 152-б у м. Луцьку  </w:t>
      </w:r>
      <w:r>
        <w:rPr>
          <w:spacing w:val="-4"/>
          <w:szCs w:val="28"/>
        </w:rPr>
        <w:t xml:space="preserve">                                          </w:t>
      </w:r>
      <w:r>
        <w:rPr>
          <w:spacing w:val="-4"/>
          <w:sz w:val="26"/>
          <w:szCs w:val="26"/>
        </w:rPr>
        <w:t xml:space="preserve">  </w:t>
      </w:r>
      <w:r>
        <w:rPr>
          <w:spacing w:val="-4"/>
          <w:sz w:val="24"/>
          <w:szCs w:val="26"/>
        </w:rPr>
        <w:t xml:space="preserve"> </w:t>
      </w:r>
    </w:p>
    <w:p>
      <w:pPr>
        <w:pStyle w:val="Normal"/>
        <w:tabs>
          <w:tab w:val="clear" w:pos="708"/>
          <w:tab w:val="left" w:pos="2450" w:leader="none"/>
        </w:tabs>
        <w:overflowPunct w:val="false"/>
        <w:ind w:right="-868" w:hanging="0"/>
        <w:jc w:val="both"/>
        <w:rPr>
          <w:b/>
          <w:b/>
          <w:sz w:val="36"/>
          <w:szCs w:val="36"/>
        </w:rPr>
      </w:pPr>
      <w:r>
        <w:rPr>
          <w:b/>
          <w:sz w:val="36"/>
          <w:szCs w:val="36"/>
        </w:rPr>
        <w:tab/>
      </w:r>
    </w:p>
    <w:p>
      <w:pPr>
        <w:pStyle w:val="Normal"/>
        <w:widowControl/>
        <w:tabs>
          <w:tab w:val="clear" w:pos="708"/>
          <w:tab w:val="left" w:pos="390" w:leader="none"/>
          <w:tab w:val="left" w:pos="630" w:leader="none"/>
          <w:tab w:val="left" w:pos="993" w:leader="none"/>
          <w:tab w:val="left" w:pos="5670" w:leader="none"/>
        </w:tabs>
        <w:suppressAutoHyphens w:val="true"/>
        <w:bidi w:val="0"/>
        <w:ind w:left="0" w:right="0" w:firstLine="567"/>
        <w:jc w:val="both"/>
        <w:rPr/>
      </w:pPr>
      <w:r>
        <w:rPr>
          <w:sz w:val="28"/>
          <w:szCs w:val="28"/>
        </w:rPr>
        <w:t xml:space="preserve">Розглянувши заяву </w:t>
      </w:r>
      <w:r>
        <w:rPr>
          <w:color w:val="000000"/>
          <w:spacing w:val="-6"/>
          <w:sz w:val="28"/>
          <w:szCs w:val="28"/>
        </w:rPr>
        <w:t xml:space="preserve">АКЦІОНЕРНОГО ТОВАРИСТВА «ОПЕРАТОР ГАЗОРОЗПОДІЛЬНОЇ СИСТЕМИ </w:t>
      </w:r>
      <w:r>
        <w:rPr>
          <w:color w:val="000000"/>
          <w:spacing w:val="-2"/>
          <w:sz w:val="28"/>
          <w:szCs w:val="28"/>
        </w:rPr>
        <w:t>«</w:t>
      </w:r>
      <w:r>
        <w:rPr>
          <w:rFonts w:eastAsia="Times New Roman" w:cs="Times New Roman"/>
          <w:color w:val="000000"/>
          <w:spacing w:val="-2"/>
          <w:kern w:val="0"/>
          <w:sz w:val="28"/>
          <w:szCs w:val="28"/>
          <w:lang w:val="uk-UA" w:eastAsia="zh-CN" w:bidi="ar-SA"/>
        </w:rPr>
        <w:t>ВОЛИНЬГАЗ</w:t>
      </w:r>
      <w:r>
        <w:rPr>
          <w:color w:val="000000"/>
          <w:spacing w:val="-2"/>
          <w:sz w:val="28"/>
          <w:szCs w:val="28"/>
        </w:rPr>
        <w:t xml:space="preserve">» </w:t>
      </w:r>
      <w:r>
        <w:rPr>
          <w:color w:val="000000"/>
          <w:sz w:val="28"/>
          <w:szCs w:val="28"/>
        </w:rPr>
        <w:t xml:space="preserve">щодо поділу земельної ділянки </w:t>
      </w:r>
      <w:r>
        <w:rPr>
          <w:color w:val="000000"/>
          <w:spacing w:val="-2"/>
          <w:sz w:val="28"/>
          <w:szCs w:val="28"/>
        </w:rPr>
        <w:t xml:space="preserve">комунальної власності на вул. </w:t>
      </w:r>
      <w:r>
        <w:rPr>
          <w:color w:val="000000"/>
          <w:spacing w:val="-4"/>
          <w:sz w:val="28"/>
          <w:szCs w:val="28"/>
        </w:rPr>
        <w:t xml:space="preserve">Львівській, 152-б у м. Луцьку,                                                       право постійного користування на яку зареєстровано в Державному реєстрі речових прав на нерухоме майно від 05.11.2021, номер запису про інше                                                                                        речове право: 44923139, статут </w:t>
      </w:r>
      <w:r>
        <w:rPr>
          <w:color w:val="000000"/>
          <w:spacing w:val="-6"/>
          <w:sz w:val="28"/>
          <w:szCs w:val="28"/>
        </w:rPr>
        <w:t>АКЦІОНЕРНОГО ТОВАРИСТВА                     «ОПЕРАТОР ГАЗОРОЗПОДІЛЬНОЇ</w:t>
      </w:r>
      <w:r>
        <w:rPr>
          <w:color w:val="000000"/>
          <w:spacing w:val="-6"/>
          <w:sz w:val="20"/>
          <w:szCs w:val="20"/>
        </w:rPr>
        <w:t xml:space="preserve"> </w:t>
      </w:r>
      <w:r>
        <w:rPr>
          <w:color w:val="000000"/>
          <w:spacing w:val="-6"/>
          <w:sz w:val="28"/>
          <w:szCs w:val="28"/>
        </w:rPr>
        <w:t>СИСТЕМИ</w:t>
      </w:r>
      <w:r>
        <w:rPr>
          <w:color w:val="000000"/>
          <w:spacing w:val="-6"/>
          <w:sz w:val="20"/>
          <w:szCs w:val="20"/>
        </w:rPr>
        <w:t xml:space="preserve"> </w:t>
      </w:r>
      <w:r>
        <w:rPr>
          <w:color w:val="000000"/>
          <w:spacing w:val="-2"/>
          <w:sz w:val="28"/>
          <w:szCs w:val="28"/>
        </w:rPr>
        <w:t>«</w:t>
      </w:r>
      <w:r>
        <w:rPr>
          <w:rFonts w:eastAsia="Times New Roman" w:cs="Times New Roman"/>
          <w:color w:val="000000"/>
          <w:spacing w:val="-2"/>
          <w:kern w:val="0"/>
          <w:sz w:val="28"/>
          <w:szCs w:val="28"/>
          <w:lang w:val="uk-UA" w:eastAsia="zh-CN" w:bidi="ar-SA"/>
        </w:rPr>
        <w:t>ВОЛИНЬГАЗ</w:t>
      </w:r>
      <w:r>
        <w:rPr>
          <w:color w:val="000000"/>
          <w:spacing w:val="-2"/>
          <w:sz w:val="28"/>
          <w:szCs w:val="28"/>
        </w:rPr>
        <w:t>»,</w:t>
      </w:r>
      <w:r>
        <w:rPr>
          <w:color w:val="000000"/>
          <w:spacing w:val="-2"/>
          <w:sz w:val="20"/>
          <w:szCs w:val="20"/>
        </w:rPr>
        <w:t xml:space="preserve"> </w:t>
      </w:r>
      <w:r>
        <w:rPr>
          <w:color w:val="000000"/>
          <w:spacing w:val="-2"/>
          <w:sz w:val="28"/>
          <w:szCs w:val="28"/>
        </w:rPr>
        <w:t xml:space="preserve">витяг           </w:t>
      </w:r>
      <w:r>
        <w:rPr>
          <w:color w:val="000000"/>
          <w:spacing w:val="-2"/>
          <w:sz w:val="20"/>
          <w:szCs w:val="20"/>
        </w:rPr>
        <w:t xml:space="preserve">                                               </w:t>
      </w:r>
      <w:r>
        <w:rPr>
          <w:color w:val="000000"/>
          <w:spacing w:val="-2"/>
          <w:sz w:val="28"/>
          <w:szCs w:val="28"/>
        </w:rPr>
        <w:t xml:space="preserve">з Єдиного державного реєстру юридичних осіб, фізичних осіб-підприємців                                                  та </w:t>
      </w:r>
      <w:r>
        <w:rPr>
          <w:rFonts w:eastAsia="Times New Roman" w:cs="Times New Roman"/>
          <w:color w:val="000000"/>
          <w:spacing w:val="-2"/>
          <w:kern w:val="0"/>
          <w:sz w:val="28"/>
          <w:szCs w:val="28"/>
          <w:lang w:val="uk-UA" w:eastAsia="zh-CN" w:bidi="ar-SA"/>
        </w:rPr>
        <w:t>громадських</w:t>
      </w:r>
      <w:r>
        <w:rPr>
          <w:color w:val="000000"/>
          <w:spacing w:val="-2"/>
          <w:sz w:val="28"/>
          <w:szCs w:val="28"/>
        </w:rPr>
        <w:t xml:space="preserve"> формувань, </w:t>
      </w:r>
      <w:r>
        <w:rPr>
          <w:color w:val="000000"/>
          <w:spacing w:val="-6"/>
          <w:sz w:val="28"/>
          <w:szCs w:val="28"/>
        </w:rPr>
        <w:t>схему</w:t>
      </w:r>
      <w:r>
        <w:rPr>
          <w:color w:val="000000"/>
          <w:spacing w:val="-4"/>
          <w:sz w:val="28"/>
          <w:szCs w:val="28"/>
        </w:rPr>
        <w:t xml:space="preserve"> </w:t>
      </w:r>
      <w:r>
        <w:rPr>
          <w:color w:val="000000"/>
          <w:spacing w:val="4"/>
          <w:sz w:val="28"/>
          <w:szCs w:val="28"/>
        </w:rPr>
        <w:t>поділу</w:t>
      </w:r>
      <w:r>
        <w:rPr>
          <w:color w:val="000000"/>
          <w:spacing w:val="-4"/>
          <w:sz w:val="28"/>
          <w:szCs w:val="28"/>
        </w:rPr>
        <w:t xml:space="preserve"> земельної ділянки на                                                                               вул. Львівській, 152-б у м. Луцьку для обслуговування </w:t>
      </w:r>
      <w:r>
        <w:rPr>
          <w:rFonts w:eastAsia="Times New Roman" w:cs="Times New Roman"/>
          <w:color w:val="000000"/>
          <w:spacing w:val="-4"/>
          <w:kern w:val="0"/>
          <w:sz w:val="28"/>
          <w:szCs w:val="28"/>
          <w:lang w:val="uk-UA" w:eastAsia="zh-CN" w:bidi="ar-SA"/>
        </w:rPr>
        <w:t>адміністративних та господарських будівель</w:t>
      </w:r>
      <w:r>
        <w:rPr>
          <w:color w:val="000000"/>
          <w:spacing w:val="-4"/>
          <w:sz w:val="28"/>
          <w:szCs w:val="28"/>
        </w:rPr>
        <w:t xml:space="preserve"> [11.04 – 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w:t>
      </w:r>
      <w:r>
        <w:rPr>
          <w:color w:val="000000"/>
          <w:spacing w:val="-2"/>
          <w:sz w:val="28"/>
          <w:szCs w:val="28"/>
        </w:rPr>
        <w:t>державний акт на право постійного користування землею</w:t>
      </w:r>
      <w:r>
        <w:rPr>
          <w:color w:val="000000"/>
          <w:spacing w:val="-2"/>
          <w:sz w:val="32"/>
          <w:szCs w:val="32"/>
        </w:rPr>
        <w:t xml:space="preserve"> </w:t>
      </w:r>
      <w:r>
        <w:rPr>
          <w:color w:val="000000"/>
          <w:spacing w:val="-2"/>
          <w:sz w:val="28"/>
          <w:szCs w:val="28"/>
        </w:rPr>
        <w:t>серії</w:t>
      </w:r>
      <w:r>
        <w:rPr>
          <w:color w:val="000000"/>
          <w:spacing w:val="-2"/>
          <w:sz w:val="32"/>
          <w:szCs w:val="32"/>
        </w:rPr>
        <w:t xml:space="preserve"> </w:t>
      </w:r>
      <w:r>
        <w:rPr>
          <w:color w:val="000000"/>
          <w:spacing w:val="-2"/>
          <w:sz w:val="28"/>
          <w:szCs w:val="28"/>
        </w:rPr>
        <w:t>ІІ-ВЛ № 000433,</w:t>
      </w:r>
      <w:r>
        <w:rPr>
          <w:color w:val="000000"/>
          <w:spacing w:val="-2"/>
          <w:sz w:val="32"/>
          <w:szCs w:val="32"/>
        </w:rPr>
        <w:t xml:space="preserve"> </w:t>
      </w:r>
      <w:r>
        <w:rPr>
          <w:color w:val="000000"/>
          <w:spacing w:val="-2"/>
          <w:sz w:val="28"/>
          <w:szCs w:val="28"/>
        </w:rPr>
        <w:t>зареєстрований в</w:t>
      </w:r>
      <w:r>
        <w:rPr>
          <w:color w:val="000000"/>
          <w:spacing w:val="-2"/>
          <w:sz w:val="32"/>
          <w:szCs w:val="32"/>
        </w:rPr>
        <w:t xml:space="preserve"> </w:t>
      </w:r>
      <w:r>
        <w:rPr>
          <w:color w:val="000000"/>
          <w:spacing w:val="-2"/>
          <w:sz w:val="28"/>
          <w:szCs w:val="28"/>
        </w:rPr>
        <w:t>Книзі</w:t>
      </w:r>
      <w:r>
        <w:rPr>
          <w:color w:val="000000"/>
          <w:spacing w:val="-2"/>
          <w:sz w:val="32"/>
          <w:szCs w:val="32"/>
        </w:rPr>
        <w:t xml:space="preserve"> </w:t>
      </w:r>
      <w:r>
        <w:rPr>
          <w:color w:val="000000"/>
          <w:spacing w:val="-2"/>
          <w:sz w:val="28"/>
          <w:szCs w:val="28"/>
        </w:rPr>
        <w:t>записів державних</w:t>
      </w:r>
      <w:r>
        <w:rPr>
          <w:color w:val="000000"/>
          <w:spacing w:val="-2"/>
          <w:sz w:val="64"/>
          <w:szCs w:val="64"/>
        </w:rPr>
        <w:t xml:space="preserve"> </w:t>
      </w:r>
      <w:r>
        <w:rPr>
          <w:color w:val="000000"/>
          <w:spacing w:val="-2"/>
          <w:sz w:val="28"/>
          <w:szCs w:val="28"/>
        </w:rPr>
        <w:t>актів</w:t>
      </w:r>
      <w:r>
        <w:rPr>
          <w:color w:val="000000"/>
          <w:spacing w:val="-2"/>
          <w:sz w:val="64"/>
          <w:szCs w:val="64"/>
        </w:rPr>
        <w:t xml:space="preserve"> </w:t>
      </w:r>
      <w:r>
        <w:rPr>
          <w:color w:val="000000"/>
          <w:spacing w:val="-2"/>
          <w:sz w:val="28"/>
          <w:szCs w:val="28"/>
        </w:rPr>
        <w:t>на</w:t>
      </w:r>
      <w:r>
        <w:rPr>
          <w:color w:val="000000"/>
          <w:spacing w:val="-2"/>
          <w:sz w:val="64"/>
          <w:szCs w:val="64"/>
        </w:rPr>
        <w:t xml:space="preserve"> </w:t>
      </w:r>
      <w:r>
        <w:rPr>
          <w:color w:val="000000"/>
          <w:spacing w:val="-2"/>
          <w:sz w:val="28"/>
          <w:szCs w:val="28"/>
        </w:rPr>
        <w:t>право</w:t>
      </w:r>
      <w:r>
        <w:rPr>
          <w:color w:val="000000"/>
          <w:spacing w:val="-2"/>
          <w:sz w:val="64"/>
          <w:szCs w:val="64"/>
        </w:rPr>
        <w:t xml:space="preserve"> </w:t>
      </w:r>
      <w:r>
        <w:rPr>
          <w:color w:val="000000"/>
          <w:spacing w:val="-2"/>
          <w:sz w:val="28"/>
          <w:szCs w:val="28"/>
        </w:rPr>
        <w:t>постійного</w:t>
      </w:r>
      <w:r>
        <w:rPr>
          <w:color w:val="000000"/>
          <w:spacing w:val="-2"/>
          <w:sz w:val="64"/>
          <w:szCs w:val="64"/>
        </w:rPr>
        <w:t xml:space="preserve"> </w:t>
      </w:r>
      <w:r>
        <w:rPr>
          <w:color w:val="000000"/>
          <w:spacing w:val="-2"/>
          <w:sz w:val="28"/>
          <w:szCs w:val="28"/>
        </w:rPr>
        <w:t>користування</w:t>
      </w:r>
      <w:r>
        <w:rPr>
          <w:color w:val="000000"/>
          <w:spacing w:val="-2"/>
          <w:sz w:val="64"/>
          <w:szCs w:val="64"/>
        </w:rPr>
        <w:t xml:space="preserve"> </w:t>
      </w:r>
      <w:r>
        <w:rPr>
          <w:color w:val="000000"/>
          <w:spacing w:val="-2"/>
          <w:sz w:val="28"/>
          <w:szCs w:val="28"/>
        </w:rPr>
        <w:t>землею</w:t>
      </w:r>
      <w:r>
        <w:rPr>
          <w:color w:val="000000"/>
          <w:spacing w:val="-2"/>
          <w:sz w:val="44"/>
          <w:szCs w:val="44"/>
        </w:rPr>
        <w:t xml:space="preserve"> </w:t>
      </w:r>
      <w:r>
        <w:rPr>
          <w:color w:val="000000"/>
          <w:spacing w:val="-2"/>
          <w:sz w:val="28"/>
          <w:szCs w:val="28"/>
        </w:rPr>
        <w:t>від</w:t>
      </w:r>
      <w:r>
        <w:rPr>
          <w:color w:val="000000"/>
          <w:spacing w:val="-2"/>
          <w:sz w:val="44"/>
          <w:szCs w:val="44"/>
        </w:rPr>
        <w:t xml:space="preserve"> </w:t>
      </w:r>
      <w:r>
        <w:rPr>
          <w:color w:val="000000"/>
          <w:spacing w:val="-2"/>
          <w:sz w:val="28"/>
          <w:szCs w:val="28"/>
        </w:rPr>
        <w:t>21.03.1995</w:t>
      </w:r>
      <w:r>
        <w:rPr>
          <w:color w:val="000000"/>
          <w:spacing w:val="-2"/>
          <w:sz w:val="44"/>
          <w:szCs w:val="44"/>
        </w:rPr>
        <w:t xml:space="preserve"> </w:t>
      </w:r>
      <w:r>
        <w:rPr>
          <w:color w:val="000000"/>
          <w:spacing w:val="-2"/>
          <w:sz w:val="28"/>
          <w:szCs w:val="28"/>
        </w:rPr>
        <w:t xml:space="preserve">за № 53, </w:t>
      </w:r>
      <w:r>
        <w:rPr>
          <w:color w:val="000000"/>
          <w:spacing w:val="-4"/>
          <w:sz w:val="28"/>
          <w:szCs w:val="28"/>
        </w:rPr>
        <w:t>витяг з Державного реєстру речових прав на нерухоме майно про реєстрацію іншого речового права, витяг з Державного земельного кадастру про земельну ділянку, свідоцтва про право власності, витяги про реєстрацію права власності на нерухоме майно, технічні паспорти на об’єкти нерухомого майна</w:t>
      </w:r>
      <w:r>
        <w:rPr>
          <w:color w:val="000000"/>
          <w:spacing w:val="-4"/>
          <w:sz w:val="28"/>
          <w:szCs w:val="28"/>
          <w:lang w:val="uk-UA"/>
        </w:rPr>
        <w:t xml:space="preserve"> та </w:t>
      </w:r>
      <w:r>
        <w:rPr>
          <w:color w:val="000000"/>
          <w:spacing w:val="-4"/>
          <w:sz w:val="28"/>
          <w:szCs w:val="28"/>
        </w:rPr>
        <w:t xml:space="preserve">інформацію Головного управління Державної податкової служби у Волинській області щодо сплати земельного податку, </w:t>
      </w:r>
      <w:r>
        <w:rPr>
          <w:sz w:val="28"/>
          <w:szCs w:val="28"/>
        </w:rPr>
        <w:t xml:space="preserve">керуючись статтями 12, 79-1, 92, 95, 96, 122, 123, 125, 126, 186 Земельного кодексу України, статтею 56 Закону України «Про землеустрій», статтею 27 Закону України «Про Державний земельний кадастр», Законом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color w:val="000000"/>
          <w:sz w:val="28"/>
          <w:szCs w:val="28"/>
        </w:rPr>
        <w:t xml:space="preserve">та </w:t>
      </w:r>
      <w:r>
        <w:rPr>
          <w:rFonts w:cs="Times New Roman"/>
          <w:color w:val="000000"/>
          <w:sz w:val="28"/>
          <w:szCs w:val="28"/>
        </w:rPr>
        <w:t>дорученням постійної комісії міськ</w:t>
      </w:r>
      <w:r>
        <w:rPr>
          <w:rFonts w:eastAsia="Times New Roman" w:cs="Times New Roman"/>
          <w:bCs/>
          <w:color w:val="auto"/>
          <w:sz w:val="28"/>
          <w:szCs w:val="28"/>
          <w:lang w:val="uk-UA" w:eastAsia="zh-CN" w:bidi="ar-SA"/>
        </w:rPr>
        <w:t>ої</w:t>
      </w:r>
      <w:r>
        <w:rPr>
          <w:rFonts w:cs="Times New Roman"/>
          <w:color w:val="000000"/>
          <w:sz w:val="28"/>
          <w:szCs w:val="28"/>
        </w:rPr>
        <w:t xml:space="preserve"> ради з питань земельних відносин та земельного кадастру (протокол від 21.07.2021 № 14) щодо підготовки та подання </w:t>
      </w:r>
      <w:r>
        <w:rPr>
          <w:rFonts w:eastAsia="SimSun;宋体" w:cs="Times New Roman"/>
          <w:color w:val="auto"/>
          <w:kern w:val="2"/>
          <w:sz w:val="28"/>
          <w:szCs w:val="28"/>
          <w:lang w:val="uk-UA" w:eastAsia="zh-CN" w:bidi="hi-IN"/>
        </w:rPr>
        <w:t>департаментом містобудування, земельних ресурсів та реклами</w:t>
      </w:r>
      <w:r>
        <w:rPr>
          <w:rFonts w:cs="Times New Roman"/>
          <w:color w:val="000000"/>
          <w:sz w:val="28"/>
          <w:szCs w:val="28"/>
        </w:rPr>
        <w:t xml:space="preserve"> проє</w:t>
      </w:r>
      <w:r>
        <w:rPr>
          <w:rFonts w:eastAsia="Times New Roman" w:cs="Times New Roman"/>
          <w:bCs/>
          <w:color w:val="auto"/>
          <w:sz w:val="28"/>
          <w:szCs w:val="28"/>
          <w:lang w:val="uk-UA" w:eastAsia="zh-CN" w:bidi="ar-SA"/>
        </w:rPr>
        <w:t>кт</w:t>
      </w:r>
      <w:r>
        <w:rPr>
          <w:rFonts w:cs="Times New Roman"/>
          <w:color w:val="000000"/>
          <w:sz w:val="28"/>
          <w:szCs w:val="28"/>
        </w:rPr>
        <w:t>ів рішень міської ради, які ініційовані постійною комісією</w:t>
      </w:r>
      <w:r>
        <w:rPr>
          <w:sz w:val="28"/>
          <w:szCs w:val="28"/>
        </w:rPr>
        <w:t>, міська рада</w:t>
      </w:r>
    </w:p>
    <w:p>
      <w:pPr>
        <w:pStyle w:val="Normal"/>
        <w:tabs>
          <w:tab w:val="clear" w:pos="708"/>
          <w:tab w:val="left" w:pos="2240" w:leader="none"/>
        </w:tabs>
        <w:jc w:val="both"/>
        <w:rPr>
          <w:sz w:val="36"/>
          <w:szCs w:val="36"/>
        </w:rPr>
      </w:pPr>
      <w:r>
        <w:rPr>
          <w:sz w:val="28"/>
          <w:szCs w:val="28"/>
        </w:rPr>
        <w:tab/>
      </w:r>
    </w:p>
    <w:p>
      <w:pPr>
        <w:pStyle w:val="Normal"/>
        <w:jc w:val="both"/>
        <w:rPr>
          <w:szCs w:val="28"/>
        </w:rPr>
      </w:pPr>
      <w:r>
        <w:rPr>
          <w:sz w:val="28"/>
          <w:szCs w:val="28"/>
        </w:rPr>
        <w:t>ВИРІШИЛА:</w:t>
      </w:r>
    </w:p>
    <w:p>
      <w:pPr>
        <w:pStyle w:val="Normal"/>
        <w:jc w:val="both"/>
        <w:rPr>
          <w:rFonts w:ascii="Times New Roman" w:hAnsi="Times New Roman"/>
          <w:sz w:val="28"/>
          <w:szCs w:val="28"/>
        </w:rPr>
      </w:pPr>
      <w:r>
        <w:rPr>
          <w:sz w:val="28"/>
          <w:szCs w:val="28"/>
        </w:rPr>
      </w:r>
    </w:p>
    <w:p>
      <w:pPr>
        <w:pStyle w:val="Normal"/>
        <w:numPr>
          <w:ilvl w:val="0"/>
          <w:numId w:val="1"/>
        </w:numPr>
        <w:tabs>
          <w:tab w:val="clear" w:pos="708"/>
          <w:tab w:val="left" w:pos="450" w:leader="none"/>
          <w:tab w:val="left" w:pos="720" w:leader="none"/>
        </w:tabs>
        <w:ind w:left="57" w:firstLine="510"/>
        <w:jc w:val="both"/>
        <w:rPr/>
      </w:pPr>
      <w:r>
        <w:rPr>
          <w:sz w:val="28"/>
          <w:szCs w:val="28"/>
        </w:rPr>
        <w:t xml:space="preserve">1. Надати </w:t>
      </w:r>
      <w:bookmarkStart w:id="0" w:name="__DdeLink__265_2852088214"/>
      <w:r>
        <w:rPr>
          <w:color w:val="000000"/>
          <w:spacing w:val="-6"/>
          <w:sz w:val="28"/>
          <w:szCs w:val="28"/>
        </w:rPr>
        <w:t xml:space="preserve">АКЦІОНЕРНОМУ ТОВАРИСТВУ «ОПЕРАТОР ГАЗОРОЗПОДІЛЬНОЇ СИСТЕМИ </w:t>
      </w:r>
      <w:r>
        <w:rPr>
          <w:color w:val="000000"/>
          <w:spacing w:val="-2"/>
          <w:sz w:val="28"/>
          <w:szCs w:val="28"/>
        </w:rPr>
        <w:t>«</w:t>
      </w:r>
      <w:r>
        <w:rPr>
          <w:rFonts w:eastAsia="Times New Roman" w:cs="Times New Roman"/>
          <w:color w:val="000000"/>
          <w:spacing w:val="-2"/>
          <w:kern w:val="0"/>
          <w:sz w:val="28"/>
          <w:szCs w:val="28"/>
          <w:lang w:val="uk-UA" w:eastAsia="zh-CN" w:bidi="ar-SA"/>
        </w:rPr>
        <w:t>ВОЛИНЬГАЗ</w:t>
      </w:r>
      <w:r>
        <w:rPr>
          <w:color w:val="000000"/>
          <w:spacing w:val="-2"/>
          <w:sz w:val="28"/>
          <w:szCs w:val="28"/>
        </w:rPr>
        <w:t>»</w:t>
      </w:r>
      <w:bookmarkEnd w:id="0"/>
      <w:r>
        <w:rPr>
          <w:color w:val="000000"/>
          <w:spacing w:val="-2"/>
          <w:sz w:val="28"/>
          <w:szCs w:val="28"/>
        </w:rPr>
        <w:t xml:space="preserve"> </w:t>
      </w:r>
      <w:r>
        <w:rPr>
          <w:sz w:val="28"/>
          <w:szCs w:val="28"/>
        </w:rPr>
        <w:t xml:space="preserve">дозвіл на розроблення технічної документації із землеустрою щодо поділу та об’єднання земельних ділянок комунальної власності на </w:t>
      </w:r>
      <w:r>
        <w:rPr>
          <w:spacing w:val="-6"/>
          <w:sz w:val="28"/>
          <w:szCs w:val="28"/>
        </w:rPr>
        <w:t xml:space="preserve">вул. </w:t>
      </w:r>
      <w:r>
        <w:rPr>
          <w:spacing w:val="-4"/>
          <w:sz w:val="28"/>
          <w:szCs w:val="28"/>
        </w:rPr>
        <w:t>Львівській, 152-б у м.  Луцьку</w:t>
      </w:r>
      <w:r>
        <w:rPr>
          <w:sz w:val="28"/>
          <w:szCs w:val="28"/>
        </w:rPr>
        <w:t xml:space="preserve"> </w:t>
      </w:r>
      <w:r>
        <w:rPr>
          <w:spacing w:val="-4"/>
          <w:sz w:val="28"/>
          <w:szCs w:val="28"/>
        </w:rPr>
        <w:t xml:space="preserve">площею 3,7308 га, кадастровим номером 0710100000:31:133:0025 </w:t>
      </w:r>
      <w:r>
        <w:rPr>
          <w:color w:val="000000"/>
          <w:spacing w:val="-4"/>
          <w:sz w:val="28"/>
          <w:szCs w:val="28"/>
        </w:rPr>
        <w:t xml:space="preserve">для обслуговування </w:t>
      </w:r>
      <w:r>
        <w:rPr>
          <w:rFonts w:eastAsia="Times New Roman" w:cs="Times New Roman"/>
          <w:color w:val="000000"/>
          <w:spacing w:val="-4"/>
          <w:kern w:val="0"/>
          <w:sz w:val="28"/>
          <w:szCs w:val="28"/>
          <w:lang w:val="uk-UA" w:eastAsia="zh-CN" w:bidi="ar-SA"/>
        </w:rPr>
        <w:t>адміністративних та господарських будівель</w:t>
      </w:r>
      <w:r>
        <w:rPr>
          <w:color w:val="000000"/>
          <w:spacing w:val="-4"/>
          <w:sz w:val="28"/>
          <w:szCs w:val="28"/>
        </w:rPr>
        <w:t xml:space="preserve"> [11.04 – 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w:t>
      </w:r>
      <w:r>
        <w:rPr>
          <w:sz w:val="28"/>
          <w:szCs w:val="28"/>
        </w:rPr>
        <w:t>, згідно з додатком</w:t>
      </w:r>
      <w:r>
        <w:rPr>
          <w:spacing w:val="-4"/>
          <w:sz w:val="28"/>
          <w:szCs w:val="28"/>
        </w:rPr>
        <w:t>.</w:t>
      </w:r>
    </w:p>
    <w:p>
      <w:pPr>
        <w:pStyle w:val="Normal"/>
        <w:tabs>
          <w:tab w:val="clear" w:pos="708"/>
          <w:tab w:val="left" w:pos="567" w:leader="none"/>
          <w:tab w:val="left" w:pos="709" w:leader="none"/>
        </w:tabs>
        <w:ind w:firstLine="567"/>
        <w:jc w:val="both"/>
        <w:rPr/>
      </w:pPr>
      <w:r>
        <w:rPr>
          <w:spacing w:val="-4"/>
          <w:sz w:val="28"/>
          <w:szCs w:val="28"/>
        </w:rPr>
        <w:t>2. </w:t>
      </w:r>
      <w:r>
        <w:rPr>
          <w:color w:val="000000"/>
          <w:spacing w:val="-6"/>
          <w:sz w:val="28"/>
          <w:szCs w:val="28"/>
        </w:rPr>
        <w:t>АКЦІОНЕРНОМУ</w:t>
      </w:r>
      <w:r>
        <w:rPr>
          <w:color w:val="000000"/>
          <w:spacing w:val="-6"/>
          <w:sz w:val="16"/>
          <w:szCs w:val="16"/>
        </w:rPr>
        <w:t xml:space="preserve"> </w:t>
      </w:r>
      <w:r>
        <w:rPr>
          <w:color w:val="000000"/>
          <w:spacing w:val="-6"/>
          <w:sz w:val="28"/>
          <w:szCs w:val="28"/>
        </w:rPr>
        <w:t>ТОВАРИСТВУ</w:t>
      </w:r>
      <w:r>
        <w:rPr>
          <w:color w:val="000000"/>
          <w:spacing w:val="-6"/>
          <w:sz w:val="12"/>
          <w:szCs w:val="12"/>
        </w:rPr>
        <w:t xml:space="preserve"> </w:t>
      </w:r>
      <w:r>
        <w:rPr>
          <w:color w:val="000000"/>
          <w:spacing w:val="-6"/>
          <w:sz w:val="28"/>
          <w:szCs w:val="28"/>
        </w:rPr>
        <w:t xml:space="preserve">«ОПЕРАТОР ГАЗОРОЗПОДІЛЬНОЇ СИСТЕМИ </w:t>
      </w:r>
      <w:r>
        <w:rPr>
          <w:color w:val="000000"/>
          <w:spacing w:val="-2"/>
          <w:sz w:val="28"/>
          <w:szCs w:val="28"/>
        </w:rPr>
        <w:t>«</w:t>
      </w:r>
      <w:r>
        <w:rPr>
          <w:rFonts w:eastAsia="Times New Roman" w:cs="Times New Roman"/>
          <w:color w:val="000000"/>
          <w:spacing w:val="-2"/>
          <w:kern w:val="0"/>
          <w:sz w:val="28"/>
          <w:szCs w:val="28"/>
          <w:lang w:val="uk-UA" w:eastAsia="zh-CN" w:bidi="ar-SA"/>
        </w:rPr>
        <w:t>ВОЛИНЬГАЗ</w:t>
      </w:r>
      <w:r>
        <w:rPr>
          <w:color w:val="000000"/>
          <w:spacing w:val="-2"/>
          <w:sz w:val="28"/>
          <w:szCs w:val="28"/>
        </w:rPr>
        <w:t>» в</w:t>
      </w:r>
      <w:r>
        <w:rPr>
          <w:sz w:val="28"/>
          <w:szCs w:val="28"/>
        </w:rPr>
        <w:t>нести відомості до Державного земельного кадастру про земельні ділянки, які утворилися в результаті поділу, згідно порядку, визначеним чинним законодавством України.</w:t>
      </w:r>
    </w:p>
    <w:p>
      <w:pPr>
        <w:pStyle w:val="Normal"/>
        <w:numPr>
          <w:ilvl w:val="0"/>
          <w:numId w:val="1"/>
        </w:numPr>
        <w:tabs>
          <w:tab w:val="clear" w:pos="708"/>
          <w:tab w:val="left" w:pos="720" w:leader="none"/>
        </w:tabs>
        <w:ind w:left="0" w:firstLine="567"/>
        <w:jc w:val="both"/>
        <w:rPr/>
      </w:pPr>
      <w:r>
        <w:rPr>
          <w:sz w:val="28"/>
          <w:szCs w:val="28"/>
        </w:rPr>
        <w:t>3. </w:t>
      </w:r>
      <w:r>
        <w:rPr>
          <w:color w:val="000000"/>
          <w:spacing w:val="-6"/>
          <w:sz w:val="28"/>
          <w:szCs w:val="28"/>
        </w:rPr>
        <w:t>АКЦІОНЕРНОМУ ТОВАРИСТВУ «ОПЕРАТОР ГАЗОРОЗПОДІЛЬНОЇ СИСТЕМИ</w:t>
      </w:r>
      <w:r>
        <w:rPr>
          <w:color w:val="000000"/>
          <w:spacing w:val="-6"/>
          <w:sz w:val="20"/>
          <w:szCs w:val="20"/>
        </w:rPr>
        <w:t xml:space="preserve"> </w:t>
      </w:r>
      <w:r>
        <w:rPr>
          <w:color w:val="000000"/>
          <w:spacing w:val="-2"/>
          <w:sz w:val="28"/>
          <w:szCs w:val="28"/>
        </w:rPr>
        <w:t>«</w:t>
      </w:r>
      <w:r>
        <w:rPr>
          <w:rFonts w:eastAsia="Times New Roman" w:cs="Times New Roman"/>
          <w:color w:val="000000"/>
          <w:spacing w:val="-2"/>
          <w:kern w:val="0"/>
          <w:sz w:val="28"/>
          <w:szCs w:val="28"/>
          <w:lang w:val="uk-UA" w:eastAsia="zh-CN" w:bidi="ar-SA"/>
        </w:rPr>
        <w:t>ВОЛИНЬГАЗ</w:t>
      </w:r>
      <w:r>
        <w:rPr>
          <w:color w:val="000000"/>
          <w:spacing w:val="-2"/>
          <w:sz w:val="28"/>
          <w:szCs w:val="28"/>
        </w:rPr>
        <w:t>»</w:t>
      </w:r>
      <w:r>
        <w:rPr>
          <w:color w:val="000000"/>
          <w:spacing w:val="-2"/>
          <w:sz w:val="20"/>
          <w:szCs w:val="20"/>
        </w:rPr>
        <w:t xml:space="preserve"> </w:t>
      </w:r>
      <w:r>
        <w:rPr>
          <w:color w:val="000000"/>
          <w:spacing w:val="-2"/>
          <w:sz w:val="28"/>
          <w:szCs w:val="28"/>
        </w:rPr>
        <w:t>р</w:t>
      </w:r>
      <w:r>
        <w:rPr>
          <w:sz w:val="28"/>
          <w:szCs w:val="28"/>
        </w:rPr>
        <w:t>озроблену</w:t>
      </w:r>
      <w:r>
        <w:rPr>
          <w:sz w:val="18"/>
          <w:szCs w:val="18"/>
        </w:rPr>
        <w:t xml:space="preserve"> </w:t>
      </w:r>
      <w:r>
        <w:rPr>
          <w:sz w:val="28"/>
          <w:szCs w:val="28"/>
        </w:rPr>
        <w:t>технічну</w:t>
      </w:r>
      <w:r>
        <w:rPr>
          <w:sz w:val="20"/>
          <w:szCs w:val="20"/>
        </w:rPr>
        <w:t xml:space="preserve"> </w:t>
      </w:r>
      <w:r>
        <w:rPr>
          <w:sz w:val="28"/>
          <w:szCs w:val="28"/>
        </w:rPr>
        <w:t>документацію</w:t>
      </w:r>
      <w:r>
        <w:rPr>
          <w:sz w:val="20"/>
          <w:szCs w:val="20"/>
        </w:rPr>
        <w:t xml:space="preserve"> </w:t>
      </w:r>
      <w:r>
        <w:rPr>
          <w:sz w:val="28"/>
          <w:szCs w:val="28"/>
        </w:rPr>
        <w:t xml:space="preserve">із землеустрою щодо поділу та об’єднання земельних ділянок комунальної власності на </w:t>
      </w:r>
      <w:r>
        <w:rPr>
          <w:spacing w:val="-6"/>
          <w:sz w:val="28"/>
          <w:szCs w:val="28"/>
        </w:rPr>
        <w:t xml:space="preserve">вул. </w:t>
      </w:r>
      <w:r>
        <w:rPr>
          <w:spacing w:val="-4"/>
          <w:sz w:val="28"/>
          <w:szCs w:val="28"/>
        </w:rPr>
        <w:t xml:space="preserve">Львівській, 152-б у м.  Луцьку </w:t>
      </w:r>
      <w:r>
        <w:rPr>
          <w:color w:val="000000"/>
          <w:spacing w:val="-2"/>
          <w:sz w:val="28"/>
          <w:szCs w:val="28"/>
        </w:rPr>
        <w:t xml:space="preserve">подати </w:t>
      </w:r>
      <w:r>
        <w:rPr>
          <w:spacing w:val="-4"/>
          <w:sz w:val="28"/>
          <w:szCs w:val="28"/>
        </w:rPr>
        <w:t xml:space="preserve">на </w:t>
      </w:r>
      <w:r>
        <w:rPr>
          <w:sz w:val="28"/>
          <w:szCs w:val="28"/>
        </w:rPr>
        <w:t>затвердження до міської ради.</w:t>
      </w:r>
    </w:p>
    <w:p>
      <w:pPr>
        <w:pStyle w:val="Normal"/>
        <w:ind w:firstLine="567"/>
        <w:jc w:val="both"/>
        <w:rPr>
          <w:szCs w:val="28"/>
        </w:rPr>
      </w:pPr>
      <w:r>
        <w:rPr>
          <w:sz w:val="28"/>
          <w:szCs w:val="28"/>
        </w:rPr>
        <w:t xml:space="preserve">4. Контроль за виконанням даного рішення покласти на постійну комісію міської  ради  з  питань земельних відносин та земельного  кадастру </w:t>
      </w:r>
      <w:r>
        <w:rPr>
          <w:spacing w:val="-4"/>
          <w:sz w:val="28"/>
          <w:szCs w:val="28"/>
        </w:rPr>
        <w:t>(</w:t>
      </w:r>
      <w:r>
        <w:rPr>
          <w:sz w:val="28"/>
          <w:szCs w:val="28"/>
        </w:rPr>
        <w:t>Козлюк О.Є.</w:t>
      </w:r>
      <w:r>
        <w:rPr>
          <w:spacing w:val="-4"/>
          <w:sz w:val="28"/>
          <w:szCs w:val="28"/>
        </w:rPr>
        <w:t>).</w:t>
      </w:r>
      <w:r>
        <w:rPr>
          <w:sz w:val="28"/>
          <w:szCs w:val="28"/>
        </w:rPr>
        <w:t xml:space="preserve"> </w:t>
      </w:r>
    </w:p>
    <w:p>
      <w:pPr>
        <w:pStyle w:val="Normal"/>
        <w:tabs>
          <w:tab w:val="clear" w:pos="708"/>
          <w:tab w:val="left" w:pos="3220" w:leader="none"/>
        </w:tabs>
        <w:jc w:val="both"/>
        <w:rPr>
          <w:szCs w:val="28"/>
        </w:rPr>
      </w:pPr>
      <w:r>
        <w:rPr>
          <w:szCs w:val="28"/>
        </w:rPr>
      </w:r>
    </w:p>
    <w:p>
      <w:pPr>
        <w:pStyle w:val="Normal"/>
        <w:tabs>
          <w:tab w:val="clear" w:pos="708"/>
          <w:tab w:val="left" w:pos="3220" w:leader="none"/>
        </w:tabs>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Козлюк</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Cambria">
    <w:charset w:val="01"/>
    <w:family w:val="roman"/>
    <w:pitch w:val="default"/>
  </w:font>
  <w:font w:name="Liberation Sans">
    <w:altName w:val="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97fa8"/>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997fa8"/>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997fa8"/>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997fa8"/>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997fa8"/>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997fa8"/>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sid w:val="000833bd"/>
    <w:rPr>
      <w:rFonts w:ascii="Cambria" w:hAnsi="Cambria" w:cs="Times New Roman"/>
      <w:b/>
      <w:bCs/>
      <w:sz w:val="26"/>
      <w:szCs w:val="26"/>
      <w:lang w:val="uk-UA" w:eastAsia="zh-CN"/>
    </w:rPr>
  </w:style>
  <w:style w:type="character" w:styleId="WW8Num1z0" w:customStyle="1">
    <w:name w:val="WW8Num1z0"/>
    <w:uiPriority w:val="99"/>
    <w:qFormat/>
    <w:rsid w:val="00997fa8"/>
    <w:rPr/>
  </w:style>
  <w:style w:type="character" w:styleId="WW8Num1z1" w:customStyle="1">
    <w:name w:val="WW8Num1z1"/>
    <w:uiPriority w:val="99"/>
    <w:qFormat/>
    <w:rsid w:val="00997fa8"/>
    <w:rPr/>
  </w:style>
  <w:style w:type="character" w:styleId="WW8Num1z2" w:customStyle="1">
    <w:name w:val="WW8Num1z2"/>
    <w:uiPriority w:val="99"/>
    <w:qFormat/>
    <w:rsid w:val="00997fa8"/>
    <w:rPr/>
  </w:style>
  <w:style w:type="character" w:styleId="WW8Num1z3" w:customStyle="1">
    <w:name w:val="WW8Num1z3"/>
    <w:uiPriority w:val="99"/>
    <w:qFormat/>
    <w:rsid w:val="00997fa8"/>
    <w:rPr/>
  </w:style>
  <w:style w:type="character" w:styleId="WW8Num1z4" w:customStyle="1">
    <w:name w:val="WW8Num1z4"/>
    <w:uiPriority w:val="99"/>
    <w:qFormat/>
    <w:rsid w:val="00997fa8"/>
    <w:rPr/>
  </w:style>
  <w:style w:type="character" w:styleId="WW8Num1z5" w:customStyle="1">
    <w:name w:val="WW8Num1z5"/>
    <w:uiPriority w:val="99"/>
    <w:qFormat/>
    <w:rsid w:val="00997fa8"/>
    <w:rPr/>
  </w:style>
  <w:style w:type="character" w:styleId="WW8Num1z6" w:customStyle="1">
    <w:name w:val="WW8Num1z6"/>
    <w:uiPriority w:val="99"/>
    <w:qFormat/>
    <w:rsid w:val="00997fa8"/>
    <w:rPr/>
  </w:style>
  <w:style w:type="character" w:styleId="WW8Num1z7" w:customStyle="1">
    <w:name w:val="WW8Num1z7"/>
    <w:uiPriority w:val="99"/>
    <w:qFormat/>
    <w:rsid w:val="00997fa8"/>
    <w:rPr/>
  </w:style>
  <w:style w:type="character" w:styleId="WW8Num1z8" w:customStyle="1">
    <w:name w:val="WW8Num1z8"/>
    <w:uiPriority w:val="99"/>
    <w:qFormat/>
    <w:rsid w:val="00997fa8"/>
    <w:rPr/>
  </w:style>
  <w:style w:type="character" w:styleId="WW8Num2z0" w:customStyle="1">
    <w:name w:val="WW8Num2z0"/>
    <w:uiPriority w:val="99"/>
    <w:qFormat/>
    <w:rsid w:val="00997fa8"/>
    <w:rPr/>
  </w:style>
  <w:style w:type="character" w:styleId="WW8Num2z1" w:customStyle="1">
    <w:name w:val="WW8Num2z1"/>
    <w:uiPriority w:val="99"/>
    <w:qFormat/>
    <w:rsid w:val="00997fa8"/>
    <w:rPr/>
  </w:style>
  <w:style w:type="character" w:styleId="WW8Num2z2" w:customStyle="1">
    <w:name w:val="WW8Num2z2"/>
    <w:uiPriority w:val="99"/>
    <w:qFormat/>
    <w:rsid w:val="00997fa8"/>
    <w:rPr/>
  </w:style>
  <w:style w:type="character" w:styleId="WW8Num2z3" w:customStyle="1">
    <w:name w:val="WW8Num2z3"/>
    <w:uiPriority w:val="99"/>
    <w:qFormat/>
    <w:rsid w:val="00997fa8"/>
    <w:rPr/>
  </w:style>
  <w:style w:type="character" w:styleId="WW8Num2z4" w:customStyle="1">
    <w:name w:val="WW8Num2z4"/>
    <w:uiPriority w:val="99"/>
    <w:qFormat/>
    <w:rsid w:val="00997fa8"/>
    <w:rPr/>
  </w:style>
  <w:style w:type="character" w:styleId="WW8Num2z5" w:customStyle="1">
    <w:name w:val="WW8Num2z5"/>
    <w:uiPriority w:val="99"/>
    <w:qFormat/>
    <w:rsid w:val="00997fa8"/>
    <w:rPr/>
  </w:style>
  <w:style w:type="character" w:styleId="WW8Num2z6" w:customStyle="1">
    <w:name w:val="WW8Num2z6"/>
    <w:uiPriority w:val="99"/>
    <w:qFormat/>
    <w:rsid w:val="00997fa8"/>
    <w:rPr/>
  </w:style>
  <w:style w:type="character" w:styleId="WW8Num2z7" w:customStyle="1">
    <w:name w:val="WW8Num2z7"/>
    <w:uiPriority w:val="99"/>
    <w:qFormat/>
    <w:rsid w:val="00997fa8"/>
    <w:rPr/>
  </w:style>
  <w:style w:type="character" w:styleId="WW8Num2z8" w:customStyle="1">
    <w:name w:val="WW8Num2z8"/>
    <w:uiPriority w:val="99"/>
    <w:qFormat/>
    <w:rsid w:val="00997fa8"/>
    <w:rPr/>
  </w:style>
  <w:style w:type="character" w:styleId="WW8Num3z0" w:customStyle="1">
    <w:name w:val="WW8Num3z0"/>
    <w:uiPriority w:val="99"/>
    <w:qFormat/>
    <w:rsid w:val="00997fa8"/>
    <w:rPr/>
  </w:style>
  <w:style w:type="character" w:styleId="21" w:customStyle="1">
    <w:name w:val="Основной шрифт абзаца2"/>
    <w:uiPriority w:val="99"/>
    <w:qFormat/>
    <w:rsid w:val="00997fa8"/>
    <w:rPr/>
  </w:style>
  <w:style w:type="character" w:styleId="WW8Num1zfalse" w:customStyle="1">
    <w:name w:val="WW8Num1zfalse"/>
    <w:uiPriority w:val="99"/>
    <w:qFormat/>
    <w:rsid w:val="00997fa8"/>
    <w:rPr/>
  </w:style>
  <w:style w:type="character" w:styleId="WW8Num1ztrue" w:customStyle="1">
    <w:name w:val="WW8Num1ztrue"/>
    <w:uiPriority w:val="99"/>
    <w:qFormat/>
    <w:rsid w:val="00997fa8"/>
    <w:rPr/>
  </w:style>
  <w:style w:type="character" w:styleId="WW8Num1ztrue7" w:customStyle="1">
    <w:name w:val="WW8Num1ztrue7"/>
    <w:uiPriority w:val="99"/>
    <w:qFormat/>
    <w:rsid w:val="00997fa8"/>
    <w:rPr/>
  </w:style>
  <w:style w:type="character" w:styleId="WW8Num1ztrue6" w:customStyle="1">
    <w:name w:val="WW8Num1ztrue6"/>
    <w:uiPriority w:val="99"/>
    <w:qFormat/>
    <w:rsid w:val="00997fa8"/>
    <w:rPr/>
  </w:style>
  <w:style w:type="character" w:styleId="WW8Num1ztrue5" w:customStyle="1">
    <w:name w:val="WW8Num1ztrue5"/>
    <w:uiPriority w:val="99"/>
    <w:qFormat/>
    <w:rsid w:val="00997fa8"/>
    <w:rPr/>
  </w:style>
  <w:style w:type="character" w:styleId="WW8Num1ztrue4" w:customStyle="1">
    <w:name w:val="WW8Num1ztrue4"/>
    <w:uiPriority w:val="99"/>
    <w:qFormat/>
    <w:rsid w:val="00997fa8"/>
    <w:rPr/>
  </w:style>
  <w:style w:type="character" w:styleId="WW8Num1ztrue3" w:customStyle="1">
    <w:name w:val="WW8Num1ztrue3"/>
    <w:uiPriority w:val="99"/>
    <w:qFormat/>
    <w:rsid w:val="00997fa8"/>
    <w:rPr/>
  </w:style>
  <w:style w:type="character" w:styleId="WW8Num1ztrue2" w:customStyle="1">
    <w:name w:val="WW8Num1ztrue2"/>
    <w:uiPriority w:val="99"/>
    <w:qFormat/>
    <w:rsid w:val="00997fa8"/>
    <w:rPr/>
  </w:style>
  <w:style w:type="character" w:styleId="WW8Num1ztrue1" w:customStyle="1">
    <w:name w:val="WW8Num1ztrue1"/>
    <w:uiPriority w:val="99"/>
    <w:qFormat/>
    <w:rsid w:val="00997fa8"/>
    <w:rPr/>
  </w:style>
  <w:style w:type="character" w:styleId="WWWW8Num1ztrue" w:customStyle="1">
    <w:name w:val="WW-WW8Num1ztrue"/>
    <w:uiPriority w:val="99"/>
    <w:qFormat/>
    <w:rsid w:val="00997fa8"/>
    <w:rPr/>
  </w:style>
  <w:style w:type="character" w:styleId="WWWW8Num1ztrue1" w:customStyle="1">
    <w:name w:val="WW-WW8Num1ztrue1"/>
    <w:uiPriority w:val="99"/>
    <w:qFormat/>
    <w:rsid w:val="00997fa8"/>
    <w:rPr/>
  </w:style>
  <w:style w:type="character" w:styleId="WWWW8Num1ztrue2" w:customStyle="1">
    <w:name w:val="WW-WW8Num1ztrue2"/>
    <w:uiPriority w:val="99"/>
    <w:qFormat/>
    <w:rsid w:val="00997fa8"/>
    <w:rPr/>
  </w:style>
  <w:style w:type="character" w:styleId="WWWW8Num1ztrue3" w:customStyle="1">
    <w:name w:val="WW-WW8Num1ztrue3"/>
    <w:uiPriority w:val="99"/>
    <w:qFormat/>
    <w:rsid w:val="00997fa8"/>
    <w:rPr/>
  </w:style>
  <w:style w:type="character" w:styleId="WWWW8Num1ztrue4" w:customStyle="1">
    <w:name w:val="WW-WW8Num1ztrue4"/>
    <w:uiPriority w:val="99"/>
    <w:qFormat/>
    <w:rsid w:val="00997fa8"/>
    <w:rPr/>
  </w:style>
  <w:style w:type="character" w:styleId="WWWW8Num1ztrue5" w:customStyle="1">
    <w:name w:val="WW-WW8Num1ztrue5"/>
    <w:uiPriority w:val="99"/>
    <w:qFormat/>
    <w:rsid w:val="00997fa8"/>
    <w:rPr/>
  </w:style>
  <w:style w:type="character" w:styleId="WWWW8Num1ztrue6" w:customStyle="1">
    <w:name w:val="WW-WW8Num1ztrue6"/>
    <w:uiPriority w:val="99"/>
    <w:qFormat/>
    <w:rsid w:val="00997fa8"/>
    <w:rPr/>
  </w:style>
  <w:style w:type="character" w:styleId="WWWW8Num1ztrue7" w:customStyle="1">
    <w:name w:val="WW-WW8Num1ztrue7"/>
    <w:uiPriority w:val="99"/>
    <w:qFormat/>
    <w:rsid w:val="00997fa8"/>
    <w:rPr/>
  </w:style>
  <w:style w:type="character" w:styleId="WWWW8Num1ztrue11" w:customStyle="1">
    <w:name w:val="WW-WW8Num1ztrue11"/>
    <w:uiPriority w:val="99"/>
    <w:qFormat/>
    <w:rsid w:val="00997fa8"/>
    <w:rPr/>
  </w:style>
  <w:style w:type="character" w:styleId="WWWW8Num1ztrue21" w:customStyle="1">
    <w:name w:val="WW-WW8Num1ztrue21"/>
    <w:uiPriority w:val="99"/>
    <w:qFormat/>
    <w:rsid w:val="00997fa8"/>
    <w:rPr/>
  </w:style>
  <w:style w:type="character" w:styleId="WWWW8Num1ztrue31" w:customStyle="1">
    <w:name w:val="WW-WW8Num1ztrue31"/>
    <w:uiPriority w:val="99"/>
    <w:qFormat/>
    <w:rsid w:val="00997fa8"/>
    <w:rPr/>
  </w:style>
  <w:style w:type="character" w:styleId="WWWW8Num1ztrue41" w:customStyle="1">
    <w:name w:val="WW-WW8Num1ztrue41"/>
    <w:uiPriority w:val="99"/>
    <w:qFormat/>
    <w:rsid w:val="00997fa8"/>
    <w:rPr/>
  </w:style>
  <w:style w:type="character" w:styleId="WWWW8Num1ztrue51" w:customStyle="1">
    <w:name w:val="WW-WW8Num1ztrue51"/>
    <w:uiPriority w:val="99"/>
    <w:qFormat/>
    <w:rsid w:val="00997fa8"/>
    <w:rPr/>
  </w:style>
  <w:style w:type="character" w:styleId="WWWW8Num1ztrue61" w:customStyle="1">
    <w:name w:val="WW-WW8Num1ztrue61"/>
    <w:uiPriority w:val="99"/>
    <w:qFormat/>
    <w:rsid w:val="00997fa8"/>
    <w:rPr/>
  </w:style>
  <w:style w:type="character" w:styleId="WWWW8Num1ztrue71" w:customStyle="1">
    <w:name w:val="WW-WW8Num1ztrue71"/>
    <w:uiPriority w:val="99"/>
    <w:qFormat/>
    <w:rsid w:val="00997fa8"/>
    <w:rPr/>
  </w:style>
  <w:style w:type="character" w:styleId="WWWW8Num1ztrue111" w:customStyle="1">
    <w:name w:val="WW-WW8Num1ztrue111"/>
    <w:uiPriority w:val="99"/>
    <w:qFormat/>
    <w:rsid w:val="00997fa8"/>
    <w:rPr/>
  </w:style>
  <w:style w:type="character" w:styleId="WWWW8Num1ztrue211" w:customStyle="1">
    <w:name w:val="WW-WW8Num1ztrue211"/>
    <w:uiPriority w:val="99"/>
    <w:qFormat/>
    <w:rsid w:val="00997fa8"/>
    <w:rPr/>
  </w:style>
  <w:style w:type="character" w:styleId="WWWW8Num1ztrue311" w:customStyle="1">
    <w:name w:val="WW-WW8Num1ztrue311"/>
    <w:uiPriority w:val="99"/>
    <w:qFormat/>
    <w:rsid w:val="00997fa8"/>
    <w:rPr/>
  </w:style>
  <w:style w:type="character" w:styleId="WWWW8Num1ztrue411" w:customStyle="1">
    <w:name w:val="WW-WW8Num1ztrue411"/>
    <w:uiPriority w:val="99"/>
    <w:qFormat/>
    <w:rsid w:val="00997fa8"/>
    <w:rPr/>
  </w:style>
  <w:style w:type="character" w:styleId="WWWW8Num1ztrue511" w:customStyle="1">
    <w:name w:val="WW-WW8Num1ztrue511"/>
    <w:uiPriority w:val="99"/>
    <w:qFormat/>
    <w:rsid w:val="00997fa8"/>
    <w:rPr/>
  </w:style>
  <w:style w:type="character" w:styleId="WWWW8Num1ztrue611" w:customStyle="1">
    <w:name w:val="WW-WW8Num1ztrue611"/>
    <w:uiPriority w:val="99"/>
    <w:qFormat/>
    <w:rsid w:val="00997fa8"/>
    <w:rPr/>
  </w:style>
  <w:style w:type="character" w:styleId="11" w:customStyle="1">
    <w:name w:val="Основной шрифт абзаца1"/>
    <w:uiPriority w:val="99"/>
    <w:qFormat/>
    <w:rsid w:val="00997fa8"/>
    <w:rPr/>
  </w:style>
  <w:style w:type="character" w:styleId="BodyTextChar" w:customStyle="1">
    <w:name w:val="Body Text Char"/>
    <w:uiPriority w:val="99"/>
    <w:qFormat/>
    <w:rsid w:val="00997fa8"/>
    <w:rPr>
      <w:sz w:val="24"/>
      <w:lang w:val="uk-UA" w:eastAsia="zh-CN"/>
    </w:rPr>
  </w:style>
  <w:style w:type="character" w:styleId="BalloonTextChar" w:customStyle="1">
    <w:name w:val="Balloon Text Char"/>
    <w:uiPriority w:val="99"/>
    <w:qFormat/>
    <w:rsid w:val="00997fa8"/>
    <w:rPr>
      <w:sz w:val="2"/>
      <w:lang w:val="uk-UA" w:eastAsia="zh-CN"/>
    </w:rPr>
  </w:style>
  <w:style w:type="character" w:styleId="TitleChar" w:customStyle="1">
    <w:name w:val="Title Char"/>
    <w:basedOn w:val="DefaultParagraphFont"/>
    <w:link w:val="Title"/>
    <w:uiPriority w:val="99"/>
    <w:qFormat/>
    <w:locked/>
    <w:rsid w:val="000833b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sid w:val="000833b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sid w:val="000833bd"/>
    <w:rPr>
      <w:rFonts w:cs="Times New Roman"/>
      <w:sz w:val="2"/>
      <w:lang w:val="uk-UA" w:eastAsia="zh-CN"/>
    </w:rPr>
  </w:style>
  <w:style w:type="character" w:styleId="HeaderChar" w:customStyle="1">
    <w:name w:val="Header Char"/>
    <w:basedOn w:val="DefaultParagraphFont"/>
    <w:link w:val="Header"/>
    <w:uiPriority w:val="99"/>
    <w:semiHidden/>
    <w:qFormat/>
    <w:locked/>
    <w:rsid w:val="000833bd"/>
    <w:rPr>
      <w:rFonts w:cs="Times New Roman"/>
      <w:sz w:val="24"/>
      <w:szCs w:val="24"/>
      <w:lang w:val="uk-UA" w:eastAsia="zh-CN"/>
    </w:rPr>
  </w:style>
  <w:style w:type="character" w:styleId="FooterChar" w:customStyle="1">
    <w:name w:val="Footer Char"/>
    <w:basedOn w:val="DefaultParagraphFont"/>
    <w:link w:val="Footer"/>
    <w:uiPriority w:val="99"/>
    <w:semiHidden/>
    <w:qFormat/>
    <w:locked/>
    <w:rsid w:val="000833b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997fa8"/>
    <w:pPr>
      <w:spacing w:before="0" w:after="120"/>
    </w:pPr>
    <w:rPr/>
  </w:style>
  <w:style w:type="paragraph" w:styleId="Style13">
    <w:name w:val="List"/>
    <w:basedOn w:val="Style12"/>
    <w:uiPriority w:val="99"/>
    <w:rsid w:val="00997fa8"/>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997fa8"/>
    <w:pPr>
      <w:keepNext w:val="true"/>
      <w:spacing w:before="240" w:after="120"/>
    </w:pPr>
    <w:rPr>
      <w:rFonts w:ascii="Arial" w:hAnsi="Arial" w:eastAsia="Arial Unicode MS" w:cs="Mangal"/>
      <w:szCs w:val="28"/>
    </w:rPr>
  </w:style>
  <w:style w:type="paragraph" w:styleId="Caption">
    <w:name w:val="caption"/>
    <w:basedOn w:val="Normal"/>
    <w:uiPriority w:val="99"/>
    <w:qFormat/>
    <w:rsid w:val="00997fa8"/>
    <w:pPr>
      <w:suppressLineNumbers/>
      <w:spacing w:before="120" w:after="120"/>
    </w:pPr>
    <w:rPr>
      <w:rFonts w:cs="Mangal"/>
      <w:i/>
      <w:iCs/>
    </w:rPr>
  </w:style>
  <w:style w:type="paragraph" w:styleId="22" w:customStyle="1">
    <w:name w:val="Указатель2"/>
    <w:basedOn w:val="Normal"/>
    <w:uiPriority w:val="99"/>
    <w:qFormat/>
    <w:rsid w:val="00997fa8"/>
    <w:pPr>
      <w:suppressLineNumbers/>
    </w:pPr>
    <w:rPr>
      <w:rFonts w:cs="Mangal"/>
    </w:rPr>
  </w:style>
  <w:style w:type="paragraph" w:styleId="12" w:customStyle="1">
    <w:name w:val="Название объекта1"/>
    <w:basedOn w:val="Normal"/>
    <w:uiPriority w:val="99"/>
    <w:qFormat/>
    <w:rsid w:val="00997fa8"/>
    <w:pPr>
      <w:suppressLineNumbers/>
      <w:spacing w:before="120" w:after="120"/>
    </w:pPr>
    <w:rPr>
      <w:rFonts w:cs="Mangal"/>
      <w:i/>
      <w:iCs/>
      <w:sz w:val="24"/>
    </w:rPr>
  </w:style>
  <w:style w:type="paragraph" w:styleId="13" w:customStyle="1">
    <w:name w:val="Указатель1"/>
    <w:basedOn w:val="Normal"/>
    <w:uiPriority w:val="99"/>
    <w:qFormat/>
    <w:rsid w:val="00997fa8"/>
    <w:pPr>
      <w:suppressLineNumbers/>
    </w:pPr>
    <w:rPr>
      <w:rFonts w:cs="Mangal"/>
    </w:rPr>
  </w:style>
  <w:style w:type="paragraph" w:styleId="BalloonText">
    <w:name w:val="Balloon Text"/>
    <w:basedOn w:val="Normal"/>
    <w:link w:val="BalloonTextChar1"/>
    <w:uiPriority w:val="99"/>
    <w:qFormat/>
    <w:rsid w:val="00997fa8"/>
    <w:pPr/>
    <w:rPr>
      <w:rFonts w:ascii="Tahoma" w:hAnsi="Tahoma" w:cs="Tahoma"/>
      <w:sz w:val="16"/>
      <w:szCs w:val="16"/>
    </w:rPr>
  </w:style>
  <w:style w:type="paragraph" w:styleId="14" w:customStyle="1">
    <w:name w:val="Цитата1"/>
    <w:basedOn w:val="Normal"/>
    <w:uiPriority w:val="99"/>
    <w:qFormat/>
    <w:rsid w:val="00997fa8"/>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uiPriority w:val="99"/>
    <w:qFormat/>
    <w:rsid w:val="00997fa8"/>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08"/>
        <w:tab w:val="center" w:pos="4677" w:leader="none"/>
        <w:tab w:val="right" w:pos="9355" w:leader="none"/>
      </w:tabs>
    </w:pPr>
    <w:rPr/>
  </w:style>
  <w:style w:type="paragraph" w:styleId="Style19">
    <w:name w:val="Footer"/>
    <w:basedOn w:val="Normal"/>
    <w:link w:val="FooterChar"/>
    <w:uiPriority w:val="99"/>
    <w:rsid w:val="00466ed9"/>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300</TotalTime>
  <Application>LibreOffice/7.1.5.2$Windows_X86_64 LibreOffice_project/85f04e9f809797b8199d13c421bd8a2b025d52b5</Application>
  <AppVersion>15.0000</AppVersion>
  <Pages>2</Pages>
  <Words>514</Words>
  <Characters>3508</Characters>
  <CharactersWithSpaces>4641</CharactersWithSpaces>
  <Paragraphs>22</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2021-06-17T12:20:00Z</dcterms:created>
  <dc:creator>burko</dc:creator>
  <dc:description/>
  <dc:language>uk-UA</dc:language>
  <cp:lastModifiedBy/>
  <cp:lastPrinted>2021-12-15T10:38:27Z</cp:lastPrinted>
  <dcterms:modified xsi:type="dcterms:W3CDTF">2021-12-16T12:28:00Z</dcterms:modified>
  <cp:revision>47</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