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8"/>
          <w:szCs w:val="28"/>
          <w:lang w:val="uk-UA" w:eastAsia="zh-CN" w:bidi="ar-SA"/>
        </w:rPr>
      </w:pPr>
      <w:r>
        <w:rPr>
          <w:rFonts w:ascii="Times New Roman" w:hAnsi="Times New Roman"/>
          <w:sz w:val="28"/>
          <w:szCs w:val="28"/>
          <w:lang w:val="uk-UA" w:eastAsia="zh-CN" w:bidi="ar-SA"/>
        </w:rPr>
        <w:t>Пояснювальна записка</w:t>
      </w:r>
    </w:p>
    <w:p>
      <w:pPr>
        <w:pStyle w:val="Normal"/>
        <w:jc w:val="center"/>
        <w:rPr>
          <w:rFonts w:ascii="Times New Roman" w:hAnsi="Times New Roman"/>
          <w:sz w:val="28"/>
          <w:szCs w:val="28"/>
          <w:lang w:val="uk-UA" w:eastAsia="zh-CN" w:bidi="ar-SA"/>
        </w:rPr>
      </w:pPr>
      <w:r>
        <w:rPr>
          <w:rFonts w:ascii="Times New Roman" w:hAnsi="Times New Roman"/>
          <w:sz w:val="28"/>
          <w:szCs w:val="28"/>
          <w:lang w:val="uk-UA" w:eastAsia="zh-CN" w:bidi="ar-SA"/>
        </w:rPr>
        <w:t>до проєкту рішення виконавчого комітету Луцької міської ради</w:t>
      </w:r>
    </w:p>
    <w:p>
      <w:pPr>
        <w:pStyle w:val="Normal"/>
        <w:spacing w:lineRule="auto" w:line="240"/>
        <w:jc w:val="center"/>
        <w:rPr>
          <w:rFonts w:ascii="Times New Roman" w:hAnsi="Times New Roman"/>
          <w:sz w:val="28"/>
          <w:szCs w:val="28"/>
          <w:lang w:val="uk-UA" w:eastAsia="zh-CN" w:bidi="ar-SA"/>
        </w:rPr>
      </w:pPr>
      <w:r>
        <w:rPr>
          <w:rFonts w:ascii="Times New Roman" w:hAnsi="Times New Roman"/>
          <w:bCs w:val="false"/>
          <w:sz w:val="28"/>
          <w:szCs w:val="28"/>
          <w:lang w:val="uk-UA" w:eastAsia="zh-CN" w:bidi="ar-SA"/>
        </w:rPr>
        <w:t>«</w:t>
      </w:r>
      <w:r>
        <w:rPr>
          <w:rFonts w:ascii="Times New Roman" w:hAnsi="Times New Roman"/>
          <w:sz w:val="28"/>
          <w:szCs w:val="28"/>
          <w:lang w:val="uk-UA" w:eastAsia="zh-CN" w:bidi="ar-SA"/>
        </w:rPr>
        <w:t xml:space="preserve">Про встановлення тарифу на виробництво теплової енергії </w:t>
      </w:r>
    </w:p>
    <w:p>
      <w:pPr>
        <w:pStyle w:val="Normal"/>
        <w:spacing w:lineRule="auto" w:line="240"/>
        <w:jc w:val="center"/>
        <w:rPr>
          <w:rFonts w:ascii="Times New Roman" w:hAnsi="Times New Roman"/>
          <w:sz w:val="28"/>
          <w:szCs w:val="28"/>
          <w:lang w:val="uk-UA" w:eastAsia="zh-CN" w:bidi="ar-SA"/>
        </w:rPr>
      </w:pPr>
      <w:r>
        <w:rPr>
          <w:rFonts w:ascii="Times New Roman" w:hAnsi="Times New Roman"/>
          <w:sz w:val="28"/>
          <w:szCs w:val="28"/>
          <w:lang w:val="uk-UA" w:eastAsia="zh-CN" w:bidi="ar-SA"/>
        </w:rPr>
        <w:t xml:space="preserve">для </w:t>
      </w:r>
      <w:r>
        <w:rPr>
          <w:rFonts w:ascii="Times New Roman" w:hAnsi="Times New Roman"/>
          <w:bCs w:val="false"/>
          <w:sz w:val="28"/>
          <w:szCs w:val="28"/>
          <w:lang w:val="uk-UA" w:eastAsia="zh-CN" w:bidi="ar-SA"/>
        </w:rPr>
        <w:t>Волинськ</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sz w:val="28"/>
          <w:szCs w:val="28"/>
          <w:lang w:val="uk-UA" w:eastAsia="zh-CN" w:bidi="ar-SA"/>
        </w:rPr>
        <w:t xml:space="preserve"> академічн</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sz w:val="28"/>
          <w:szCs w:val="28"/>
          <w:lang w:val="uk-UA" w:eastAsia="zh-CN" w:bidi="ar-SA"/>
        </w:rPr>
        <w:t xml:space="preserve"> обласн</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sz w:val="28"/>
          <w:szCs w:val="28"/>
          <w:lang w:val="uk-UA" w:eastAsia="zh-CN" w:bidi="ar-SA"/>
        </w:rPr>
        <w:t xml:space="preserve"> українськ</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sz w:val="28"/>
          <w:szCs w:val="28"/>
          <w:lang w:val="uk-UA" w:eastAsia="zh-CN" w:bidi="ar-SA"/>
        </w:rPr>
        <w:t xml:space="preserve"> музично-драматичн</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sz w:val="28"/>
          <w:szCs w:val="28"/>
          <w:lang w:val="uk-UA" w:eastAsia="zh-CN" w:bidi="ar-SA"/>
        </w:rPr>
        <w:t xml:space="preserve"> театр</w:t>
      </w:r>
      <w:r>
        <w:rPr>
          <w:rFonts w:eastAsia="Times New Roman" w:cs="Times New Roman" w:ascii="Times New Roman" w:hAnsi="Times New Roman"/>
          <w:bCs w:val="false"/>
          <w:color w:val="auto"/>
          <w:kern w:val="0"/>
          <w:sz w:val="28"/>
          <w:szCs w:val="28"/>
          <w:lang w:val="uk-UA" w:eastAsia="zh-CN" w:bidi="ar-SA"/>
        </w:rPr>
        <w:t>у</w:t>
      </w:r>
      <w:r>
        <w:rPr>
          <w:rFonts w:ascii="Times New Roman" w:hAnsi="Times New Roman"/>
          <w:bCs w:val="false"/>
          <w:sz w:val="28"/>
          <w:szCs w:val="28"/>
          <w:lang w:val="uk-UA" w:eastAsia="zh-CN" w:bidi="ar-SA"/>
        </w:rPr>
        <w:t xml:space="preserve"> імені Т.Г. Шевченка»</w:t>
      </w:r>
    </w:p>
    <w:p>
      <w:pPr>
        <w:pStyle w:val="Normal"/>
        <w:ind w:left="0" w:right="0" w:firstLine="708"/>
        <w:jc w:val="both"/>
        <w:rPr>
          <w:rFonts w:ascii="Times New Roman" w:hAnsi="Times New Roman"/>
          <w:bCs w:val="false"/>
          <w:sz w:val="28"/>
          <w:szCs w:val="28"/>
          <w:lang w:val="uk-UA" w:eastAsia="zh-CN" w:bidi="ar-SA"/>
        </w:rPr>
      </w:pPr>
      <w:r>
        <w:rPr>
          <w:rFonts w:ascii="Times New Roman" w:hAnsi="Times New Roman"/>
          <w:bCs w:val="false"/>
          <w:sz w:val="28"/>
          <w:szCs w:val="28"/>
          <w:lang w:val="uk-UA" w:eastAsia="zh-CN" w:bidi="ar-SA"/>
        </w:rPr>
      </w:r>
    </w:p>
    <w:p>
      <w:pPr>
        <w:pStyle w:val="Normal"/>
        <w:tabs>
          <w:tab w:val="clear" w:pos="709"/>
          <w:tab w:val="left" w:pos="1080" w:leader="none"/>
        </w:tabs>
        <w:ind w:left="0" w:right="0" w:firstLine="705"/>
        <w:jc w:val="both"/>
        <w:rPr>
          <w:rFonts w:ascii="Times New Roman" w:hAnsi="Times New Roman"/>
          <w:sz w:val="28"/>
          <w:szCs w:val="28"/>
        </w:rPr>
      </w:pPr>
      <w:r>
        <w:rPr>
          <w:rFonts w:ascii="Times New Roman" w:hAnsi="Times New Roman"/>
          <w:sz w:val="28"/>
          <w:szCs w:val="28"/>
        </w:rPr>
        <w:t>Діючі тарифи на теплову енергію для усіх категорій споживачів встановлені р</w:t>
      </w:r>
      <w:r>
        <w:rPr>
          <w:rFonts w:ascii="Times New Roman" w:hAnsi="Times New Roman"/>
          <w:bCs w:val="false"/>
          <w:sz w:val="28"/>
          <w:szCs w:val="28"/>
        </w:rPr>
        <w:t xml:space="preserve">ішенням виконавчого комітету міської ради від </w:t>
      </w:r>
      <w:r>
        <w:rPr>
          <w:rFonts w:ascii="Times New Roman" w:hAnsi="Times New Roman"/>
          <w:bCs w:val="false"/>
          <w:sz w:val="28"/>
          <w:szCs w:val="28"/>
          <w:lang w:val="uk-UA"/>
        </w:rPr>
        <w:t>20.03.2019</w:t>
      </w:r>
      <w:r>
        <w:rPr>
          <w:rFonts w:ascii="Times New Roman" w:hAnsi="Times New Roman"/>
          <w:bCs w:val="false"/>
          <w:sz w:val="28"/>
          <w:szCs w:val="28"/>
        </w:rPr>
        <w:t xml:space="preserve"> № </w:t>
      </w:r>
      <w:r>
        <w:rPr>
          <w:rFonts w:ascii="Times New Roman" w:hAnsi="Times New Roman"/>
          <w:bCs w:val="false"/>
          <w:sz w:val="28"/>
          <w:szCs w:val="28"/>
          <w:lang w:val="uk-UA"/>
        </w:rPr>
        <w:t>170-1</w:t>
      </w:r>
      <w:r>
        <w:rPr>
          <w:rFonts w:ascii="Times New Roman" w:hAnsi="Times New Roman"/>
          <w:bCs w:val="false"/>
          <w:sz w:val="28"/>
          <w:szCs w:val="28"/>
        </w:rPr>
        <w:t xml:space="preserve"> «</w:t>
      </w:r>
      <w:r>
        <w:rPr>
          <w:rFonts w:ascii="Times New Roman" w:hAnsi="Times New Roman"/>
          <w:bCs w:val="false"/>
          <w:sz w:val="28"/>
          <w:szCs w:val="28"/>
          <w:lang w:val="uk-UA"/>
        </w:rPr>
        <w:t>Про скориговані тарифи на теплову енергію, що реалізовується Волинським академічним обласним українським музично-драматичним театром імені Т.Г.Шевченка</w:t>
      </w:r>
      <w:r>
        <w:rPr>
          <w:rFonts w:ascii="Times New Roman" w:hAnsi="Times New Roman"/>
          <w:bCs w:val="false"/>
          <w:sz w:val="28"/>
          <w:szCs w:val="28"/>
        </w:rPr>
        <w:t xml:space="preserve">». </w:t>
      </w:r>
    </w:p>
    <w:p>
      <w:pPr>
        <w:pStyle w:val="Normal"/>
        <w:ind w:left="0" w:right="0" w:firstLine="708"/>
        <w:jc w:val="both"/>
        <w:rPr>
          <w:rFonts w:ascii="Times New Roman" w:hAnsi="Times New Roman"/>
          <w:sz w:val="28"/>
          <w:szCs w:val="28"/>
        </w:rPr>
      </w:pPr>
      <w:r>
        <w:rPr>
          <w:rFonts w:ascii="Times New Roman" w:hAnsi="Times New Roman"/>
          <w:sz w:val="28"/>
          <w:szCs w:val="28"/>
        </w:rPr>
        <w:t>Перегляд діючих тарифів відбувається з метою приведення їх до економічно обґрунтованого рівня у зв'язку із зміни вартості природного газу для потреб інших споживачів, цін на електричну енергію та розміру мінімальної заробітної плати на державному рівні.</w:t>
      </w:r>
    </w:p>
    <w:p>
      <w:pPr>
        <w:pStyle w:val="Normal"/>
        <w:ind w:left="0" w:right="0" w:firstLine="708"/>
        <w:jc w:val="both"/>
        <w:rPr>
          <w:rFonts w:ascii="Times New Roman" w:hAnsi="Times New Roman"/>
          <w:sz w:val="28"/>
          <w:szCs w:val="28"/>
        </w:rPr>
      </w:pPr>
      <w:r>
        <w:rPr>
          <w:rFonts w:ascii="Times New Roman" w:hAnsi="Times New Roman"/>
          <w:sz w:val="28"/>
          <w:szCs w:val="28"/>
        </w:rPr>
        <w:t>Розрахунок тарифу на теплову енергію здійснено відповідно до вимог постанови Кабінету Міністрів України від 01.06.2011 № 869 «Про забезпечення єдиного підходу до формування тарифів на житлово-комунальні послуги».</w:t>
      </w:r>
    </w:p>
    <w:p>
      <w:pPr>
        <w:pStyle w:val="Normal"/>
        <w:shd w:val="clear" w:fill="FFFFFF"/>
        <w:suppressAutoHyphens w:val="true"/>
        <w:spacing w:lineRule="auto" w:line="240" w:before="0" w:after="0"/>
        <w:ind w:left="0" w:right="0" w:firstLine="708"/>
        <w:jc w:val="both"/>
        <w:rPr>
          <w:rFonts w:ascii="Times New Roman" w:hAnsi="Times New Roman"/>
          <w:sz w:val="28"/>
          <w:szCs w:val="28"/>
        </w:rPr>
      </w:pPr>
      <w:r>
        <w:rPr>
          <w:rFonts w:eastAsia="Times New Roman" w:cs="Times New Roman" w:ascii="Times New Roman" w:hAnsi="Times New Roman"/>
          <w:sz w:val="28"/>
          <w:szCs w:val="28"/>
          <w:lang w:val="uk-UA" w:eastAsia="zh-CN"/>
        </w:rPr>
        <w:t>Ціна природного газу (без транспортування та розподілу), врахованого в діючому тарифі для категорій споживачів “бюджетні установи та організації” та “інші споживачі”, зросла із 6235,51 грн/1000м</w:t>
      </w:r>
      <w:r>
        <w:rPr>
          <w:rFonts w:eastAsia="Times New Roman" w:cs="Times New Roman" w:ascii="Times New Roman" w:hAnsi="Times New Roman"/>
          <w:sz w:val="28"/>
          <w:szCs w:val="28"/>
          <w:vertAlign w:val="superscript"/>
          <w:lang w:val="uk-UA" w:eastAsia="zh-CN"/>
        </w:rPr>
        <w:t xml:space="preserve">3  </w:t>
      </w:r>
      <w:r>
        <w:rPr>
          <w:rFonts w:eastAsia="Times New Roman" w:cs="Times New Roman" w:ascii="Times New Roman" w:hAnsi="Times New Roman"/>
          <w:sz w:val="28"/>
          <w:szCs w:val="28"/>
          <w:lang w:val="uk-UA" w:eastAsia="zh-CN"/>
        </w:rPr>
        <w:t>(без ПДВ) до 31394,91грн/1000м</w:t>
      </w:r>
      <w:r>
        <w:rPr>
          <w:rFonts w:eastAsia="Times New Roman" w:cs="Times New Roman" w:ascii="Times New Roman" w:hAnsi="Times New Roman"/>
          <w:sz w:val="28"/>
          <w:szCs w:val="28"/>
          <w:vertAlign w:val="superscript"/>
          <w:lang w:val="uk-UA" w:eastAsia="zh-CN"/>
        </w:rPr>
        <w:t xml:space="preserve">3 </w:t>
      </w:r>
      <w:r>
        <w:rPr>
          <w:rFonts w:eastAsia="Times New Roman" w:cs="Times New Roman" w:ascii="Times New Roman" w:hAnsi="Times New Roman"/>
          <w:sz w:val="28"/>
          <w:szCs w:val="28"/>
          <w:lang w:val="uk-UA" w:eastAsia="zh-CN"/>
        </w:rPr>
        <w:t xml:space="preserve">(без ПДВ), або у 5,04 рази. </w:t>
      </w:r>
    </w:p>
    <w:p>
      <w:pPr>
        <w:pStyle w:val="Normal"/>
        <w:shd w:val="clear" w:fill="FFFFFF"/>
        <w:suppressAutoHyphens w:val="true"/>
        <w:spacing w:lineRule="auto" w:line="240" w:before="0" w:after="0"/>
        <w:ind w:left="0" w:right="0" w:firstLine="709"/>
        <w:jc w:val="both"/>
        <w:rPr>
          <w:rFonts w:ascii="Times New Roman" w:hAnsi="Times New Roman"/>
          <w:sz w:val="28"/>
          <w:szCs w:val="28"/>
        </w:rPr>
      </w:pPr>
      <w:r>
        <w:rPr>
          <w:rFonts w:eastAsia="Times New Roman" w:cs="Times New Roman" w:ascii="Times New Roman" w:hAnsi="Times New Roman"/>
          <w:sz w:val="28"/>
          <w:szCs w:val="28"/>
          <w:lang w:val="uk-UA" w:eastAsia="zh-CN"/>
        </w:rPr>
        <w:t>Підставою є Договір постачання природного газу для установ та організацій, що фінансуються з державного бюджету від 06.12.2021                  №</w:t>
      </w:r>
      <w:r>
        <w:rPr>
          <w:rFonts w:eastAsia="Times New Roman" w:cs="Times New Roman" w:ascii="Times New Roman" w:hAnsi="Times New Roman"/>
          <w:sz w:val="28"/>
          <w:szCs w:val="28"/>
          <w:u w:val="none"/>
          <w:lang w:eastAsia="zh-CN"/>
        </w:rPr>
        <w:t xml:space="preserve"> 41АВ437</w:t>
      </w:r>
      <w:r>
        <w:rPr>
          <w:rFonts w:eastAsia="Times New Roman" w:cs="Times New Roman" w:ascii="Times New Roman" w:hAnsi="Times New Roman"/>
          <w:sz w:val="28"/>
          <w:szCs w:val="28"/>
          <w:u w:val="none"/>
          <w:lang w:val="uk-UA" w:eastAsia="zh-CN"/>
        </w:rPr>
        <w:t xml:space="preserve"> </w:t>
      </w:r>
      <w:r>
        <w:rPr>
          <w:rFonts w:eastAsia="Times New Roman" w:cs="Times New Roman" w:ascii="Times New Roman" w:hAnsi="Times New Roman"/>
          <w:sz w:val="28"/>
          <w:szCs w:val="28"/>
          <w:lang w:val="uk-UA" w:eastAsia="zh-CN"/>
        </w:rPr>
        <w:t xml:space="preserve">-12516-21 з ТОВ  «Волиньгаз Збут». </w:t>
      </w:r>
    </w:p>
    <w:p>
      <w:pPr>
        <w:pStyle w:val="Normal"/>
        <w:ind w:left="0" w:right="0" w:firstLine="708"/>
        <w:jc w:val="both"/>
        <w:rPr>
          <w:rFonts w:ascii="Times New Roman" w:hAnsi="Times New Roman"/>
          <w:sz w:val="28"/>
          <w:szCs w:val="28"/>
        </w:rPr>
      </w:pPr>
      <w:r>
        <w:rPr>
          <w:rFonts w:ascii="Times New Roman" w:hAnsi="Times New Roman"/>
          <w:sz w:val="28"/>
          <w:szCs w:val="28"/>
        </w:rPr>
        <w:t>Тариф на електричну енергію зріс із 2,42995  грн/кВт/год (без ПДВ) до 4,147308 грн/кВт/год (без ПДВ), або у 1,71 рази.</w:t>
      </w:r>
    </w:p>
    <w:p>
      <w:pPr>
        <w:pStyle w:val="Normal"/>
        <w:ind w:left="0" w:right="0" w:firstLine="708"/>
        <w:jc w:val="both"/>
        <w:rPr>
          <w:rFonts w:ascii="Times New Roman" w:hAnsi="Times New Roman"/>
          <w:sz w:val="28"/>
          <w:szCs w:val="28"/>
        </w:rPr>
      </w:pPr>
      <w:r>
        <w:rPr>
          <w:rFonts w:ascii="Times New Roman" w:hAnsi="Times New Roman"/>
          <w:sz w:val="28"/>
          <w:szCs w:val="28"/>
        </w:rPr>
        <w:t>У діючому тарифі розмір мінімальної заробітної плати врахований на рівні 4173 грн/міс, а у плановому  становить 6500 грн/міс, ріст — на 55 %.</w:t>
      </w:r>
    </w:p>
    <w:p>
      <w:pPr>
        <w:pStyle w:val="Normal"/>
        <w:ind w:left="0" w:right="0" w:firstLine="708"/>
        <w:jc w:val="both"/>
        <w:rPr>
          <w:rFonts w:ascii="Times New Roman" w:hAnsi="Times New Roman"/>
          <w:sz w:val="28"/>
          <w:szCs w:val="28"/>
        </w:rPr>
      </w:pPr>
      <w:r>
        <w:rPr>
          <w:rFonts w:ascii="Times New Roman" w:hAnsi="Times New Roman"/>
          <w:sz w:val="28"/>
          <w:szCs w:val="28"/>
        </w:rPr>
        <w:t>Зросла у плановому тарифі вартість води на технологічні потреби від КП «Луцькводоканал» з 5,64 грн/м</w:t>
      </w:r>
      <w:r>
        <w:rPr>
          <w:rFonts w:ascii="Times New Roman" w:hAnsi="Times New Roman"/>
          <w:sz w:val="28"/>
          <w:szCs w:val="28"/>
          <w:vertAlign w:val="superscript"/>
        </w:rPr>
        <w:t>3</w:t>
      </w:r>
      <w:r>
        <w:rPr>
          <w:rFonts w:ascii="Times New Roman" w:hAnsi="Times New Roman"/>
          <w:sz w:val="28"/>
          <w:szCs w:val="28"/>
        </w:rPr>
        <w:t xml:space="preserve"> (без ПДВ) до 8,93 грн/м</w:t>
      </w:r>
      <w:r>
        <w:rPr>
          <w:rFonts w:ascii="Times New Roman" w:hAnsi="Times New Roman"/>
          <w:sz w:val="28"/>
          <w:szCs w:val="28"/>
          <w:vertAlign w:val="superscript"/>
        </w:rPr>
        <w:t>3</w:t>
      </w:r>
      <w:r>
        <w:rPr>
          <w:rFonts w:ascii="Times New Roman" w:hAnsi="Times New Roman"/>
          <w:sz w:val="28"/>
          <w:szCs w:val="28"/>
        </w:rPr>
        <w:t xml:space="preserve"> (без ПДВ), або на 58,3 %.</w:t>
      </w:r>
    </w:p>
    <w:p>
      <w:pPr>
        <w:pStyle w:val="Normal"/>
        <w:suppressAutoHyphens w:val="true"/>
        <w:spacing w:lineRule="auto" w:line="240" w:before="0" w:after="0"/>
        <w:jc w:val="center"/>
        <w:rPr>
          <w:rFonts w:ascii="Times New Roman" w:hAnsi="Times New Roman"/>
          <w:sz w:val="28"/>
          <w:szCs w:val="28"/>
        </w:rPr>
      </w:pPr>
      <w:r>
        <w:rPr>
          <w:rFonts w:ascii="Times New Roman" w:hAnsi="Times New Roman"/>
          <w:bCs/>
          <w:sz w:val="28"/>
          <w:szCs w:val="28"/>
          <w:lang w:val="uk-UA"/>
        </w:rPr>
        <w:t xml:space="preserve">Порівняльна таблиця зміни цін  на паливно-енергетичні ресурси </w:t>
      </w:r>
    </w:p>
    <w:p>
      <w:pPr>
        <w:pStyle w:val="Normal"/>
        <w:suppressAutoHyphens w:val="true"/>
        <w:spacing w:lineRule="auto" w:line="240" w:before="0" w:after="0"/>
        <w:jc w:val="right"/>
        <w:rPr>
          <w:rFonts w:ascii="Times New Roman" w:hAnsi="Times New Roman"/>
          <w:sz w:val="28"/>
          <w:szCs w:val="28"/>
        </w:rPr>
      </w:pPr>
      <w:r>
        <w:rPr>
          <w:rFonts w:ascii="Times New Roman" w:hAnsi="Times New Roman"/>
          <w:bCs/>
          <w:sz w:val="28"/>
          <w:szCs w:val="28"/>
          <w:lang w:val="uk-UA"/>
        </w:rPr>
        <w:t xml:space="preserve">   </w:t>
      </w:r>
      <w:r>
        <w:rPr>
          <w:rFonts w:ascii="Times New Roman" w:hAnsi="Times New Roman"/>
          <w:bCs/>
          <w:sz w:val="28"/>
          <w:szCs w:val="28"/>
          <w:lang w:val="uk-UA"/>
        </w:rPr>
        <w:t>без ПДВ</w:t>
      </w:r>
    </w:p>
    <w:tbl>
      <w:tblPr>
        <w:tblW w:w="9300" w:type="dxa"/>
        <w:jc w:val="left"/>
        <w:tblInd w:w="-10" w:type="dxa"/>
        <w:tblLayout w:type="fixed"/>
        <w:tblCellMar>
          <w:top w:w="55" w:type="dxa"/>
          <w:left w:w="108" w:type="dxa"/>
          <w:bottom w:w="55" w:type="dxa"/>
          <w:right w:w="108" w:type="dxa"/>
        </w:tblCellMar>
      </w:tblPr>
      <w:tblGrid>
        <w:gridCol w:w="4199"/>
        <w:gridCol w:w="1875"/>
        <w:gridCol w:w="1697"/>
        <w:gridCol w:w="1528"/>
      </w:tblGrid>
      <w:tr>
        <w:trPr>
          <w:trHeight w:val="570" w:hRule="atLeast"/>
        </w:trPr>
        <w:tc>
          <w:tcPr>
            <w:tcW w:w="4199" w:type="dxa"/>
            <w:tcBorders>
              <w:top w:val="single" w:sz="4" w:space="0" w:color="000000"/>
              <w:left w:val="single" w:sz="4" w:space="0" w:color="000000"/>
              <w:bottom w:val="single" w:sz="4" w:space="0" w:color="000000"/>
            </w:tcBorders>
            <w:shd w:fill="auto" w:val="clear"/>
            <w:vAlign w:val="center"/>
          </w:tcPr>
          <w:p>
            <w:pPr>
              <w:pStyle w:val="Normal"/>
              <w:widowControl w:val="false"/>
              <w:spacing w:lineRule="auto" w:line="240" w:before="0" w:after="0"/>
              <w:jc w:val="center"/>
              <w:rPr>
                <w:rFonts w:ascii="Times New Roman" w:hAnsi="Times New Roman"/>
                <w:sz w:val="28"/>
                <w:szCs w:val="28"/>
              </w:rPr>
            </w:pPr>
            <w:r>
              <w:rPr>
                <w:rFonts w:eastAsia="Times New Roman" w:ascii="Times New Roman" w:hAnsi="Times New Roman"/>
                <w:sz w:val="28"/>
                <w:szCs w:val="28"/>
                <w:lang w:val="uk-UA"/>
              </w:rPr>
              <w:t>На</w:t>
            </w:r>
            <w:r>
              <w:rPr>
                <w:rFonts w:eastAsia="Times New Roman" w:ascii="Times New Roman" w:hAnsi="Times New Roman"/>
                <w:sz w:val="28"/>
                <w:szCs w:val="28"/>
              </w:rPr>
              <w:t>йменування п</w:t>
            </w:r>
            <w:bookmarkStart w:id="0" w:name="_GoBack"/>
            <w:bookmarkEnd w:id="0"/>
            <w:r>
              <w:rPr>
                <w:rFonts w:eastAsia="Times New Roman" w:ascii="Times New Roman" w:hAnsi="Times New Roman"/>
                <w:sz w:val="28"/>
                <w:szCs w:val="28"/>
              </w:rPr>
              <w:t>оказника</w:t>
            </w:r>
          </w:p>
        </w:tc>
        <w:tc>
          <w:tcPr>
            <w:tcW w:w="1875" w:type="dxa"/>
            <w:tcBorders>
              <w:top w:val="single" w:sz="4" w:space="0" w:color="000000"/>
              <w:left w:val="single" w:sz="4" w:space="0" w:color="000000"/>
              <w:bottom w:val="single" w:sz="4" w:space="0" w:color="000000"/>
            </w:tcBorders>
            <w:shd w:fill="auto" w:val="clear"/>
            <w:vAlign w:val="center"/>
          </w:tcPr>
          <w:p>
            <w:pPr>
              <w:pStyle w:val="Normal"/>
              <w:widowControl w:val="false"/>
              <w:spacing w:before="0" w:after="200"/>
              <w:jc w:val="center"/>
              <w:rPr>
                <w:rFonts w:ascii="Times New Roman" w:hAnsi="Times New Roman"/>
                <w:sz w:val="28"/>
                <w:szCs w:val="28"/>
              </w:rPr>
            </w:pPr>
            <w:r>
              <w:rPr>
                <w:rFonts w:cs="Times New Roman" w:ascii="Times New Roman" w:hAnsi="Times New Roman"/>
                <w:sz w:val="28"/>
                <w:szCs w:val="28"/>
              </w:rPr>
              <w:t>У  діючому тарифі</w:t>
            </w:r>
          </w:p>
        </w:tc>
        <w:tc>
          <w:tcPr>
            <w:tcW w:w="1697" w:type="dxa"/>
            <w:tcBorders>
              <w:top w:val="single" w:sz="4" w:space="0" w:color="000000"/>
              <w:left w:val="single" w:sz="4" w:space="0" w:color="000000"/>
              <w:bottom w:val="single" w:sz="4" w:space="0" w:color="000000"/>
            </w:tcBorders>
            <w:shd w:fill="auto" w:val="clear"/>
            <w:vAlign w:val="cente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У проєкті тарифу</w:t>
            </w:r>
          </w:p>
        </w:tc>
        <w:tc>
          <w:tcPr>
            <w:tcW w:w="152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40" w:before="0" w:after="0"/>
              <w:jc w:val="center"/>
              <w:rPr>
                <w:rFonts w:ascii="Times New Roman" w:hAnsi="Times New Roman" w:eastAsia="Times New Roman"/>
                <w:sz w:val="28"/>
                <w:szCs w:val="28"/>
                <w:lang w:val="uk-UA"/>
              </w:rPr>
            </w:pPr>
            <w:r>
              <w:rPr>
                <w:rFonts w:eastAsia="Times New Roman" w:ascii="Times New Roman" w:hAnsi="Times New Roman"/>
                <w:sz w:val="28"/>
                <w:szCs w:val="28"/>
                <w:lang w:val="uk-UA"/>
              </w:rPr>
              <w:t>Індекс</w:t>
            </w:r>
          </w:p>
          <w:p>
            <w:pPr>
              <w:pStyle w:val="Normal"/>
              <w:widowControl w:val="false"/>
              <w:spacing w:lineRule="auto" w:line="240" w:before="0" w:after="0"/>
              <w:jc w:val="center"/>
              <w:rPr>
                <w:rFonts w:ascii="Times New Roman" w:hAnsi="Times New Roman"/>
                <w:sz w:val="28"/>
                <w:szCs w:val="28"/>
              </w:rPr>
            </w:pPr>
            <w:r>
              <w:rPr>
                <w:rFonts w:eastAsia="Times New Roman" w:ascii="Times New Roman" w:hAnsi="Times New Roman"/>
                <w:sz w:val="28"/>
                <w:szCs w:val="28"/>
                <w:lang w:val="uk-UA"/>
              </w:rPr>
              <w:t xml:space="preserve"> </w:t>
            </w:r>
            <w:r>
              <w:rPr>
                <w:rFonts w:eastAsia="Times New Roman" w:ascii="Times New Roman" w:hAnsi="Times New Roman"/>
                <w:sz w:val="28"/>
                <w:szCs w:val="28"/>
                <w:lang w:val="uk-UA"/>
              </w:rPr>
              <w:t>росту</w:t>
            </w:r>
          </w:p>
        </w:tc>
      </w:tr>
      <w:tr>
        <w:trPr>
          <w:trHeight w:val="960" w:hRule="atLeast"/>
        </w:trPr>
        <w:tc>
          <w:tcPr>
            <w:tcW w:w="4199" w:type="dxa"/>
            <w:tcBorders>
              <w:left w:val="single" w:sz="4" w:space="0" w:color="000000"/>
              <w:bottom w:val="single" w:sz="4" w:space="0" w:color="000000"/>
            </w:tcBorders>
            <w:shd w:fill="auto" w:val="clear"/>
            <w:vAlign w:val="center"/>
          </w:tcPr>
          <w:p>
            <w:pPr>
              <w:pStyle w:val="Normal"/>
              <w:widowControl w:val="false"/>
              <w:spacing w:lineRule="auto" w:line="240" w:before="0" w:after="0"/>
              <w:rPr>
                <w:rFonts w:ascii="Times New Roman" w:hAnsi="Times New Roman"/>
                <w:sz w:val="28"/>
                <w:szCs w:val="28"/>
              </w:rPr>
            </w:pPr>
            <w:r>
              <w:rPr>
                <w:rFonts w:eastAsia="Times New Roman" w:ascii="Times New Roman" w:hAnsi="Times New Roman"/>
                <w:sz w:val="28"/>
                <w:szCs w:val="28"/>
              </w:rPr>
              <w:t>Ціна природного газу (без врахування послуги його транспортування та розподілу),</w:t>
            </w:r>
            <w:r>
              <w:rPr>
                <w:rFonts w:eastAsia="Times New Roman" w:ascii="Times New Roman" w:hAnsi="Times New Roman"/>
                <w:sz w:val="28"/>
                <w:szCs w:val="28"/>
                <w:lang w:val="uk-UA"/>
              </w:rPr>
              <w:t xml:space="preserve"> </w:t>
            </w:r>
            <w:r>
              <w:rPr>
                <w:rFonts w:eastAsia="Times New Roman" w:ascii="Times New Roman" w:hAnsi="Times New Roman"/>
                <w:sz w:val="28"/>
                <w:szCs w:val="28"/>
              </w:rPr>
              <w:t>грн/1000 куб.м</w:t>
            </w:r>
          </w:p>
        </w:tc>
        <w:tc>
          <w:tcPr>
            <w:tcW w:w="1875" w:type="dxa"/>
            <w:tcBorders>
              <w:left w:val="single" w:sz="4" w:space="0" w:color="000000"/>
              <w:bottom w:val="single" w:sz="4" w:space="0" w:color="000000"/>
            </w:tcBorders>
            <w:shd w:fill="FFFFFF" w:val="clear"/>
          </w:tcPr>
          <w:p>
            <w:pPr>
              <w:pStyle w:val="Normal"/>
              <w:widowControl w:val="false"/>
              <w:snapToGrid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val="false"/>
              <w:spacing w:lineRule="auto" w:line="240" w:before="0" w:after="0"/>
              <w:ind w:left="0" w:right="0" w:hanging="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6235,51</w:t>
            </w:r>
          </w:p>
        </w:tc>
        <w:tc>
          <w:tcPr>
            <w:tcW w:w="1697" w:type="dxa"/>
            <w:tcBorders>
              <w:left w:val="single" w:sz="4" w:space="0" w:color="000000"/>
              <w:bottom w:val="single" w:sz="4" w:space="0" w:color="000000"/>
            </w:tcBorders>
            <w:shd w:fill="FFFFFF" w:val="clear"/>
          </w:tcPr>
          <w:p>
            <w:pPr>
              <w:pStyle w:val="Normal"/>
              <w:widowControl w:val="false"/>
              <w:snapToGrid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31394,91</w:t>
            </w:r>
          </w:p>
        </w:tc>
        <w:tc>
          <w:tcPr>
            <w:tcW w:w="1528"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5,04</w:t>
            </w:r>
          </w:p>
          <w:p>
            <w:pPr>
              <w:pStyle w:val="Normal"/>
              <w:widowControl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tc>
      </w:tr>
      <w:tr>
        <w:trPr>
          <w:trHeight w:val="436" w:hRule="atLeast"/>
        </w:trPr>
        <w:tc>
          <w:tcPr>
            <w:tcW w:w="4199" w:type="dxa"/>
            <w:tcBorders>
              <w:left w:val="single" w:sz="4" w:space="0" w:color="000000"/>
              <w:bottom w:val="single" w:sz="4" w:space="0" w:color="000000"/>
            </w:tcBorders>
            <w:shd w:fill="auto" w:val="clear"/>
            <w:vAlign w:val="center"/>
          </w:tcPr>
          <w:p>
            <w:pPr>
              <w:pStyle w:val="Normal"/>
              <w:widowControl w:val="false"/>
              <w:spacing w:lineRule="auto" w:line="240" w:before="0" w:after="0"/>
              <w:rPr>
                <w:rFonts w:ascii="Times New Roman" w:hAnsi="Times New Roman"/>
                <w:sz w:val="28"/>
                <w:szCs w:val="28"/>
              </w:rPr>
            </w:pPr>
            <w:r>
              <w:rPr>
                <w:rFonts w:eastAsia="Times New Roman" w:ascii="Times New Roman" w:hAnsi="Times New Roman"/>
                <w:sz w:val="28"/>
                <w:szCs w:val="28"/>
              </w:rPr>
              <w:t>Тариф на електричну енергію, грн/кВт/год</w:t>
            </w:r>
          </w:p>
        </w:tc>
        <w:tc>
          <w:tcPr>
            <w:tcW w:w="1875" w:type="dxa"/>
            <w:tcBorders>
              <w:left w:val="single" w:sz="4" w:space="0" w:color="000000"/>
              <w:bottom w:val="single" w:sz="4" w:space="0" w:color="000000"/>
            </w:tcBorders>
            <w:shd w:fill="FFFFFF" w:val="clear"/>
            <w:vAlign w:val="center"/>
          </w:tcPr>
          <w:p>
            <w:pPr>
              <w:pStyle w:val="Normal"/>
              <w:widowControl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2,42995</w:t>
            </w:r>
          </w:p>
        </w:tc>
        <w:tc>
          <w:tcPr>
            <w:tcW w:w="1697" w:type="dxa"/>
            <w:tcBorders>
              <w:left w:val="single" w:sz="4" w:space="0" w:color="000000"/>
              <w:bottom w:val="single" w:sz="4" w:space="0" w:color="000000"/>
            </w:tcBorders>
            <w:shd w:fill="FFFFFF" w:val="clear"/>
            <w:vAlign w:val="center"/>
          </w:tcPr>
          <w:p>
            <w:pPr>
              <w:pStyle w:val="Normal"/>
              <w:widowControl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4,147308</w:t>
            </w:r>
          </w:p>
        </w:tc>
        <w:tc>
          <w:tcPr>
            <w:tcW w:w="1528"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40" w:before="0" w:after="0"/>
              <w:jc w:val="center"/>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1,71</w:t>
            </w:r>
          </w:p>
        </w:tc>
      </w:tr>
    </w:tbl>
    <w:p>
      <w:pPr>
        <w:pStyle w:val="Normal"/>
        <w:ind w:left="0" w:right="0" w:firstLine="708"/>
        <w:jc w:val="both"/>
        <w:rPr>
          <w:rFonts w:ascii="Times New Roman" w:hAnsi="Times New Roman"/>
          <w:sz w:val="28"/>
          <w:szCs w:val="28"/>
        </w:rPr>
      </w:pPr>
      <w:r>
        <w:rPr>
          <w:rFonts w:ascii="Times New Roman" w:hAnsi="Times New Roman"/>
          <w:sz w:val="28"/>
          <w:szCs w:val="28"/>
        </w:rPr>
        <w:t xml:space="preserve">Таким чином, тариф на теплову енергію для бюджетних установ та інших споживачів становить </w:t>
      </w:r>
      <w:r>
        <w:rPr>
          <w:rFonts w:eastAsia="Times New Roman" w:cs="Times New Roman" w:ascii="Times New Roman" w:hAnsi="Times New Roman"/>
          <w:bCs/>
          <w:color w:val="000000"/>
          <w:kern w:val="0"/>
          <w:sz w:val="28"/>
          <w:szCs w:val="28"/>
          <w:lang w:val="uk-UA" w:eastAsia="zh-CN" w:bidi="ar-SA"/>
        </w:rPr>
        <w:t>6224,02</w:t>
      </w:r>
      <w:r>
        <w:rPr>
          <w:rFonts w:eastAsia="Times New Roman" w:cs="Times New Roman" w:ascii="Times New Roman" w:hAnsi="Times New Roman"/>
          <w:bCs/>
          <w:color w:val="000000"/>
          <w:sz w:val="28"/>
          <w:szCs w:val="28"/>
          <w:lang w:val="ru-RU" w:eastAsia="zh-CN" w:bidi="ar-SA"/>
        </w:rPr>
        <w:t xml:space="preserve"> </w:t>
      </w:r>
      <w:r>
        <w:rPr>
          <w:rFonts w:ascii="Times New Roman" w:hAnsi="Times New Roman"/>
          <w:color w:val="000000"/>
          <w:sz w:val="28"/>
          <w:szCs w:val="28"/>
        </w:rPr>
        <w:t>грн за 1 Гкал (з ПДВ).</w:t>
      </w:r>
    </w:p>
    <w:p>
      <w:pPr>
        <w:pStyle w:val="Normal"/>
        <w:ind w:left="0" w:right="0" w:firstLine="708"/>
        <w:jc w:val="both"/>
        <w:rPr>
          <w:rFonts w:ascii="Times New Roman" w:hAnsi="Times New Roman"/>
          <w:sz w:val="28"/>
          <w:szCs w:val="28"/>
        </w:rPr>
      </w:pPr>
      <w:r>
        <w:rPr>
          <w:rFonts w:ascii="Times New Roman" w:hAnsi="Times New Roman"/>
          <w:bCs w:val="false"/>
          <w:color w:val="000000"/>
          <w:sz w:val="28"/>
          <w:szCs w:val="28"/>
        </w:rPr>
        <w:t>Проєкт рішення виконавчого комітету міської ради «Про</w:t>
      </w:r>
      <w:r>
        <w:rPr>
          <w:rFonts w:ascii="Times New Roman" w:hAnsi="Times New Roman"/>
          <w:bCs w:val="false"/>
          <w:color w:val="000000"/>
          <w:sz w:val="28"/>
          <w:szCs w:val="28"/>
          <w:lang w:val="ru-RU"/>
        </w:rPr>
        <w:t xml:space="preserve"> встановлення </w:t>
      </w:r>
      <w:r>
        <w:rPr>
          <w:rFonts w:ascii="Times New Roman" w:hAnsi="Times New Roman"/>
          <w:bCs w:val="false"/>
          <w:color w:val="000000"/>
          <w:sz w:val="28"/>
          <w:szCs w:val="28"/>
        </w:rPr>
        <w:t>тарифу на виробництво теплової енергії для Волинськ</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color w:val="000000"/>
          <w:sz w:val="28"/>
          <w:szCs w:val="28"/>
        </w:rPr>
        <w:t xml:space="preserve"> академічн</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color w:val="000000"/>
          <w:sz w:val="28"/>
          <w:szCs w:val="28"/>
        </w:rPr>
        <w:t xml:space="preserve"> обласн</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color w:val="000000"/>
          <w:sz w:val="28"/>
          <w:szCs w:val="28"/>
        </w:rPr>
        <w:t xml:space="preserve"> українськ</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color w:val="000000"/>
          <w:sz w:val="28"/>
          <w:szCs w:val="28"/>
        </w:rPr>
        <w:t xml:space="preserve"> музично-драматичн</w:t>
      </w:r>
      <w:r>
        <w:rPr>
          <w:rFonts w:eastAsia="Times New Roman" w:cs="Times New Roman" w:ascii="Times New Roman" w:hAnsi="Times New Roman"/>
          <w:bCs w:val="false"/>
          <w:color w:val="auto"/>
          <w:kern w:val="0"/>
          <w:sz w:val="28"/>
          <w:szCs w:val="28"/>
          <w:lang w:val="uk-UA" w:eastAsia="zh-CN" w:bidi="ar-SA"/>
        </w:rPr>
        <w:t>ого</w:t>
      </w:r>
      <w:r>
        <w:rPr>
          <w:rFonts w:ascii="Times New Roman" w:hAnsi="Times New Roman"/>
          <w:bCs w:val="false"/>
          <w:color w:val="000000"/>
          <w:sz w:val="28"/>
          <w:szCs w:val="28"/>
        </w:rPr>
        <w:t xml:space="preserve"> театр</w:t>
      </w:r>
      <w:r>
        <w:rPr>
          <w:rFonts w:eastAsia="Times New Roman" w:cs="Times New Roman" w:ascii="Times New Roman" w:hAnsi="Times New Roman"/>
          <w:bCs w:val="false"/>
          <w:color w:val="auto"/>
          <w:kern w:val="0"/>
          <w:sz w:val="28"/>
          <w:szCs w:val="28"/>
          <w:lang w:val="uk-UA" w:eastAsia="zh-CN" w:bidi="ar-SA"/>
        </w:rPr>
        <w:t>у</w:t>
      </w:r>
      <w:r>
        <w:rPr>
          <w:rFonts w:ascii="Times New Roman" w:hAnsi="Times New Roman"/>
          <w:bCs w:val="false"/>
          <w:color w:val="000000"/>
          <w:sz w:val="28"/>
          <w:szCs w:val="28"/>
        </w:rPr>
        <w:t xml:space="preserve"> імені Т.Г. Шевченка» та розрахунки тарифу розглянуто Західним міжобласним                                                                 територіальним відділенням Антимонопольного комітету України та отримано відповідь, що проєкти рішень органів місцевого самоврядування, якими встановлюються тарифи на комунальні, побутові, транспортні та інші послуги, не потребують погодження з органами Комітету, а лише ті, які можуть призвести до недопущення, усунення, обмеження чи спотворення конкуренції на відповідних ринках.</w:t>
      </w:r>
    </w:p>
    <w:p>
      <w:pPr>
        <w:pStyle w:val="Normal"/>
        <w:ind w:left="0" w:right="0" w:firstLine="708"/>
        <w:jc w:val="center"/>
        <w:rPr>
          <w:rFonts w:ascii="Times New Roman" w:hAnsi="Times New Roman"/>
          <w:sz w:val="28"/>
          <w:szCs w:val="28"/>
        </w:rPr>
      </w:pPr>
      <w:r>
        <w:rPr>
          <w:rFonts w:ascii="Times New Roman" w:hAnsi="Times New Roman"/>
          <w:sz w:val="28"/>
          <w:szCs w:val="28"/>
        </w:rPr>
      </w:r>
    </w:p>
    <w:p>
      <w:pPr>
        <w:pStyle w:val="Normal"/>
        <w:ind w:left="0" w:right="0" w:firstLine="708"/>
        <w:jc w:val="center"/>
        <w:rPr>
          <w:rFonts w:ascii="Times New Roman" w:hAnsi="Times New Roman"/>
          <w:sz w:val="28"/>
          <w:szCs w:val="28"/>
        </w:rPr>
      </w:pPr>
      <w:r>
        <w:rPr>
          <w:rFonts w:ascii="Times New Roman" w:hAnsi="Times New Roman"/>
          <w:sz w:val="28"/>
          <w:szCs w:val="28"/>
        </w:rPr>
      </w:r>
    </w:p>
    <w:p>
      <w:pPr>
        <w:pStyle w:val="Normal"/>
        <w:ind w:left="0" w:right="0" w:firstLine="708"/>
        <w:jc w:val="center"/>
        <w:rPr>
          <w:rFonts w:ascii="Times New Roman" w:hAnsi="Times New Roman"/>
          <w:sz w:val="28"/>
          <w:szCs w:val="28"/>
        </w:rPr>
      </w:pPr>
      <w:r>
        <w:rPr>
          <w:rFonts w:ascii="Times New Roman" w:hAnsi="Times New Roman"/>
          <w:sz w:val="28"/>
          <w:szCs w:val="28"/>
        </w:rPr>
      </w:r>
    </w:p>
    <w:p>
      <w:pPr>
        <w:pStyle w:val="Normal"/>
        <w:ind w:left="0" w:right="0" w:firstLine="708"/>
        <w:jc w:val="center"/>
        <w:rPr>
          <w:rFonts w:ascii="Times New Roman" w:hAnsi="Times New Roman"/>
          <w:sz w:val="28"/>
          <w:szCs w:val="28"/>
        </w:rPr>
      </w:pPr>
      <w:r>
        <w:rPr>
          <w:rFonts w:ascii="Times New Roman" w:hAnsi="Times New Roman"/>
          <w:sz w:val="28"/>
          <w:szCs w:val="28"/>
        </w:rPr>
      </w:r>
    </w:p>
    <w:p>
      <w:pPr>
        <w:pStyle w:val="Normal"/>
        <w:spacing w:lineRule="auto" w:line="240" w:before="0" w:after="0"/>
        <w:ind w:left="0" w:right="0" w:hanging="0"/>
        <w:jc w:val="both"/>
        <w:rPr>
          <w:rFonts w:ascii="Times New Roman" w:hAnsi="Times New Roman"/>
          <w:sz w:val="28"/>
          <w:szCs w:val="28"/>
        </w:rPr>
      </w:pPr>
      <w:r>
        <w:rPr>
          <w:rFonts w:eastAsia="Times New Roman" w:ascii="Times New Roman" w:hAnsi="Times New Roman"/>
          <w:sz w:val="28"/>
          <w:szCs w:val="28"/>
          <w:lang w:val="uk-UA" w:eastAsia="uk-UA"/>
        </w:rPr>
        <w:t>Директор департаменту</w:t>
      </w:r>
    </w:p>
    <w:p>
      <w:pPr>
        <w:pStyle w:val="Normal"/>
        <w:widowControl w:val="false"/>
        <w:spacing w:lineRule="auto" w:line="240" w:before="0" w:after="0"/>
        <w:rPr>
          <w:rFonts w:ascii="Times New Roman" w:hAnsi="Times New Roman" w:eastAsia="Times New Roman"/>
          <w:sz w:val="28"/>
          <w:szCs w:val="28"/>
          <w:lang w:val="uk-UA" w:eastAsia="uk-UA"/>
        </w:rPr>
      </w:pPr>
      <w:r>
        <w:rPr>
          <w:rFonts w:eastAsia="Times New Roman" w:ascii="Times New Roman" w:hAnsi="Times New Roman"/>
          <w:sz w:val="28"/>
          <w:szCs w:val="28"/>
          <w:lang w:val="uk-UA" w:eastAsia="uk-UA"/>
        </w:rPr>
        <w:t>економічної політики                                                                       Борис СМАЛЬ</w:t>
      </w:r>
    </w:p>
    <w:sectPr>
      <w:type w:val="nextPage"/>
      <w:pgSz w:w="11906" w:h="16838"/>
      <w:pgMar w:left="1984" w:right="567" w:gutter="0" w:header="0" w:top="850" w:footer="0" w:bottom="1417"/>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Style19">
    <w:name w:val="Покажчик"/>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LibreOffice/7.2.4.1$Windows_X86_64 LibreOffice_project/27d75539669ac387bb498e35313b970b7fe9c4f9</Application>
  <AppVersion>15.0000</AppVersion>
  <Pages>2</Pages>
  <Words>393</Words>
  <Characters>2585</Characters>
  <CharactersWithSpaces>3114</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2021-12-10T12:24:28Z</dcterms:created>
  <dc:creator/>
  <dc:description/>
  <dc:language>ru-RU</dc:language>
  <cp:lastModifiedBy/>
  <dcterms:modified xsi:type="dcterms:W3CDTF">2021-12-22T15:34:23Z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