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320" w:leader="none"/>
        </w:tabs>
        <w:jc w:val="center"/>
        <w:rPr>
          <w:sz w:val="16"/>
          <w:szCs w:val="16"/>
        </w:rPr>
      </w:pPr>
      <w:r>
        <w:rPr/>
        <mc:AlternateContent>
          <mc:Choice Requires="wps">
            <w:drawing>
              <wp:anchor behindDoc="0" distT="0" distB="0" distL="114300" distR="114300" simplePos="0" locked="0" layoutInCell="0" allowOverlap="1" relativeHeight="2">
                <wp:simplePos x="0" y="0"/>
                <wp:positionH relativeFrom="column">
                  <wp:posOffset>635</wp:posOffset>
                </wp:positionH>
                <wp:positionV relativeFrom="paragraph">
                  <wp:posOffset>635</wp:posOffset>
                </wp:positionV>
                <wp:extent cx="635635" cy="635635"/>
                <wp:effectExtent l="0" t="0" r="0" b="0"/>
                <wp:wrapNone/>
                <wp:docPr id="1" name="_x0000_t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_x0000_tole_rId2" stroked="f" o:allowincell="f" style="position:absolute;margin-left:0.05pt;margin-top:0pt;width:49.95pt;height:49.95pt;mso-wrap-style:none;v-text-anchor:middle" type="_x0000_t75">
                <v:fill o:detectmouseclick="t" on="false"/>
                <v:stroke color="#3465a4" joinstyle="round" endcap="flat"/>
                <w10:wrap type="none"/>
              </v:shape>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8.5pt;mso-wrap-distance-right:0pt" filled="t" fillcolor="#FFFFFF" o:ole="">
            <v:imagedata r:id="rId3" o:title=""/>
          </v:shape>
          <o:OLEObject Type="Embed" ProgID="PBrush" ShapeID="ole_rId2" DrawAspect="Content" ObjectID="_129741158" r:id="rId2"/>
        </w:object>
      </w:r>
    </w:p>
    <w:p>
      <w:pPr>
        <w:pStyle w:val="Normal"/>
        <w:jc w:val="center"/>
        <w:rPr>
          <w:sz w:val="16"/>
          <w:szCs w:val="16"/>
        </w:rPr>
      </w:pPr>
      <w:r>
        <w:rPr>
          <w:sz w:val="16"/>
          <w:szCs w:val="16"/>
        </w:rPr>
      </w:r>
    </w:p>
    <w:p>
      <w:pPr>
        <w:pStyle w:val="1"/>
        <w:numPr>
          <w:ilvl w:val="0"/>
          <w:numId w:val="2"/>
        </w:numPr>
        <w:rPr>
          <w:sz w:val="28"/>
          <w:szCs w:val="28"/>
        </w:rPr>
      </w:pPr>
      <w:r>
        <w:rPr>
          <w:sz w:val="28"/>
          <w:szCs w:val="28"/>
        </w:rPr>
        <w:t>ЛУЦЬКА  МІСЬКА  РАДА</w:t>
      </w:r>
    </w:p>
    <w:p>
      <w:pPr>
        <w:pStyle w:val="Normal"/>
        <w:rPr>
          <w:sz w:val="10"/>
          <w:szCs w:val="10"/>
        </w:rPr>
      </w:pPr>
      <w:r>
        <w:rPr>
          <w:sz w:val="10"/>
          <w:szCs w:val="10"/>
        </w:rPr>
      </w:r>
    </w:p>
    <w:p>
      <w:pPr>
        <w:pStyle w:val="1"/>
        <w:numPr>
          <w:ilvl w:val="0"/>
          <w:numId w:val="2"/>
        </w:numPr>
        <w:rPr/>
      </w:pPr>
      <w:r>
        <w:rPr>
          <w:sz w:val="28"/>
          <w:szCs w:val="28"/>
        </w:rPr>
        <w:t>ВИКОНАВЧИЙ</w:t>
      </w:r>
      <w:r>
        <w:rPr>
          <w:sz w:val="28"/>
          <w:szCs w:val="28"/>
          <w:lang w:val="ru-RU"/>
        </w:rPr>
        <w:t xml:space="preserve"> </w:t>
      </w:r>
      <w:r>
        <w:rPr>
          <w:sz w:val="28"/>
          <w:szCs w:val="28"/>
        </w:rPr>
        <w:t>КОМІТЕТ</w:t>
      </w:r>
    </w:p>
    <w:p>
      <w:pPr>
        <w:pStyle w:val="Normal"/>
        <w:jc w:val="center"/>
        <w:rPr>
          <w:b/>
          <w:b/>
          <w:bCs w:val="false"/>
          <w:sz w:val="20"/>
          <w:szCs w:val="20"/>
        </w:rPr>
      </w:pPr>
      <w:r>
        <w:rPr>
          <w:b/>
          <w:bCs w:val="false"/>
          <w:sz w:val="20"/>
          <w:szCs w:val="20"/>
        </w:rPr>
      </w:r>
    </w:p>
    <w:p>
      <w:pPr>
        <w:pStyle w:val="2"/>
        <w:numPr>
          <w:ilvl w:val="1"/>
          <w:numId w:val="2"/>
        </w:numPr>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Cs w:val="false"/>
          <w:i/>
          <w:i/>
          <w:sz w:val="40"/>
          <w:szCs w:val="40"/>
        </w:rPr>
      </w:pPr>
      <w:r>
        <w:rPr>
          <w:bCs w:val="false"/>
          <w:i/>
          <w:sz w:val="40"/>
          <w:szCs w:val="40"/>
        </w:rPr>
      </w:r>
    </w:p>
    <w:p>
      <w:pPr>
        <w:pStyle w:val="Normal"/>
        <w:tabs>
          <w:tab w:val="clear" w:pos="708"/>
          <w:tab w:val="left" w:pos="4687" w:leader="none"/>
        </w:tabs>
        <w:spacing w:lineRule="auto" w:line="360"/>
        <w:jc w:val="both"/>
        <w:rPr/>
      </w:pPr>
      <w:r>
        <w:rPr>
          <w:sz w:val="24"/>
        </w:rPr>
        <w:t>_________________                                      Луцьк                                      № _____________</w:t>
      </w:r>
      <w:r>
        <w:rPr>
          <w:u w:val="single"/>
        </w:rPr>
        <w:t xml:space="preserve"> </w:t>
      </w:r>
    </w:p>
    <w:p>
      <w:pPr>
        <w:pStyle w:val="Normal"/>
        <w:spacing w:lineRule="auto" w:line="360"/>
        <w:rPr>
          <w:szCs w:val="28"/>
          <w:u w:val="single"/>
        </w:rPr>
      </w:pPr>
      <w:r>
        <w:rPr>
          <w:szCs w:val="28"/>
          <w:u w:val="single"/>
        </w:rPr>
      </w:r>
    </w:p>
    <w:p>
      <w:pPr>
        <w:pStyle w:val="Normal"/>
        <w:ind w:right="4676" w:hanging="0"/>
        <w:jc w:val="both"/>
        <w:rPr/>
      </w:pPr>
      <w:r>
        <w:rPr>
          <w:szCs w:val="28"/>
        </w:rPr>
        <w:t xml:space="preserve">Про встановлення тарифу на послугу з </w:t>
      </w:r>
      <w:r>
        <w:rPr>
          <w:szCs w:val="28"/>
        </w:rPr>
        <w:t>користування</w:t>
      </w:r>
      <w:r>
        <w:rPr>
          <w:szCs w:val="28"/>
        </w:rPr>
        <w:t xml:space="preserve"> спеціально обладнан</w:t>
      </w:r>
      <w:r>
        <w:rPr>
          <w:szCs w:val="28"/>
        </w:rPr>
        <w:t>им</w:t>
      </w:r>
      <w:r>
        <w:rPr>
          <w:szCs w:val="28"/>
        </w:rPr>
        <w:t xml:space="preserve"> майданчик</w:t>
      </w:r>
      <w:r>
        <w:rPr>
          <w:szCs w:val="28"/>
        </w:rPr>
        <w:t>ом</w:t>
      </w:r>
      <w:r>
        <w:rPr>
          <w:szCs w:val="28"/>
        </w:rPr>
        <w:t xml:space="preserve"> для </w:t>
      </w:r>
      <w:r>
        <w:rPr>
          <w:szCs w:val="28"/>
        </w:rPr>
        <w:t xml:space="preserve">платного </w:t>
      </w:r>
      <w:r>
        <w:rPr>
          <w:szCs w:val="28"/>
        </w:rPr>
        <w:t xml:space="preserve">паркування </w:t>
      </w:r>
      <w:r>
        <w:rPr>
          <w:szCs w:val="28"/>
        </w:rPr>
        <w:t xml:space="preserve">транспортних засобів </w:t>
      </w:r>
      <w:r>
        <w:rPr>
          <w:szCs w:val="28"/>
        </w:rPr>
        <w:t>на вулиці Глушець, 1</w:t>
      </w:r>
    </w:p>
    <w:p>
      <w:pPr>
        <w:pStyle w:val="Normal"/>
        <w:rPr>
          <w:szCs w:val="28"/>
        </w:rPr>
      </w:pPr>
      <w:r>
        <w:rPr>
          <w:szCs w:val="28"/>
        </w:rPr>
      </w:r>
    </w:p>
    <w:p>
      <w:pPr>
        <w:pStyle w:val="Normal"/>
        <w:rPr>
          <w:szCs w:val="28"/>
        </w:rPr>
      </w:pPr>
      <w:r>
        <w:rPr>
          <w:szCs w:val="28"/>
        </w:rPr>
      </w:r>
    </w:p>
    <w:p>
      <w:pPr>
        <w:pStyle w:val="Normal"/>
        <w:numPr>
          <w:ilvl w:val="1"/>
          <w:numId w:val="2"/>
        </w:numPr>
        <w:ind w:firstLine="680"/>
        <w:jc w:val="both"/>
        <w:rPr/>
      </w:pPr>
      <w:r>
        <w:rPr/>
        <w:t>Керуючись ст. 28 Закону України «Про місцеве самоврядування в Україні», постановами Кабінету Міністрів України від 03.12.2009 № 1342 «Про затвердження Правил паркування транспортних засобів» та від 02.03.2010 № 258 «Про затвердження Порядку формування тарифів на послуги з користування майданчиками для платного паркування транспортних засобів», рішенням міської ради від 30.07.2021 № 15/10 «Про надання комунальному підприємству “АвтоПаркСервіс” в постійне користування земельної ділянки для обслуговування ринку “Центральний” на вул. Глушець, 1 у м. Луцьку», враховуючи звернення комунального підприємства «АвтоПаркСервіс», погодження Західного міжобласного територіального відділення Антимонопольного комітету України та рекомендації комісії з питань ціноутворення та тарифної політики, виконавчий комітет міської ради</w:t>
      </w:r>
    </w:p>
    <w:p>
      <w:pPr>
        <w:pStyle w:val="Normal"/>
        <w:jc w:val="both"/>
        <w:rPr>
          <w:szCs w:val="28"/>
        </w:rPr>
      </w:pPr>
      <w:r>
        <w:rPr>
          <w:szCs w:val="28"/>
        </w:rPr>
      </w:r>
    </w:p>
    <w:p>
      <w:pPr>
        <w:pStyle w:val="Normal"/>
        <w:jc w:val="both"/>
        <w:rPr>
          <w:szCs w:val="28"/>
        </w:rPr>
      </w:pPr>
      <w:r>
        <w:rPr>
          <w:szCs w:val="28"/>
        </w:rPr>
        <w:t>ВИРІШИВ:</w:t>
      </w:r>
    </w:p>
    <w:p>
      <w:pPr>
        <w:pStyle w:val="Normal"/>
        <w:jc w:val="both"/>
        <w:rPr>
          <w:szCs w:val="28"/>
        </w:rPr>
      </w:pPr>
      <w:r>
        <w:rPr>
          <w:szCs w:val="28"/>
        </w:rPr>
      </w:r>
    </w:p>
    <w:p>
      <w:pPr>
        <w:pStyle w:val="Normal"/>
        <w:ind w:firstLine="680"/>
        <w:jc w:val="both"/>
        <w:rPr/>
      </w:pPr>
      <w:r>
        <w:rPr>
          <w:szCs w:val="28"/>
        </w:rPr>
        <w:t xml:space="preserve">1. Встановити на період з 01.02.2022 по 01.02.2023 тариф на на послугу з </w:t>
      </w:r>
      <w:r>
        <w:rPr>
          <w:szCs w:val="28"/>
        </w:rPr>
        <w:t>користування</w:t>
      </w:r>
      <w:r>
        <w:rPr>
          <w:szCs w:val="28"/>
        </w:rPr>
        <w:t xml:space="preserve"> спеціально обладнан</w:t>
      </w:r>
      <w:r>
        <w:rPr>
          <w:szCs w:val="28"/>
        </w:rPr>
        <w:t>им</w:t>
      </w:r>
      <w:r>
        <w:rPr>
          <w:szCs w:val="28"/>
        </w:rPr>
        <w:t xml:space="preserve"> майданчик</w:t>
      </w:r>
      <w:r>
        <w:rPr>
          <w:szCs w:val="28"/>
        </w:rPr>
        <w:t>ом</w:t>
      </w:r>
      <w:r>
        <w:rPr>
          <w:szCs w:val="28"/>
        </w:rPr>
        <w:t xml:space="preserve"> для </w:t>
      </w:r>
      <w:r>
        <w:rPr>
          <w:szCs w:val="28"/>
        </w:rPr>
        <w:t xml:space="preserve">платного </w:t>
      </w:r>
      <w:r>
        <w:rPr>
          <w:szCs w:val="28"/>
        </w:rPr>
        <w:t xml:space="preserve">паркування </w:t>
      </w:r>
      <w:r>
        <w:rPr>
          <w:szCs w:val="28"/>
        </w:rPr>
        <w:t xml:space="preserve">транспортних засобів </w:t>
      </w:r>
      <w:r>
        <w:rPr>
          <w:szCs w:val="28"/>
        </w:rPr>
        <w:t xml:space="preserve">на вулиці Глушець, 1 в розмірі 10,00 грн (з ПДВ) за одну годину паркування, що надається комунальним підприємством «АвтоПаркСервіс». </w:t>
      </w:r>
    </w:p>
    <w:p>
      <w:pPr>
        <w:pStyle w:val="Normal"/>
        <w:ind w:firstLine="680"/>
        <w:jc w:val="both"/>
        <w:rPr/>
      </w:pPr>
      <w:r>
        <w:rPr>
          <w:szCs w:val="28"/>
        </w:rPr>
        <w:t xml:space="preserve">2. Встановити режим роботи спеціально обладнаного майданчика для паркування </w:t>
      </w:r>
      <w:r>
        <w:rPr>
          <w:szCs w:val="28"/>
        </w:rPr>
        <w:t xml:space="preserve">транспортних засобів </w:t>
      </w:r>
      <w:r>
        <w:rPr>
          <w:szCs w:val="28"/>
        </w:rPr>
        <w:t>на вулиці Глушець, 1 з 07.00 до 16.00 щодня, крім понеділка.</w:t>
      </w:r>
    </w:p>
    <w:p>
      <w:pPr>
        <w:pStyle w:val="Normal"/>
        <w:ind w:firstLine="720"/>
        <w:jc w:val="both"/>
        <w:rPr/>
      </w:pPr>
      <w:r>
        <w:rPr>
          <w:color w:val="000000"/>
          <w:szCs w:val="28"/>
        </w:rPr>
        <w:t xml:space="preserve">3. Доручити </w:t>
      </w:r>
      <w:r>
        <w:rPr>
          <w:bCs w:val="false"/>
          <w:color w:val="000000"/>
          <w:szCs w:val="28"/>
        </w:rPr>
        <w:t>комунальному</w:t>
      </w:r>
      <w:r>
        <w:rPr/>
        <w:t xml:space="preserve"> підприємству </w:t>
      </w:r>
      <w:r>
        <w:rPr>
          <w:szCs w:val="28"/>
        </w:rPr>
        <w:t>«АвтоПаркСервіс»:</w:t>
      </w:r>
      <w:r>
        <w:rPr>
          <w:color w:val="000000"/>
          <w:szCs w:val="28"/>
        </w:rPr>
        <w:t xml:space="preserve"> </w:t>
      </w:r>
    </w:p>
    <w:p>
      <w:pPr>
        <w:pStyle w:val="Normal"/>
        <w:ind w:firstLine="720"/>
        <w:jc w:val="both"/>
        <w:rPr/>
      </w:pPr>
      <w:r>
        <w:rPr>
          <w:color w:val="000000"/>
          <w:szCs w:val="28"/>
        </w:rPr>
        <w:t>- </w:t>
      </w:r>
      <w:r>
        <w:rPr>
          <w:bCs w:val="false"/>
          <w:color w:val="000000"/>
          <w:szCs w:val="28"/>
        </w:rPr>
        <w:t xml:space="preserve">здійснювати коригування тарифу </w:t>
      </w:r>
      <w:r>
        <w:rPr>
          <w:color w:val="000000"/>
          <w:szCs w:val="28"/>
        </w:rPr>
        <w:t>у разі зміни протягом строку дії тарифу ставок податків та зборів (обов'язкових платежів), що сплачуються до державного бюджету, рівень заробітної плати (відповідно до законодавства, генеральної та галузевої угод), ціни (тарифи) на паливно-енергетичні та матеріальні ресурси, вартість послуг інших спеціалізованих підприємств, необхідних для забезпечення утримання майданчиків в належному стані,</w:t>
      </w:r>
      <w:r>
        <w:rPr>
          <w:color w:val="333333"/>
          <w:szCs w:val="28"/>
        </w:rPr>
        <w:t xml:space="preserve"> </w:t>
      </w:r>
      <w:r>
        <w:rPr>
          <w:color w:val="000000"/>
          <w:szCs w:val="28"/>
        </w:rPr>
        <w:t>відповідно до постанови Кабінету Міністрів України від 02.03.2010 № 258 «Про затвердження Порядку формування тарифів на послуги з користування майданчиками для платного паркування транспортних засобів»;</w:t>
      </w:r>
    </w:p>
    <w:p>
      <w:pPr>
        <w:pStyle w:val="Normal"/>
        <w:ind w:firstLine="720"/>
        <w:jc w:val="both"/>
        <w:rPr/>
      </w:pPr>
      <w:r>
        <w:rPr>
          <w:color w:val="000000"/>
          <w:szCs w:val="28"/>
        </w:rPr>
        <w:t xml:space="preserve">- забезпечити оплату послуг з </w:t>
      </w:r>
      <w:r>
        <w:rPr>
          <w:color w:val="000000"/>
          <w:szCs w:val="28"/>
        </w:rPr>
        <w:t>користування</w:t>
      </w:r>
      <w:r>
        <w:rPr>
          <w:color w:val="000000"/>
          <w:szCs w:val="28"/>
        </w:rPr>
        <w:t xml:space="preserve"> спеціально обладнан</w:t>
      </w:r>
      <w:r>
        <w:rPr>
          <w:color w:val="000000"/>
          <w:szCs w:val="28"/>
        </w:rPr>
        <w:t>им</w:t>
      </w:r>
      <w:r>
        <w:rPr>
          <w:color w:val="000000"/>
          <w:szCs w:val="28"/>
        </w:rPr>
        <w:t xml:space="preserve"> майданчик</w:t>
      </w:r>
      <w:r>
        <w:rPr>
          <w:color w:val="000000"/>
          <w:szCs w:val="28"/>
        </w:rPr>
        <w:t>ом</w:t>
      </w:r>
      <w:r>
        <w:rPr>
          <w:color w:val="000000"/>
          <w:szCs w:val="28"/>
        </w:rPr>
        <w:t xml:space="preserve"> для </w:t>
      </w:r>
      <w:r>
        <w:rPr>
          <w:color w:val="000000"/>
          <w:szCs w:val="28"/>
        </w:rPr>
        <w:t xml:space="preserve">платного </w:t>
      </w:r>
      <w:r>
        <w:rPr>
          <w:color w:val="000000"/>
          <w:szCs w:val="28"/>
        </w:rPr>
        <w:t xml:space="preserve">паркування </w:t>
      </w:r>
      <w:r>
        <w:rPr>
          <w:color w:val="000000"/>
          <w:szCs w:val="28"/>
        </w:rPr>
        <w:t xml:space="preserve">транспортних засобів </w:t>
      </w:r>
      <w:r>
        <w:rPr>
          <w:color w:val="000000"/>
          <w:szCs w:val="28"/>
        </w:rPr>
        <w:t>усіма доступними засобами (через паркомат, платіжний термінал, мобільний додаток тощо).</w:t>
      </w:r>
    </w:p>
    <w:p>
      <w:pPr>
        <w:pStyle w:val="Normal"/>
        <w:ind w:firstLine="720"/>
        <w:jc w:val="both"/>
        <w:rPr/>
      </w:pPr>
      <w:r>
        <w:rPr>
          <w:color w:val="000000"/>
          <w:szCs w:val="28"/>
        </w:rPr>
        <w:t xml:space="preserve">4. Доручити департаменту муніципальної варти здійснювати контроль за оплатою послуг з </w:t>
      </w:r>
      <w:r>
        <w:rPr>
          <w:color w:val="000000"/>
          <w:szCs w:val="28"/>
        </w:rPr>
        <w:t>користування</w:t>
      </w:r>
      <w:r>
        <w:rPr>
          <w:color w:val="000000"/>
          <w:szCs w:val="28"/>
        </w:rPr>
        <w:t xml:space="preserve"> спеціально обладнан</w:t>
      </w:r>
      <w:r>
        <w:rPr>
          <w:color w:val="000000"/>
          <w:szCs w:val="28"/>
        </w:rPr>
        <w:t>им</w:t>
      </w:r>
      <w:r>
        <w:rPr>
          <w:color w:val="000000"/>
          <w:szCs w:val="28"/>
        </w:rPr>
        <w:t xml:space="preserve"> майданчик</w:t>
      </w:r>
      <w:r>
        <w:rPr>
          <w:color w:val="000000"/>
          <w:szCs w:val="28"/>
        </w:rPr>
        <w:t>ом</w:t>
      </w:r>
      <w:r>
        <w:rPr>
          <w:color w:val="000000"/>
          <w:szCs w:val="28"/>
        </w:rPr>
        <w:t xml:space="preserve"> для </w:t>
      </w:r>
      <w:r>
        <w:rPr>
          <w:color w:val="000000"/>
          <w:szCs w:val="28"/>
        </w:rPr>
        <w:t xml:space="preserve">платного </w:t>
      </w:r>
      <w:r>
        <w:rPr>
          <w:color w:val="000000"/>
          <w:szCs w:val="28"/>
        </w:rPr>
        <w:t xml:space="preserve">паркування </w:t>
      </w:r>
      <w:r>
        <w:rPr>
          <w:color w:val="000000"/>
          <w:szCs w:val="28"/>
        </w:rPr>
        <w:t>транспортних засобів</w:t>
      </w:r>
      <w:r>
        <w:rPr>
          <w:color w:val="000000"/>
          <w:szCs w:val="28"/>
        </w:rPr>
        <w:t>.</w:t>
      </w:r>
    </w:p>
    <w:p>
      <w:pPr>
        <w:pStyle w:val="Normal"/>
        <w:ind w:firstLine="680"/>
        <w:jc w:val="both"/>
        <w:rPr/>
      </w:pPr>
      <w:r>
        <w:rPr>
          <w:szCs w:val="28"/>
        </w:rPr>
        <w:t>5. Доручити управлінню інформаційної роботи довести рішення до відома громадськості через засоби масової інформації.</w:t>
      </w:r>
    </w:p>
    <w:p>
      <w:pPr>
        <w:pStyle w:val="Normal"/>
        <w:ind w:firstLine="680"/>
        <w:jc w:val="both"/>
        <w:rPr/>
      </w:pPr>
      <w:r>
        <w:rPr>
          <w:szCs w:val="28"/>
        </w:rPr>
        <w:t xml:space="preserve">6. Контроль за виконанням рішення покласти на заступника міського голови </w:t>
      </w:r>
      <w:r>
        <w:rPr>
          <w:bCs w:val="false"/>
          <w:szCs w:val="28"/>
        </w:rPr>
        <w:t>Чебелюк І.І.</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t>Міський голова</w:t>
        <w:tab/>
        <w:tab/>
        <w:tab/>
        <w:tab/>
        <w:t xml:space="preserve">          </w:t>
        <w:tab/>
        <w:t xml:space="preserve">                     </w:t>
        <w:tab/>
        <w:t>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t>Заступник міського голови,</w:t>
      </w:r>
    </w:p>
    <w:p>
      <w:pPr>
        <w:pStyle w:val="Normal"/>
        <w:jc w:val="both"/>
        <w:rPr>
          <w:szCs w:val="28"/>
        </w:rPr>
      </w:pPr>
      <w:r>
        <w:rPr>
          <w:szCs w:val="28"/>
        </w:rPr>
        <w:t>керуючий справами виконкому</w:t>
        <w:tab/>
        <w:tab/>
        <w:tab/>
        <w:t xml:space="preserve">           </w:t>
        <w:tab/>
        <w:t>Юрій ВЕРБИЧ</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Смаль 777 955</w:t>
      </w:r>
    </w:p>
    <w:p>
      <w:pPr>
        <w:pStyle w:val="Normal"/>
        <w:rPr/>
      </w:pPr>
      <w:r>
        <w:rPr/>
      </w:r>
      <w:bookmarkStart w:id="0" w:name="_GoBack"/>
      <w:bookmarkStart w:id="1" w:name="_GoBack"/>
      <w:bookmarkEnd w:id="1"/>
    </w:p>
    <w:sectPr>
      <w:headerReference w:type="default" r:id="rId4"/>
      <w:type w:val="nextPage"/>
      <w:pgSz w:w="11906" w:h="16838"/>
      <w:pgMar w:left="1985" w:right="567" w:gutter="0" w:header="567" w:top="624" w:footer="0" w:bottom="1418"/>
      <w:pgNumType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83924812"/>
    </w:sdtPr>
    <w:sdtContent>
      <w:p>
        <w:pPr>
          <w:pStyle w:val="Style24"/>
          <w:jc w:val="center"/>
          <w:rPr/>
        </w:pPr>
        <w:r>
          <w:rPr/>
          <w:fldChar w:fldCharType="begin"/>
        </w:r>
        <w:r>
          <w:rPr/>
          <w:instrText> PAGE </w:instrText>
        </w:r>
        <w:r>
          <w:rPr/>
          <w:fldChar w:fldCharType="separate"/>
        </w:r>
        <w:r>
          <w:rPr/>
          <w:t>2</w:t>
        </w:r>
        <w:r>
          <w:rPr/>
          <w:fldChar w:fldCharType="end"/>
        </w:r>
      </w:p>
    </w:sdtContent>
  </w:sdt>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bidi="ar-SA" w:val="uk-UA" w:eastAsia="zh-CN"/>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paragraph" w:styleId="3">
    <w:name w:val="Heading 3"/>
    <w:basedOn w:val="Normal"/>
    <w:next w:val="Normal"/>
    <w:qFormat/>
    <w:pPr>
      <w:keepNext w:val="true"/>
      <w:numPr>
        <w:ilvl w:val="2"/>
        <w:numId w:val="1"/>
      </w:numPr>
      <w:spacing w:before="240" w:after="60"/>
      <w:outlineLvl w:val="2"/>
    </w:pPr>
    <w:rPr>
      <w:rFonts w:ascii="Arial" w:hAnsi="Arial" w:cs="Arial"/>
      <w:b/>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1" w:customStyle="1">
    <w:name w:val="Основной шрифт абзаца2"/>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rFonts w:ascii="Wingdings" w:hAnsi="Wingdings" w:cs="Wingdings"/>
    </w:rPr>
  </w:style>
  <w:style w:type="character" w:styleId="WW8Num5z1" w:customStyle="1">
    <w:name w:val="WW8Num5z1"/>
    <w:qFormat/>
    <w:rPr>
      <w:rFonts w:ascii="Courier New" w:hAnsi="Courier New" w:cs="Courier New"/>
    </w:rPr>
  </w:style>
  <w:style w:type="character" w:styleId="WW8Num5z3" w:customStyle="1">
    <w:name w:val="WW8Num5z3"/>
    <w:qFormat/>
    <w:rPr>
      <w:rFonts w:ascii="Symbol" w:hAnsi="Symbol" w:cs="Symbol"/>
    </w:rPr>
  </w:style>
  <w:style w:type="character" w:styleId="WW8Num6z0" w:customStyle="1">
    <w:name w:val="WW8Num6z0"/>
    <w:qFormat/>
    <w:rPr>
      <w:rFonts w:ascii="Times New Roman" w:hAnsi="Times New Roman" w:eastAsia="Times New Roman" w:cs="Times New Roman"/>
    </w:rPr>
  </w:style>
  <w:style w:type="character" w:styleId="WW8Num6z1" w:customStyle="1">
    <w:name w:val="WW8Num6z1"/>
    <w:qFormat/>
    <w:rPr>
      <w:rFonts w:ascii="Courier New" w:hAnsi="Courier New" w:cs="Courier New"/>
    </w:rPr>
  </w:style>
  <w:style w:type="character" w:styleId="WW8Num6z2" w:customStyle="1">
    <w:name w:val="WW8Num6z2"/>
    <w:qFormat/>
    <w:rPr>
      <w:rFonts w:ascii="Wingdings" w:hAnsi="Wingdings" w:cs="Wingdings"/>
    </w:rPr>
  </w:style>
  <w:style w:type="character" w:styleId="WW8Num6z3" w:customStyle="1">
    <w:name w:val="WW8Num6z3"/>
    <w:qFormat/>
    <w:rPr>
      <w:rFonts w:ascii="Symbol" w:hAnsi="Symbol" w:cs="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8z0" w:customStyle="1">
    <w:name w:val="WW8Num8z0"/>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11" w:customStyle="1">
    <w:name w:val="Основной шрифт абзаца1"/>
    <w:qFormat/>
    <w:rPr/>
  </w:style>
  <w:style w:type="character" w:styleId="Style11" w:customStyle="1">
    <w:name w:val="Номер сторінки"/>
    <w:basedOn w:val="11"/>
    <w:qFormat/>
    <w:rPr/>
  </w:style>
  <w:style w:type="character" w:styleId="Style12" w:customStyle="1">
    <w:name w:val="Виділення жирним"/>
    <w:basedOn w:val="11"/>
    <w:qFormat/>
    <w:rPr>
      <w:b/>
      <w:bCs/>
    </w:rPr>
  </w:style>
  <w:style w:type="character" w:styleId="Style13" w:customStyle="1">
    <w:name w:val="Основний текст_"/>
    <w:basedOn w:val="11"/>
    <w:qFormat/>
    <w:rPr>
      <w:sz w:val="21"/>
      <w:szCs w:val="21"/>
      <w:lang w:bidi="ar-SA"/>
    </w:rPr>
  </w:style>
  <w:style w:type="character" w:styleId="Rvts0" w:customStyle="1">
    <w:name w:val="rvts0"/>
    <w:basedOn w:val="11"/>
    <w:qFormat/>
    <w:rPr>
      <w:rFonts w:cs="Times New Roman"/>
    </w:rPr>
  </w:style>
  <w:style w:type="character" w:styleId="HTML" w:customStyle="1">
    <w:name w:val="Стандартный HTML Знак"/>
    <w:basedOn w:val="11"/>
    <w:qFormat/>
    <w:rPr>
      <w:rFonts w:ascii="Courier New" w:hAnsi="Courier New" w:eastAsia="Calibri" w:cs="Courier New"/>
      <w:lang w:val="ru-RU" w:bidi="ar-SA"/>
    </w:rPr>
  </w:style>
  <w:style w:type="character" w:styleId="Rvts23" w:customStyle="1">
    <w:name w:val="rvts23"/>
    <w:basedOn w:val="11"/>
    <w:qFormat/>
    <w:rPr>
      <w:rFonts w:cs="Times New Roman"/>
    </w:rPr>
  </w:style>
  <w:style w:type="character" w:styleId="Appleconvertedspace" w:customStyle="1">
    <w:name w:val="apple-converted-space"/>
    <w:basedOn w:val="11"/>
    <w:qFormat/>
    <w:rPr/>
  </w:style>
  <w:style w:type="character" w:styleId="FontStyle13" w:customStyle="1">
    <w:name w:val="Font Style13"/>
    <w:qFormat/>
    <w:rPr>
      <w:rFonts w:ascii="Times New Roman" w:hAnsi="Times New Roman" w:cs="Times New Roman"/>
      <w:sz w:val="26"/>
      <w:szCs w:val="26"/>
    </w:rPr>
  </w:style>
  <w:style w:type="character" w:styleId="Rvts15" w:customStyle="1">
    <w:name w:val="rvts15"/>
    <w:basedOn w:val="11"/>
    <w:qFormat/>
    <w:rPr/>
  </w:style>
  <w:style w:type="character" w:styleId="Style14" w:customStyle="1">
    <w:name w:val="Нижний колонтитул Знак"/>
    <w:basedOn w:val="11"/>
    <w:qFormat/>
    <w:rPr>
      <w:bCs/>
      <w:sz w:val="28"/>
      <w:szCs w:val="24"/>
      <w:lang w:val="uk-UA"/>
    </w:rPr>
  </w:style>
  <w:style w:type="character" w:styleId="Style15" w:customStyle="1">
    <w:name w:val="Верхний колонтитул Знак"/>
    <w:basedOn w:val="DefaultParagraphFont"/>
    <w:link w:val="af"/>
    <w:uiPriority w:val="99"/>
    <w:qFormat/>
    <w:rsid w:val="00e65b1f"/>
    <w:rPr>
      <w:rFonts w:ascii="Times New Roman" w:hAnsi="Times New Roman" w:eastAsia="Times New Roman" w:cs="Times New Roman"/>
      <w:bCs/>
      <w:sz w:val="28"/>
      <w:lang w:bidi="ar-SA"/>
    </w:rPr>
  </w:style>
  <w:style w:type="paragraph" w:styleId="Style16" w:customStyle="1">
    <w:name w:val="Заголовок"/>
    <w:basedOn w:val="Normal"/>
    <w:next w:val="Style17"/>
    <w:qFormat/>
    <w:pPr>
      <w:keepNext w:val="true"/>
      <w:spacing w:before="240" w:after="120"/>
    </w:pPr>
    <w:rPr>
      <w:rFonts w:ascii="Liberation Sans;Arial" w:hAnsi="Liberation Sans;Arial" w:eastAsia="Microsoft YaHei" w:cs="Arial"/>
      <w:szCs w:val="28"/>
    </w:rPr>
  </w:style>
  <w:style w:type="paragraph" w:styleId="Style17">
    <w:name w:val="Body Text"/>
    <w:basedOn w:val="Normal"/>
    <w:pPr>
      <w:shd w:val="clear" w:color="auto" w:fill="FFFFFF"/>
      <w:spacing w:lineRule="exact" w:line="276"/>
      <w:jc w:val="both"/>
    </w:pPr>
    <w:rPr>
      <w:bCs w:val="false"/>
      <w:sz w:val="21"/>
      <w:szCs w:val="21"/>
      <w:lang w:eastAsia="uk-UA"/>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Caption">
    <w:name w:val="caption"/>
    <w:basedOn w:val="Normal"/>
    <w:qFormat/>
    <w:pPr>
      <w:suppressLineNumbers/>
      <w:spacing w:before="120" w:after="120"/>
    </w:pPr>
    <w:rPr>
      <w:rFonts w:cs="Arial"/>
      <w:i/>
      <w:iCs/>
      <w:sz w:val="24"/>
    </w:rPr>
  </w:style>
  <w:style w:type="paragraph" w:styleId="Indexheading">
    <w:name w:val="index heading"/>
    <w:basedOn w:val="Normal"/>
    <w:qFormat/>
    <w:pPr>
      <w:suppressLineNumbers/>
    </w:pPr>
    <w:rPr>
      <w:rFonts w:cs="Arial"/>
    </w:rPr>
  </w:style>
  <w:style w:type="paragraph" w:styleId="Style21" w:customStyle="1">
    <w:name w:val="Покажчик"/>
    <w:basedOn w:val="Normal"/>
    <w:qFormat/>
    <w:pPr>
      <w:suppressLineNumbers/>
    </w:pPr>
    <w:rPr>
      <w:rFonts w:cs="Arial"/>
    </w:rPr>
  </w:style>
  <w:style w:type="paragraph" w:styleId="12" w:customStyle="1">
    <w:name w:val="Название объекта1"/>
    <w:basedOn w:val="Normal"/>
    <w:qFormat/>
    <w:pPr>
      <w:suppressLineNumbers/>
      <w:spacing w:before="120" w:after="120"/>
    </w:pPr>
    <w:rPr>
      <w:rFonts w:cs="Arial"/>
      <w:i/>
      <w:iCs/>
      <w:sz w:val="24"/>
    </w:rPr>
  </w:style>
  <w:style w:type="paragraph" w:styleId="Style22"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3" w:customStyle="1">
    <w:name w:val="Колонтитул"/>
    <w:basedOn w:val="Normal"/>
    <w:qFormat/>
    <w:pPr/>
    <w:rPr/>
  </w:style>
  <w:style w:type="paragraph" w:styleId="Style24">
    <w:name w:val="Header"/>
    <w:basedOn w:val="Normal"/>
    <w:link w:val="af0"/>
    <w:uiPriority w:val="99"/>
    <w:pPr>
      <w:tabs>
        <w:tab w:val="clear" w:pos="708"/>
        <w:tab w:val="center" w:pos="4677" w:leader="none"/>
        <w:tab w:val="right" w:pos="9355" w:leader="none"/>
      </w:tabs>
    </w:pPr>
    <w:rPr/>
  </w:style>
  <w:style w:type="paragraph" w:styleId="Style25">
    <w:name w:val="Body Text Indent"/>
    <w:basedOn w:val="Normal"/>
    <w:pPr>
      <w:ind w:firstLine="545"/>
      <w:jc w:val="both"/>
    </w:pPr>
    <w:rPr>
      <w:bCs w:val="false"/>
    </w:rPr>
  </w:style>
  <w:style w:type="paragraph" w:styleId="NormalWeb">
    <w:name w:val="Normal (Web)"/>
    <w:basedOn w:val="Normal"/>
    <w:qFormat/>
    <w:pPr>
      <w:spacing w:before="280" w:after="280"/>
    </w:pPr>
    <w:rPr>
      <w:bCs w:val="false"/>
      <w:sz w:val="24"/>
      <w:lang w:val="ru-RU"/>
    </w:rPr>
  </w:style>
  <w:style w:type="paragraph" w:styleId="Style26" w:customStyle="1">
    <w:name w:val="Знак Знак Знак Знак Знак Знак"/>
    <w:basedOn w:val="Normal"/>
    <w:qFormat/>
    <w:pPr/>
    <w:rPr>
      <w:rFonts w:ascii="Verdana" w:hAnsi="Verdana" w:cs="Verdana"/>
      <w:bCs w:val="false"/>
      <w:sz w:val="20"/>
      <w:szCs w:val="20"/>
      <w:lang w:val="en-US"/>
    </w:rPr>
  </w:style>
  <w:style w:type="paragraph" w:styleId="ListParagraph">
    <w:name w:val="List Paragraph"/>
    <w:basedOn w:val="Normal"/>
    <w:qFormat/>
    <w:pPr>
      <w:spacing w:before="0" w:after="200"/>
      <w:ind w:left="720" w:hanging="0"/>
    </w:pPr>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Calibri" w:cs="Courier New"/>
      <w:bCs w:val="false"/>
      <w:sz w:val="20"/>
      <w:szCs w:val="20"/>
      <w:lang w:val="ru-RU"/>
    </w:rPr>
  </w:style>
  <w:style w:type="paragraph" w:styleId="Western" w:customStyle="1">
    <w:name w:val="western"/>
    <w:basedOn w:val="Normal"/>
    <w:qFormat/>
    <w:pPr>
      <w:spacing w:before="280" w:after="280"/>
    </w:pPr>
    <w:rPr>
      <w:rFonts w:eastAsia="Calibri"/>
      <w:bCs w:val="false"/>
      <w:sz w:val="24"/>
      <w:lang w:val="ru-RU"/>
    </w:rPr>
  </w:style>
  <w:style w:type="paragraph" w:styleId="CharChar" w:customStyle="1">
    <w:name w:val="Char Знак Знак Char Знак Знак Знак Знак Знак Знак Знак Знак Знак Знак Знак Знак Знак Знак Знак"/>
    <w:basedOn w:val="Normal"/>
    <w:qFormat/>
    <w:pPr/>
    <w:rPr>
      <w:rFonts w:ascii="Verdana" w:hAnsi="Verdana" w:cs="Verdana"/>
      <w:bCs w:val="false"/>
      <w:sz w:val="20"/>
      <w:szCs w:val="20"/>
      <w:lang w:val="en-US"/>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2"/>
      <w:szCs w:val="22"/>
      <w:lang w:val="ru-RU" w:bidi="ar-SA" w:eastAsia="zh-CN"/>
    </w:rPr>
  </w:style>
  <w:style w:type="paragraph" w:styleId="13" w:customStyle="1">
    <w:name w:val="Основной текст1"/>
    <w:basedOn w:val="Normal"/>
    <w:qFormat/>
    <w:pPr>
      <w:spacing w:before="0" w:after="120"/>
    </w:pPr>
    <w:rPr/>
  </w:style>
  <w:style w:type="paragraph" w:styleId="31" w:customStyle="1">
    <w:name w:val="Основной текст с отступом 31"/>
    <w:basedOn w:val="Normal"/>
    <w:qFormat/>
    <w:pPr>
      <w:ind w:left="436" w:hanging="436"/>
    </w:pPr>
    <w:rPr>
      <w:bCs w:val="false"/>
    </w:rPr>
  </w:style>
  <w:style w:type="paragraph" w:styleId="Style51" w:customStyle="1">
    <w:name w:val="Style5"/>
    <w:basedOn w:val="Normal"/>
    <w:qFormat/>
    <w:pPr>
      <w:widowControl w:val="false"/>
      <w:spacing w:lineRule="exact" w:line="322"/>
      <w:ind w:firstLine="629"/>
      <w:jc w:val="both"/>
    </w:pPr>
    <w:rPr>
      <w:bCs w:val="false"/>
      <w:sz w:val="24"/>
      <w:lang w:val="ru-RU"/>
    </w:rPr>
  </w:style>
  <w:style w:type="paragraph" w:styleId="Style27" w:customStyle="1">
    <w:name w:val="Знак Знак Знак Знак Знак Знак Знак Знак Знак Знак Знак Знак Знак Знак Знак Знак Знак Знак"/>
    <w:basedOn w:val="Normal"/>
    <w:qFormat/>
    <w:pPr/>
    <w:rPr>
      <w:rFonts w:ascii="Verdana" w:hAnsi="Verdana" w:eastAsia="MS Mincho;ＭＳ 明朝" w:cs="Verdana"/>
      <w:bCs w:val="false"/>
      <w:sz w:val="20"/>
      <w:szCs w:val="20"/>
      <w:lang w:val="en-US"/>
    </w:rPr>
  </w:style>
  <w:style w:type="paragraph" w:styleId="22" w:customStyle="1">
    <w:name w:val="Основной текст 22"/>
    <w:basedOn w:val="Normal"/>
    <w:qFormat/>
    <w:pPr>
      <w:jc w:val="both"/>
    </w:pPr>
    <w:rPr>
      <w:b/>
    </w:rPr>
  </w:style>
  <w:style w:type="paragraph" w:styleId="Style28">
    <w:name w:val="Footer"/>
    <w:basedOn w:val="Normal"/>
    <w:pPr>
      <w:tabs>
        <w:tab w:val="clear" w:pos="708"/>
        <w:tab w:val="center" w:pos="4819" w:leader="none"/>
        <w:tab w:val="right" w:pos="9639" w:leader="none"/>
      </w:tabs>
    </w:pPr>
    <w:rPr/>
  </w:style>
  <w:style w:type="paragraph" w:styleId="Style29" w:customStyle="1">
    <w:name w:val="Вміст рамки"/>
    <w:basedOn w:val="Normal"/>
    <w:qFormat/>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Application>LibreOffice/7.2.4.1$Windows_X86_64 LibreOffice_project/27d75539669ac387bb498e35313b970b7fe9c4f9</Application>
  <AppVersion>15.0000</AppVersion>
  <Pages>2</Pages>
  <Words>365</Words>
  <Characters>2555</Characters>
  <CharactersWithSpaces>3029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1995-11-21T17:41:00Z</dcterms:created>
  <dc:creator>nkhmel</dc:creator>
  <dc:description/>
  <dc:language>uk-UA</dc:language>
  <cp:lastModifiedBy/>
  <cp:lastPrinted>2021-11-12T09:09:00Z</cp:lastPrinted>
  <dcterms:modified xsi:type="dcterms:W3CDTF">2021-12-22T16:53:50Z</dcterms:modified>
  <cp:revision>29</cp:revision>
  <dc:subject/>
  <dc:title> </dc:title>
</cp:coreProperties>
</file>

<file path=docProps/custom.xml><?xml version="1.0" encoding="utf-8"?>
<Properties xmlns="http://schemas.openxmlformats.org/officeDocument/2006/custom-properties" xmlns:vt="http://schemas.openxmlformats.org/officeDocument/2006/docPropsVTypes"/>
</file>