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  <w:t>Пояснювальна записка</w:t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до проєкту рішення виконавчого комітету </w:t>
      </w:r>
    </w:p>
    <w:p>
      <w:pPr>
        <w:pStyle w:val="Normal"/>
        <w:jc w:val="center"/>
        <w:rPr/>
      </w:pPr>
      <w:r>
        <w:rPr>
          <w:bCs w:val="false"/>
          <w:sz w:val="28"/>
          <w:szCs w:val="28"/>
        </w:rPr>
        <w:t>«П</w:t>
      </w:r>
      <w:r>
        <w:rPr>
          <w:sz w:val="28"/>
          <w:szCs w:val="28"/>
        </w:rPr>
        <w:t xml:space="preserve">ро </w:t>
      </w:r>
      <w:r>
        <w:rPr>
          <w:sz w:val="28"/>
          <w:szCs w:val="28"/>
          <w:lang w:val="ru-RU"/>
        </w:rPr>
        <w:t>в</w:t>
      </w:r>
      <w:r>
        <w:rPr>
          <w:sz w:val="28"/>
          <w:szCs w:val="28"/>
        </w:rPr>
        <w:t>с</w:t>
      </w:r>
      <w:r>
        <w:rPr>
          <w:sz w:val="28"/>
          <w:szCs w:val="28"/>
          <w:lang w:val="ru-RU"/>
        </w:rPr>
        <w:t>тановлення тариф</w:t>
      </w:r>
      <w:r>
        <w:rPr>
          <w:rFonts w:eastAsia="Times New Roman" w:cs="Times New Roman"/>
          <w:sz w:val="28"/>
          <w:szCs w:val="28"/>
        </w:rPr>
        <w:t>у</w:t>
      </w:r>
      <w:r>
        <w:rPr>
          <w:sz w:val="28"/>
          <w:szCs w:val="28"/>
          <w:lang w:val="ru-RU"/>
        </w:rPr>
        <w:t xml:space="preserve"> на послуг</w:t>
      </w:r>
      <w:r>
        <w:rPr>
          <w:rFonts w:eastAsia="Times New Roman" w:cs="Times New Roman"/>
          <w:sz w:val="28"/>
          <w:szCs w:val="28"/>
        </w:rPr>
        <w:t>у з користування спеціально обладнаним майданчиком для платного паркування транспортних засобів на вулиці Глушець, 1»</w:t>
      </w:r>
    </w:p>
    <w:p>
      <w:pPr>
        <w:pStyle w:val="Normal"/>
        <w:ind w:left="-180" w:right="0" w:firstLine="888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680"/>
        <w:jc w:val="both"/>
        <w:rPr/>
      </w:pPr>
      <w:r>
        <w:rPr>
          <w:sz w:val="28"/>
          <w:szCs w:val="28"/>
        </w:rPr>
        <w:t xml:space="preserve">Рішенням міської ради від </w:t>
      </w:r>
      <w:r>
        <w:rPr>
          <w:rFonts w:eastAsia="Times New Roman" w:cs="Times New Roman"/>
          <w:bCs/>
          <w:color w:val="auto"/>
          <w:kern w:val="0"/>
          <w:sz w:val="28"/>
          <w:szCs w:val="24"/>
          <w:lang w:val="en-US" w:eastAsia="zh-CN" w:bidi="ar-SA"/>
        </w:rPr>
        <w:t>30</w:t>
      </w:r>
      <w:r>
        <w:rPr>
          <w:sz w:val="28"/>
          <w:szCs w:val="28"/>
        </w:rPr>
        <w:t>.</w:t>
      </w:r>
      <w:r>
        <w:rPr>
          <w:rFonts w:eastAsia="Times New Roman" w:cs="Times New Roman"/>
          <w:bCs/>
          <w:color w:val="auto"/>
          <w:kern w:val="0"/>
          <w:sz w:val="28"/>
          <w:szCs w:val="24"/>
          <w:lang w:val="en-US" w:eastAsia="zh-CN" w:bidi="ar-SA"/>
        </w:rPr>
        <w:t>07</w:t>
      </w:r>
      <w:r>
        <w:rPr>
          <w:sz w:val="28"/>
          <w:szCs w:val="28"/>
        </w:rPr>
        <w:t>.20</w:t>
      </w:r>
      <w:r>
        <w:rPr>
          <w:rFonts w:eastAsia="Times New Roman" w:cs="Times New Roman"/>
          <w:bCs/>
          <w:color w:val="auto"/>
          <w:kern w:val="0"/>
          <w:sz w:val="28"/>
          <w:szCs w:val="24"/>
          <w:lang w:val="en-US" w:eastAsia="zh-CN" w:bidi="ar-SA"/>
        </w:rPr>
        <w:t>21</w:t>
      </w:r>
      <w:r>
        <w:rPr>
          <w:sz w:val="28"/>
          <w:szCs w:val="28"/>
        </w:rPr>
        <w:t xml:space="preserve"> № </w:t>
      </w:r>
      <w:r>
        <w:rPr>
          <w:rFonts w:eastAsia="Times New Roman" w:cs="Times New Roman"/>
          <w:bCs/>
          <w:color w:val="auto"/>
          <w:kern w:val="0"/>
          <w:sz w:val="28"/>
          <w:szCs w:val="24"/>
          <w:lang w:val="en-US" w:eastAsia="zh-CN" w:bidi="ar-SA"/>
        </w:rPr>
        <w:t>15/10</w:t>
      </w:r>
      <w:r>
        <w:rPr>
          <w:sz w:val="28"/>
          <w:szCs w:val="28"/>
        </w:rPr>
        <w:t xml:space="preserve"> «Про </w:t>
      </w:r>
      <w:r>
        <w:rPr>
          <w:rFonts w:eastAsia="Times New Roman" w:cs="Times New Roman"/>
          <w:bCs/>
          <w:color w:val="auto"/>
          <w:kern w:val="0"/>
          <w:sz w:val="28"/>
          <w:szCs w:val="24"/>
          <w:lang w:val="uk-UA" w:eastAsia="zh-CN" w:bidi="ar-SA"/>
        </w:rPr>
        <w:t>нада</w:t>
      </w:r>
      <w:r>
        <w:rPr>
          <w:sz w:val="28"/>
          <w:szCs w:val="28"/>
        </w:rPr>
        <w:t>ння комунальному</w:t>
      </w:r>
      <w:r>
        <w:rPr>
          <w:rFonts w:eastAsia="Times New Roman" w:cs="Times New Roman"/>
          <w:bCs/>
          <w:color w:val="auto"/>
          <w:kern w:val="0"/>
          <w:sz w:val="28"/>
          <w:szCs w:val="24"/>
          <w:lang w:val="uk-UA" w:eastAsia="zh-CN" w:bidi="ar-SA"/>
        </w:rPr>
        <w:t xml:space="preserve"> підприємству “АвтоПаркСервіс” в постійне користування земельної ділянки для обслуговування ринку “Центральний” на вул. Глушець, 1</w:t>
      </w:r>
      <w:r>
        <w:rPr>
          <w:rFonts w:cs="Times New Roman"/>
          <w:b w:val="false"/>
          <w:i w:val="false"/>
          <w:sz w:val="28"/>
          <w:szCs w:val="28"/>
        </w:rPr>
        <w:t xml:space="preserve"> у м. Луцьку» </w:t>
      </w:r>
      <w:r>
        <w:rPr>
          <w:rFonts w:eastAsia="Times New Roman" w:cs="Times New Roman"/>
          <w:b w:val="false"/>
          <w:bCs/>
          <w:i w:val="false"/>
          <w:color w:val="auto"/>
          <w:kern w:val="0"/>
          <w:sz w:val="28"/>
          <w:szCs w:val="24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color w:val="auto"/>
          <w:kern w:val="0"/>
          <w:sz w:val="28"/>
          <w:szCs w:val="28"/>
          <w:lang w:val="uk-UA" w:eastAsia="zh-CN" w:bidi="ar-SA"/>
        </w:rPr>
        <w:t xml:space="preserve">виділена спеціальна земельна ділянка площею 0,5904 га </w:t>
      </w:r>
      <w:r>
        <w:rPr>
          <w:rFonts w:cs="Times New Roman"/>
          <w:b w:val="false"/>
          <w:i w:val="false"/>
          <w:sz w:val="28"/>
          <w:szCs w:val="28"/>
        </w:rPr>
        <w:t xml:space="preserve">для організації роботи на </w:t>
      </w:r>
      <w:r>
        <w:rPr>
          <w:rFonts w:eastAsia="Times New Roman" w:cs="Times New Roman"/>
          <w:b w:val="false"/>
          <w:i w:val="false"/>
          <w:sz w:val="28"/>
          <w:szCs w:val="28"/>
          <w:lang w:val="en-US"/>
        </w:rPr>
        <w:t>с</w:t>
      </w:r>
      <w:r>
        <w:rPr>
          <w:rFonts w:eastAsia="Times New Roman" w:cs="Times New Roman"/>
          <w:b w:val="false"/>
          <w:i w:val="false"/>
          <w:sz w:val="28"/>
          <w:szCs w:val="28"/>
        </w:rPr>
        <w:t>пеціально обладнаному майданчику для платного паркування на</w:t>
      </w:r>
      <w:r>
        <w:rPr>
          <w:rFonts w:cs="Times New Roman"/>
          <w:b w:val="false"/>
          <w:i w:val="false"/>
          <w:sz w:val="28"/>
          <w:szCs w:val="28"/>
        </w:rPr>
        <w:t xml:space="preserve"> вулиці </w:t>
      </w:r>
      <w:r>
        <w:rPr>
          <w:rFonts w:eastAsia="Times New Roman" w:cs="Times New Roman"/>
          <w:b w:val="false"/>
          <w:i w:val="false"/>
          <w:sz w:val="28"/>
          <w:szCs w:val="28"/>
        </w:rPr>
        <w:t>Глушець</w:t>
      </w:r>
      <w:r>
        <w:rPr>
          <w:rFonts w:cs="Times New Roman"/>
          <w:b w:val="false"/>
          <w:i w:val="false"/>
          <w:sz w:val="28"/>
          <w:szCs w:val="28"/>
        </w:rPr>
        <w:t>, 1.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680"/>
        <w:jc w:val="both"/>
        <w:rPr>
          <w:sz w:val="28"/>
          <w:szCs w:val="28"/>
        </w:rPr>
      </w:pPr>
      <w:r>
        <w:rPr>
          <w:rFonts w:cs="Times New Roman"/>
          <w:b w:val="false"/>
          <w:i w:val="false"/>
          <w:sz w:val="28"/>
          <w:szCs w:val="28"/>
        </w:rPr>
        <w:t>Відповідно до розробленого проєкту організації дорожнього руху на відкритій автомобільній стоянці для обслуговування ринку “Центральний” по вул. Глушець, 1 передбачено 150 паркувальних місць, з них 15 місць для паркування осіб з інвалідністю.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680"/>
        <w:jc w:val="both"/>
        <w:rPr/>
      </w:pPr>
      <w:r>
        <w:rPr>
          <w:bCs/>
          <w:sz w:val="28"/>
          <w:szCs w:val="28"/>
        </w:rPr>
        <w:t>Розрахунок тарифу на послугу здійснено КП </w:t>
      </w:r>
      <w:r>
        <w:rPr>
          <w:bCs w:val="false"/>
          <w:sz w:val="28"/>
          <w:szCs w:val="28"/>
        </w:rPr>
        <w:t>«</w:t>
      </w:r>
      <w:r>
        <w:rPr>
          <w:sz w:val="28"/>
          <w:szCs w:val="28"/>
        </w:rPr>
        <w:t>АвтоПаркСервіс</w:t>
      </w:r>
      <w:r>
        <w:rPr>
          <w:rFonts w:eastAsia="Times New Roman" w:cs="Times New Roman"/>
          <w:sz w:val="28"/>
          <w:szCs w:val="28"/>
        </w:rPr>
        <w:t>»</w:t>
      </w:r>
      <w:r>
        <w:rPr>
          <w:bCs/>
          <w:sz w:val="28"/>
          <w:szCs w:val="28"/>
        </w:rPr>
        <w:t xml:space="preserve"> відповідно до вимог </w:t>
      </w:r>
      <w:r>
        <w:rPr>
          <w:sz w:val="28"/>
          <w:szCs w:val="28"/>
        </w:rPr>
        <w:t>постанови Кабінету Міністрів України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>від 02 березня 2010 року № 258 «Про затвердження Порядку формування тарифів на послуги з користування майданчиками для платного паркування транспортних засобів» (далі-Порядок) та</w:t>
      </w:r>
      <w:r>
        <w:rPr>
          <w:bCs/>
          <w:sz w:val="28"/>
          <w:szCs w:val="28"/>
        </w:rPr>
        <w:t xml:space="preserve"> із планових витрат підприємства для надання такої послуги.</w:t>
      </w:r>
    </w:p>
    <w:p>
      <w:pPr>
        <w:pStyle w:val="Normal"/>
        <w:ind w:left="0" w:right="0" w:firstLine="560"/>
        <w:jc w:val="both"/>
        <w:rPr/>
      </w:pPr>
      <w:r>
        <w:rPr>
          <w:sz w:val="28"/>
          <w:szCs w:val="28"/>
        </w:rPr>
        <w:t xml:space="preserve">Режим роботи </w:t>
      </w:r>
      <w:r>
        <w:rPr>
          <w:rFonts w:eastAsia="Times New Roman" w:cs="Times New Roman"/>
          <w:sz w:val="28"/>
          <w:szCs w:val="28"/>
        </w:rPr>
        <w:t xml:space="preserve">спеціально обладнаного майданчика для платного паркування транспортних засобів </w:t>
      </w:r>
      <w:r>
        <w:rPr>
          <w:sz w:val="28"/>
          <w:szCs w:val="28"/>
        </w:rPr>
        <w:t xml:space="preserve">на вулиці Глушець, 1 встановлюється з 07.00 до 16.00 щодня, крім понеділків. Планова кількість робочих днів </w:t>
      </w:r>
      <w:r>
        <w:rPr>
          <w:bCs/>
          <w:sz w:val="28"/>
          <w:szCs w:val="28"/>
        </w:rPr>
        <w:t xml:space="preserve">для провадження діяльності із забезпечення паркування транспортних засобів на зазначеному майданчику становить </w:t>
      </w:r>
      <w:r>
        <w:rPr>
          <w:rFonts w:eastAsia="Times New Roman" w:cs="Times New Roman"/>
          <w:bCs/>
          <w:color w:val="auto"/>
          <w:sz w:val="28"/>
          <w:szCs w:val="28"/>
          <w:lang w:val="uk-UA" w:bidi="ar-SA"/>
        </w:rPr>
        <w:t>313</w:t>
      </w:r>
      <w:r>
        <w:rPr>
          <w:bCs/>
          <w:sz w:val="28"/>
          <w:szCs w:val="28"/>
        </w:rPr>
        <w:t xml:space="preserve"> днів у рік, яка врахована у розрахунку.</w:t>
      </w:r>
    </w:p>
    <w:p>
      <w:pPr>
        <w:pStyle w:val="Normal"/>
        <w:ind w:left="0" w:right="0" w:firstLine="540"/>
        <w:jc w:val="both"/>
        <w:rPr/>
      </w:pPr>
      <w:r>
        <w:rPr>
          <w:sz w:val="28"/>
          <w:szCs w:val="28"/>
        </w:rPr>
        <w:t xml:space="preserve">Витрати із заробітної плати в тарифі враховані виходячи із окладів, затверджених на підприємстві згідно штатного розпису, а також встановлених на підприємстві доплат, надбавок, гарантійних та компенсаційних виплат, премій, пов’язаних з виконанням виробничих завдань і функцій, що передбачено п.14 Порядку. </w:t>
      </w:r>
    </w:p>
    <w:p>
      <w:pPr>
        <w:pStyle w:val="Normal"/>
        <w:ind w:left="0" w:right="0" w:firstLine="540"/>
        <w:jc w:val="both"/>
        <w:rPr/>
      </w:pPr>
      <w:r>
        <w:rPr>
          <w:sz w:val="28"/>
          <w:szCs w:val="28"/>
        </w:rPr>
        <w:t xml:space="preserve">Адміністративні витрати враховані у розмірі, що не перевищує 15 %  виробничої собівартості. Витрати на збут – у розмірі, що не перевищує 5 % планованої виробничої собівартості послуг. </w:t>
      </w:r>
      <w:r>
        <w:rPr>
          <w:bCs/>
          <w:sz w:val="28"/>
          <w:szCs w:val="28"/>
        </w:rPr>
        <w:t xml:space="preserve">Рентабельність у плановому тарифі передбачено у розмірі </w:t>
      </w:r>
      <w:r>
        <w:rPr>
          <w:bCs/>
          <w:sz w:val="28"/>
          <w:szCs w:val="28"/>
          <w:lang w:val="ru-RU"/>
        </w:rPr>
        <w:t>2,0 </w:t>
      </w:r>
      <w:r>
        <w:rPr>
          <w:bCs/>
          <w:sz w:val="28"/>
          <w:szCs w:val="28"/>
        </w:rPr>
        <w:t xml:space="preserve">%. </w:t>
      </w:r>
      <w:r>
        <w:rPr>
          <w:sz w:val="28"/>
          <w:szCs w:val="28"/>
        </w:rPr>
        <w:t>Коефіцієнт завантаженості зазначених майданчиків застосовано на мінімальному рівні в розмірі 0,5. Фактична завантаженість паркувального майданчика на вул. Карпенка-Карого, 1 становить 19,54%, на вулиці Кривий Вал — 34,79%.</w:t>
      </w:r>
    </w:p>
    <w:p>
      <w:pPr>
        <w:pStyle w:val="Normal"/>
        <w:ind w:left="0" w:right="0" w:firstLine="540"/>
        <w:jc w:val="both"/>
        <w:rPr/>
      </w:pPr>
      <w:r>
        <w:rPr>
          <w:bCs/>
          <w:sz w:val="28"/>
          <w:szCs w:val="28"/>
        </w:rPr>
        <w:t xml:space="preserve">До розрахунку планового тарифу на послугу з користування </w:t>
      </w:r>
      <w:r>
        <w:rPr>
          <w:rFonts w:eastAsia="Times New Roman" w:cs="Times New Roman"/>
          <w:bCs/>
          <w:sz w:val="28"/>
          <w:szCs w:val="28"/>
        </w:rPr>
        <w:t xml:space="preserve">спеціально обладнаним майданчиком для платного паркування транспортних засобів </w:t>
      </w:r>
      <w:r>
        <w:rPr>
          <w:bCs/>
          <w:sz w:val="28"/>
          <w:szCs w:val="28"/>
        </w:rPr>
        <w:t>враховано планову суму земельного податку, яка має надійти до міського бюджету в сумі 1086678,4 грн. Сума земельного податку розрахована за ставкою земельного податку, що вводяться в дію з 01.01.2022 року на території Луцької міської територіальної громади.</w:t>
      </w:r>
      <w:bookmarkStart w:id="0" w:name="__DdeLink__315_3590277495"/>
      <w:bookmarkEnd w:id="0"/>
      <w:r>
        <w:rPr>
          <w:bCs/>
          <w:sz w:val="28"/>
          <w:szCs w:val="28"/>
        </w:rPr>
        <w:t xml:space="preserve"> </w:t>
      </w:r>
    </w:p>
    <w:p>
      <w:pPr>
        <w:pStyle w:val="Normal"/>
        <w:ind w:left="0" w:right="0" w:firstLine="540"/>
        <w:jc w:val="both"/>
        <w:rPr/>
      </w:pPr>
      <w:r>
        <w:rPr>
          <w:bCs/>
          <w:sz w:val="28"/>
          <w:szCs w:val="28"/>
        </w:rPr>
        <w:t>Окрім того, враховано ПДВ в розмірі 20%.</w:t>
      </w:r>
    </w:p>
    <w:p>
      <w:pPr>
        <w:pStyle w:val="Normal"/>
        <w:ind w:left="0" w:right="0" w:firstLine="540"/>
        <w:jc w:val="both"/>
        <w:rPr/>
      </w:pPr>
      <w:r>
        <w:rPr>
          <w:sz w:val="28"/>
          <w:szCs w:val="28"/>
        </w:rPr>
        <w:t xml:space="preserve">Тариф пропонується встановити в розмірі </w:t>
      </w:r>
      <w:r>
        <w:rPr>
          <w:rFonts w:eastAsia="Times New Roman" w:cs="Times New Roman"/>
          <w:color w:val="auto"/>
          <w:sz w:val="28"/>
          <w:szCs w:val="28"/>
          <w:lang w:val="uk-UA" w:bidi="ar-SA"/>
        </w:rPr>
        <w:t>10</w:t>
      </w:r>
      <w:r>
        <w:rPr>
          <w:sz w:val="28"/>
          <w:szCs w:val="28"/>
        </w:rPr>
        <w:t>,00 грн за одну годину паркування.</w:t>
      </w:r>
    </w:p>
    <w:p>
      <w:pPr>
        <w:pStyle w:val="Normal"/>
        <w:ind w:left="0" w:right="0" w:firstLine="540"/>
        <w:jc w:val="both"/>
        <w:rPr/>
      </w:pPr>
      <w:r>
        <w:rPr>
          <w:sz w:val="28"/>
          <w:szCs w:val="28"/>
        </w:rPr>
        <w:t xml:space="preserve">Проєкт рішення та розрахунки тарифу розглянуто </w:t>
      </w:r>
      <w:r>
        <w:rPr>
          <w:rFonts w:cs="Times New Roman"/>
          <w:b w:val="false"/>
          <w:i w:val="false"/>
          <w:sz w:val="28"/>
          <w:szCs w:val="28"/>
        </w:rPr>
        <w:t>Західн</w:t>
      </w:r>
      <w:r>
        <w:rPr>
          <w:rFonts w:eastAsia="Times New Roman" w:cs="Times New Roman"/>
          <w:b w:val="false"/>
          <w:i w:val="false"/>
          <w:color w:val="auto"/>
          <w:sz w:val="28"/>
          <w:szCs w:val="28"/>
          <w:lang w:val="uk-UA" w:bidi="ar-SA"/>
        </w:rPr>
        <w:t>им</w:t>
      </w:r>
      <w:r>
        <w:rPr>
          <w:rFonts w:cs="Times New Roman"/>
          <w:b w:val="false"/>
          <w:i w:val="false"/>
          <w:sz w:val="28"/>
          <w:szCs w:val="28"/>
        </w:rPr>
        <w:t xml:space="preserve"> міжобласн</w:t>
      </w:r>
      <w:r>
        <w:rPr>
          <w:rFonts w:eastAsia="Times New Roman" w:cs="Times New Roman"/>
          <w:b w:val="false"/>
          <w:i w:val="false"/>
          <w:color w:val="auto"/>
          <w:sz w:val="28"/>
          <w:szCs w:val="28"/>
          <w:lang w:val="uk-UA" w:bidi="ar-SA"/>
        </w:rPr>
        <w:t>им</w:t>
      </w:r>
      <w:r>
        <w:rPr>
          <w:rFonts w:cs="Times New Roman"/>
          <w:b w:val="false"/>
          <w:i w:val="false"/>
          <w:sz w:val="28"/>
          <w:szCs w:val="28"/>
        </w:rPr>
        <w:t xml:space="preserve"> територіальн</w:t>
      </w:r>
      <w:r>
        <w:rPr>
          <w:rFonts w:eastAsia="Times New Roman" w:cs="Times New Roman"/>
          <w:b w:val="false"/>
          <w:i w:val="false"/>
          <w:color w:val="auto"/>
          <w:sz w:val="28"/>
          <w:szCs w:val="28"/>
          <w:lang w:val="uk-UA" w:bidi="ar-SA"/>
        </w:rPr>
        <w:t>им</w:t>
      </w:r>
      <w:r>
        <w:rPr>
          <w:rFonts w:cs="Times New Roman"/>
          <w:b w:val="false"/>
          <w:i w:val="false"/>
          <w:sz w:val="28"/>
          <w:szCs w:val="28"/>
        </w:rPr>
        <w:t xml:space="preserve"> відділенням Антимонопольного комітету України, внесено окремі зауваження до проєкту рішення, які було враховано </w:t>
      </w:r>
      <w:r>
        <w:rPr>
          <w:sz w:val="28"/>
          <w:szCs w:val="28"/>
        </w:rPr>
        <w:t>у пропонованому до розгляду проєкті.</w:t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Директор департаменту </w:t>
      </w:r>
    </w:p>
    <w:p>
      <w:pPr>
        <w:pStyle w:val="Normal"/>
        <w:rPr/>
      </w:pPr>
      <w:r>
        <w:rPr>
          <w:sz w:val="28"/>
          <w:szCs w:val="28"/>
        </w:rPr>
        <w:t xml:space="preserve">економічної політики                                                             </w:t>
      </w:r>
      <w:r>
        <w:rPr>
          <w:rFonts w:eastAsia="Times New Roman" w:cs="Times New Roman"/>
          <w:color w:val="auto"/>
          <w:sz w:val="28"/>
          <w:szCs w:val="28"/>
          <w:lang w:val="uk-UA" w:bidi="ar-SA"/>
        </w:rPr>
        <w:t>Борис СМАЛЬ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984" w:right="567" w:gutter="0" w:header="0" w:top="719" w:footer="0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ahoma">
    <w:charset w:val="cc"/>
    <w:family w:val="roman"/>
    <w:pitch w:val="variable"/>
  </w:font>
  <w:font w:name="Verdana">
    <w:charset w:val="cc"/>
    <w:family w:val="roman"/>
    <w:pitch w:val="variable"/>
  </w:font>
  <w:font w:name="Calibri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eastAsia="zh-CN" w:bidi="ar-SA"/>
    </w:rPr>
  </w:style>
  <w:style w:type="character" w:styleId="WW8Num1z0">
    <w:name w:val="WW8Num1z0"/>
    <w:qFormat/>
    <w:rPr>
      <w:rFonts w:ascii="Symbol" w:hAnsi="Symbol" w:eastAsia="Times New Roman" w:cs="Times New Roman"/>
      <w:b/>
    </w:rPr>
  </w:style>
  <w:style w:type="character" w:styleId="WW8Num1z1">
    <w:name w:val="WW8Num1z1"/>
    <w:qFormat/>
    <w:rPr>
      <w:rFonts w:ascii="Courier New" w:hAnsi="Courier New" w:cs="Courier New"/>
    </w:rPr>
  </w:style>
  <w:style w:type="character" w:styleId="WW8Num1z2">
    <w:name w:val="WW8Num1z2"/>
    <w:qFormat/>
    <w:rPr>
      <w:rFonts w:ascii="Wingdings" w:hAnsi="Wingdings" w:cs="Wingdings"/>
    </w:rPr>
  </w:style>
  <w:style w:type="character" w:styleId="WW8Num1z3">
    <w:name w:val="WW8Num1z3"/>
    <w:qFormat/>
    <w:rPr>
      <w:rFonts w:ascii="Symbol" w:hAnsi="Symbol" w:cs="Symbol"/>
    </w:rPr>
  </w:style>
  <w:style w:type="character" w:styleId="Style14">
    <w:name w:val="Основной шрифт абзаца"/>
    <w:qFormat/>
    <w:rPr/>
  </w:style>
  <w:style w:type="character" w:styleId="Style15">
    <w:name w:val="Нижний колонтитул Знак"/>
    <w:qFormat/>
    <w:rPr>
      <w:sz w:val="28"/>
    </w:rPr>
  </w:style>
  <w:style w:type="character" w:styleId="Rvts15">
    <w:name w:val="rvts15"/>
    <w:qFormat/>
    <w:rPr/>
  </w:style>
  <w:style w:type="character" w:styleId="FontStyle13">
    <w:name w:val="Font Style13"/>
    <w:qFormat/>
    <w:rPr>
      <w:rFonts w:ascii="Times New Roman" w:hAnsi="Times New Roman" w:cs="Times New Roman"/>
      <w:sz w:val="26"/>
      <w:szCs w:val="26"/>
    </w:rPr>
  </w:style>
  <w:style w:type="character" w:styleId="Appleconvertedspace">
    <w:name w:val="apple-converted-space"/>
    <w:qFormat/>
    <w:rPr/>
  </w:style>
  <w:style w:type="character" w:styleId="Rvts23">
    <w:name w:val="rvts23"/>
    <w:qFormat/>
    <w:rPr>
      <w:rFonts w:cs="Times New Roman"/>
    </w:rPr>
  </w:style>
  <w:style w:type="character" w:styleId="HTML">
    <w:name w:val="Стандартный HTML Знак"/>
    <w:qFormat/>
    <w:rPr>
      <w:rFonts w:ascii="Courier New" w:hAnsi="Courier New" w:eastAsia="Calibri" w:cs="Courier New"/>
      <w:lang w:val="ru-RU"/>
    </w:rPr>
  </w:style>
  <w:style w:type="character" w:styleId="Rvts0">
    <w:name w:val="rvts0"/>
    <w:qFormat/>
    <w:rPr>
      <w:rFonts w:cs="Times New Roman"/>
    </w:rPr>
  </w:style>
  <w:style w:type="character" w:styleId="Style16">
    <w:name w:val="Основний текст_"/>
    <w:qFormat/>
    <w:rPr>
      <w:sz w:val="21"/>
      <w:szCs w:val="21"/>
    </w:rPr>
  </w:style>
  <w:style w:type="character" w:styleId="Style17">
    <w:name w:val="Виділення жирним"/>
    <w:qFormat/>
    <w:rPr>
      <w:b/>
    </w:rPr>
  </w:style>
  <w:style w:type="character" w:styleId="Style18">
    <w:name w:val="Номер сторінки"/>
    <w:qFormat/>
    <w:rPr/>
  </w:style>
  <w:style w:type="character" w:styleId="1">
    <w:name w:val="Основной шрифт абзаца1"/>
    <w:qFormat/>
    <w:rPr/>
  </w:style>
  <w:style w:type="character" w:styleId="WW8Num8z8">
    <w:name w:val="WW8Num8z8"/>
    <w:qFormat/>
    <w:rPr/>
  </w:style>
  <w:style w:type="character" w:styleId="WW8Num8z7">
    <w:name w:val="WW8Num8z7"/>
    <w:qFormat/>
    <w:rPr/>
  </w:style>
  <w:style w:type="character" w:styleId="WW8Num8z6">
    <w:name w:val="WW8Num8z6"/>
    <w:qFormat/>
    <w:rPr/>
  </w:style>
  <w:style w:type="character" w:styleId="WW8Num8z5">
    <w:name w:val="WW8Num8z5"/>
    <w:qFormat/>
    <w:rPr/>
  </w:style>
  <w:style w:type="character" w:styleId="WW8Num8z4">
    <w:name w:val="WW8Num8z4"/>
    <w:qFormat/>
    <w:rPr/>
  </w:style>
  <w:style w:type="character" w:styleId="WW8Num8z3">
    <w:name w:val="WW8Num8z3"/>
    <w:qFormat/>
    <w:rPr/>
  </w:style>
  <w:style w:type="character" w:styleId="WW8Num8z2">
    <w:name w:val="WW8Num8z2"/>
    <w:qFormat/>
    <w:rPr/>
  </w:style>
  <w:style w:type="character" w:styleId="WW8Num8z1">
    <w:name w:val="WW8Num8z1"/>
    <w:qFormat/>
    <w:rPr/>
  </w:style>
  <w:style w:type="character" w:styleId="WW8Num8z0">
    <w:name w:val="WW8Num8z0"/>
    <w:qFormat/>
    <w:rPr/>
  </w:style>
  <w:style w:type="character" w:styleId="WW8Num7z8">
    <w:name w:val="WW8Num7z8"/>
    <w:qFormat/>
    <w:rPr/>
  </w:style>
  <w:style w:type="character" w:styleId="WW8Num7z7">
    <w:name w:val="WW8Num7z7"/>
    <w:qFormat/>
    <w:rPr/>
  </w:style>
  <w:style w:type="character" w:styleId="WW8Num7z6">
    <w:name w:val="WW8Num7z6"/>
    <w:qFormat/>
    <w:rPr/>
  </w:style>
  <w:style w:type="character" w:styleId="WW8Num7z5">
    <w:name w:val="WW8Num7z5"/>
    <w:qFormat/>
    <w:rPr/>
  </w:style>
  <w:style w:type="character" w:styleId="WW8Num7z4">
    <w:name w:val="WW8Num7z4"/>
    <w:qFormat/>
    <w:rPr/>
  </w:style>
  <w:style w:type="character" w:styleId="WW8Num7z3">
    <w:name w:val="WW8Num7z3"/>
    <w:qFormat/>
    <w:rPr/>
  </w:style>
  <w:style w:type="character" w:styleId="WW8Num7z2">
    <w:name w:val="WW8Num7z2"/>
    <w:qFormat/>
    <w:rPr/>
  </w:style>
  <w:style w:type="character" w:styleId="WW8Num7z1">
    <w:name w:val="WW8Num7z1"/>
    <w:qFormat/>
    <w:rPr/>
  </w:style>
  <w:style w:type="character" w:styleId="WW8Num7z0">
    <w:name w:val="WW8Num7z0"/>
    <w:qFormat/>
    <w:rPr/>
  </w:style>
  <w:style w:type="character" w:styleId="WW8Num6z3">
    <w:name w:val="WW8Num6z3"/>
    <w:qFormat/>
    <w:rPr>
      <w:rFonts w:ascii="Symbol" w:hAnsi="Symbol" w:cs="Symbol"/>
    </w:rPr>
  </w:style>
  <w:style w:type="character" w:styleId="WW8Num6z2">
    <w:name w:val="WW8Num6z2"/>
    <w:qFormat/>
    <w:rPr>
      <w:rFonts w:ascii="Wingdings" w:hAnsi="Wingdings" w:cs="Wingdings"/>
    </w:rPr>
  </w:style>
  <w:style w:type="character" w:styleId="WW8Num6z1">
    <w:name w:val="WW8Num6z1"/>
    <w:qFormat/>
    <w:rPr>
      <w:rFonts w:ascii="Courier New" w:hAnsi="Courier New" w:cs="Courier New"/>
    </w:rPr>
  </w:style>
  <w:style w:type="character" w:styleId="WW8Num6z0">
    <w:name w:val="WW8Num6z0"/>
    <w:qFormat/>
    <w:rPr>
      <w:rFonts w:ascii="Times New Roman" w:hAnsi="Times New Roman" w:eastAsia="Times New Roman" w:cs="Times New Roman"/>
    </w:rPr>
  </w:style>
  <w:style w:type="character" w:styleId="WW8Num5z3">
    <w:name w:val="WW8Num5z3"/>
    <w:qFormat/>
    <w:rPr>
      <w:rFonts w:ascii="Symbol" w:hAnsi="Symbol" w:cs="Symbol"/>
    </w:rPr>
  </w:style>
  <w:style w:type="character" w:styleId="WW8Num5z1">
    <w:name w:val="WW8Num5z1"/>
    <w:qFormat/>
    <w:rPr>
      <w:rFonts w:ascii="Courier New" w:hAnsi="Courier New" w:cs="Courier New"/>
    </w:rPr>
  </w:style>
  <w:style w:type="character" w:styleId="WW8Num5z0">
    <w:name w:val="WW8Num5z0"/>
    <w:qFormat/>
    <w:rPr>
      <w:rFonts w:ascii="Wingdings" w:hAnsi="Wingdings" w:cs="Wingdings"/>
    </w:rPr>
  </w:style>
  <w:style w:type="character" w:styleId="WW8Num4z8">
    <w:name w:val="WW8Num4z8"/>
    <w:qFormat/>
    <w:rPr/>
  </w:style>
  <w:style w:type="character" w:styleId="WW8Num4z7">
    <w:name w:val="WW8Num4z7"/>
    <w:qFormat/>
    <w:rPr/>
  </w:style>
  <w:style w:type="character" w:styleId="WW8Num4z6">
    <w:name w:val="WW8Num4z6"/>
    <w:qFormat/>
    <w:rPr/>
  </w:style>
  <w:style w:type="character" w:styleId="WW8Num4z5">
    <w:name w:val="WW8Num4z5"/>
    <w:qFormat/>
    <w:rPr/>
  </w:style>
  <w:style w:type="character" w:styleId="WW8Num4z4">
    <w:name w:val="WW8Num4z4"/>
    <w:qFormat/>
    <w:rPr/>
  </w:style>
  <w:style w:type="character" w:styleId="WW8Num4z3">
    <w:name w:val="WW8Num4z3"/>
    <w:qFormat/>
    <w:rPr/>
  </w:style>
  <w:style w:type="character" w:styleId="WW8Num4z2">
    <w:name w:val="WW8Num4z2"/>
    <w:qFormat/>
    <w:rPr/>
  </w:style>
  <w:style w:type="character" w:styleId="WW8Num4z1">
    <w:name w:val="WW8Num4z1"/>
    <w:qFormat/>
    <w:rPr/>
  </w:style>
  <w:style w:type="character" w:styleId="WW8Num4z0">
    <w:name w:val="WW8Num4z0"/>
    <w:qFormat/>
    <w:rPr/>
  </w:style>
  <w:style w:type="character" w:styleId="WW8Num3z8">
    <w:name w:val="WW8Num3z8"/>
    <w:qFormat/>
    <w:rPr/>
  </w:style>
  <w:style w:type="character" w:styleId="WW8Num3z7">
    <w:name w:val="WW8Num3z7"/>
    <w:qFormat/>
    <w:rPr/>
  </w:style>
  <w:style w:type="character" w:styleId="WW8Num3z6">
    <w:name w:val="WW8Num3z6"/>
    <w:qFormat/>
    <w:rPr/>
  </w:style>
  <w:style w:type="character" w:styleId="WW8Num3z5">
    <w:name w:val="WW8Num3z5"/>
    <w:qFormat/>
    <w:rPr/>
  </w:style>
  <w:style w:type="character" w:styleId="WW8Num3z4">
    <w:name w:val="WW8Num3z4"/>
    <w:qFormat/>
    <w:rPr/>
  </w:style>
  <w:style w:type="character" w:styleId="WW8Num3z3">
    <w:name w:val="WW8Num3z3"/>
    <w:qFormat/>
    <w:rPr/>
  </w:style>
  <w:style w:type="character" w:styleId="WW8Num3z2">
    <w:name w:val="WW8Num3z2"/>
    <w:qFormat/>
    <w:rPr/>
  </w:style>
  <w:style w:type="character" w:styleId="WW8Num3z1">
    <w:name w:val="WW8Num3z1"/>
    <w:qFormat/>
    <w:rPr/>
  </w:style>
  <w:style w:type="character" w:styleId="WW8Num3z0">
    <w:name w:val="WW8Num3z0"/>
    <w:qFormat/>
    <w:rPr/>
  </w:style>
  <w:style w:type="character" w:styleId="2">
    <w:name w:val="Основной шрифт абзаца2"/>
    <w:qFormat/>
    <w:rPr/>
  </w:style>
  <w:style w:type="character" w:styleId="WW8Num2z8">
    <w:name w:val="WW8Num2z8"/>
    <w:qFormat/>
    <w:rPr/>
  </w:style>
  <w:style w:type="character" w:styleId="WW8Num2z7">
    <w:name w:val="WW8Num2z7"/>
    <w:qFormat/>
    <w:rPr/>
  </w:style>
  <w:style w:type="character" w:styleId="WW8Num2z6">
    <w:name w:val="WW8Num2z6"/>
    <w:qFormat/>
    <w:rPr/>
  </w:style>
  <w:style w:type="character" w:styleId="WW8Num2z5">
    <w:name w:val="WW8Num2z5"/>
    <w:qFormat/>
    <w:rPr/>
  </w:style>
  <w:style w:type="character" w:styleId="WW8Num2z4">
    <w:name w:val="WW8Num2z4"/>
    <w:qFormat/>
    <w:rPr/>
  </w:style>
  <w:style w:type="character" w:styleId="WW8Num2z3">
    <w:name w:val="WW8Num2z3"/>
    <w:qFormat/>
    <w:rPr/>
  </w:style>
  <w:style w:type="character" w:styleId="WW8Num2z2">
    <w:name w:val="WW8Num2z2"/>
    <w:qFormat/>
    <w:rPr/>
  </w:style>
  <w:style w:type="character" w:styleId="WW8Num2z1">
    <w:name w:val="WW8Num2z1"/>
    <w:qFormat/>
    <w:rPr/>
  </w:style>
  <w:style w:type="character" w:styleId="WW8Num2z0">
    <w:name w:val="WW8Num2z0"/>
    <w:qFormat/>
    <w:rPr/>
  </w:style>
  <w:style w:type="character" w:styleId="WW8Num1z8">
    <w:name w:val="WW8Num1z8"/>
    <w:qFormat/>
    <w:rPr/>
  </w:style>
  <w:style w:type="character" w:styleId="WW8Num1z7">
    <w:name w:val="WW8Num1z7"/>
    <w:qFormat/>
    <w:rPr/>
  </w:style>
  <w:style w:type="character" w:styleId="WW8Num1z6">
    <w:name w:val="WW8Num1z6"/>
    <w:qFormat/>
    <w:rPr/>
  </w:style>
  <w:style w:type="character" w:styleId="WW8Num1z5">
    <w:name w:val="WW8Num1z5"/>
    <w:qFormat/>
    <w:rPr/>
  </w:style>
  <w:style w:type="character" w:styleId="WW8Num1z4">
    <w:name w:val="WW8Num1z4"/>
    <w:qFormat/>
    <w:rPr/>
  </w:style>
  <w:style w:type="paragraph" w:styleId="Style19">
    <w:name w:val="Заголовок"/>
    <w:basedOn w:val="Normal"/>
    <w:next w:val="Style20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Style20">
    <w:name w:val="Body Text"/>
    <w:basedOn w:val="Normal"/>
    <w:pPr>
      <w:spacing w:lineRule="auto" w:line="276" w:before="0" w:after="140"/>
    </w:pPr>
    <w:rPr/>
  </w:style>
  <w:style w:type="paragraph" w:styleId="Style21">
    <w:name w:val="List"/>
    <w:basedOn w:val="Style20"/>
    <w:pPr/>
    <w:rPr>
      <w:rFonts w:cs="Arial"/>
    </w:rPr>
  </w:style>
  <w:style w:type="paragraph" w:styleId="Style22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3">
    <w:name w:val="Указатель"/>
    <w:basedOn w:val="Normal"/>
    <w:qFormat/>
    <w:pPr>
      <w:suppressLineNumbers/>
    </w:pPr>
    <w:rPr>
      <w:rFonts w:cs="Arial"/>
      <w:lang w:val="zxx" w:eastAsia="zxx" w:bidi="zxx"/>
    </w:rPr>
  </w:style>
  <w:style w:type="paragraph" w:styleId="Style24">
    <w:name w:val="Покажчик"/>
    <w:basedOn w:val="Normal"/>
    <w:qFormat/>
    <w:pPr>
      <w:suppressLineNumbers/>
    </w:pPr>
    <w:rPr>
      <w:rFonts w:cs="Arial"/>
    </w:rPr>
  </w:style>
  <w:style w:type="paragraph" w:styleId="Style25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6">
    <w:name w:val="Колонтитул"/>
    <w:basedOn w:val="Normal"/>
    <w:qFormat/>
    <w:pPr/>
    <w:rPr/>
  </w:style>
  <w:style w:type="paragraph" w:styleId="Style27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>
      <w:sz w:val="28"/>
    </w:rPr>
  </w:style>
  <w:style w:type="paragraph" w:styleId="21">
    <w:name w:val="Основной текст 21"/>
    <w:basedOn w:val="Normal"/>
    <w:qFormat/>
    <w:pPr>
      <w:suppressAutoHyphens w:val="true"/>
      <w:spacing w:lineRule="auto" w:line="480" w:before="0" w:after="120"/>
    </w:pPr>
    <w:rPr>
      <w:lang w:val="ru-RU"/>
    </w:rPr>
  </w:style>
  <w:style w:type="paragraph" w:styleId="Style28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29">
    <w:name w:val="Footer"/>
    <w:basedOn w:val="Normal"/>
    <w:pPr>
      <w:tabs>
        <w:tab w:val="clear" w:pos="708"/>
        <w:tab w:val="center" w:pos="4677" w:leader="none"/>
        <w:tab w:val="right" w:pos="9355" w:leader="none"/>
      </w:tabs>
    </w:pPr>
    <w:rPr>
      <w:sz w:val="28"/>
    </w:rPr>
  </w:style>
  <w:style w:type="paragraph" w:styleId="22">
    <w:name w:val="Основной текст с отступом 2"/>
    <w:basedOn w:val="Normal"/>
    <w:qFormat/>
    <w:pPr>
      <w:ind w:left="0" w:right="0" w:firstLine="1080"/>
      <w:jc w:val="both"/>
    </w:pPr>
    <w:rPr>
      <w:sz w:val="28"/>
    </w:rPr>
  </w:style>
  <w:style w:type="paragraph" w:styleId="Style30">
    <w:name w:val="Вміст рамки"/>
    <w:basedOn w:val="Normal"/>
    <w:qFormat/>
    <w:pPr/>
    <w:rPr/>
  </w:style>
  <w:style w:type="paragraph" w:styleId="221">
    <w:name w:val="Основной текст 22"/>
    <w:basedOn w:val="Normal"/>
    <w:qFormat/>
    <w:pPr>
      <w:jc w:val="both"/>
    </w:pPr>
    <w:rPr>
      <w:b/>
    </w:rPr>
  </w:style>
  <w:style w:type="paragraph" w:styleId="Style31">
    <w:name w:val="Знак Знак Знак Знак Знак Знак Знак Знак Знак Знак Знак Знак Знак Знак Знак Знак Знак Знак"/>
    <w:basedOn w:val="Normal"/>
    <w:qFormat/>
    <w:pPr/>
    <w:rPr>
      <w:rFonts w:ascii="Verdana" w:hAnsi="Verdana" w:eastAsia="MS Mincho" w:cs="Verdana"/>
      <w:bCs w:val="false"/>
      <w:sz w:val="20"/>
      <w:szCs w:val="20"/>
      <w:lang w:val="en-US"/>
    </w:rPr>
  </w:style>
  <w:style w:type="paragraph" w:styleId="ListParagraph">
    <w:name w:val="List Paragraph"/>
    <w:basedOn w:val="Normal"/>
    <w:qFormat/>
    <w:pPr>
      <w:spacing w:before="0" w:after="200"/>
      <w:ind w:left="720" w:hanging="0"/>
    </w:pPr>
    <w:rPr/>
  </w:style>
  <w:style w:type="paragraph" w:styleId="Style51">
    <w:name w:val="Style5"/>
    <w:basedOn w:val="Normal"/>
    <w:qFormat/>
    <w:pPr>
      <w:widowControl w:val="false"/>
      <w:spacing w:lineRule="exact" w:line="322"/>
      <w:ind w:firstLine="629"/>
      <w:jc w:val="both"/>
    </w:pPr>
    <w:rPr>
      <w:bCs w:val="false"/>
      <w:lang w:val="ru-RU"/>
    </w:rPr>
  </w:style>
  <w:style w:type="paragraph" w:styleId="31">
    <w:name w:val="Основной текст с отступом 31"/>
    <w:basedOn w:val="Normal"/>
    <w:qFormat/>
    <w:pPr>
      <w:ind w:left="436" w:hanging="436"/>
    </w:pPr>
    <w:rPr>
      <w:bCs w:val="false"/>
    </w:rPr>
  </w:style>
  <w:style w:type="paragraph" w:styleId="11">
    <w:name w:val="Основной текст1"/>
    <w:basedOn w:val="Normal"/>
    <w:qFormat/>
    <w:pPr>
      <w:spacing w:before="0" w:after="120"/>
    </w:pPr>
    <w:rPr/>
  </w:style>
  <w:style w:type="paragraph" w:styleId="Style32">
    <w:name w:val="Без интервала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Calibri"/>
      <w:color w:val="auto"/>
      <w:kern w:val="0"/>
      <w:sz w:val="22"/>
      <w:szCs w:val="22"/>
      <w:lang w:val="ru-RU" w:eastAsia="zh-CN" w:bidi="ar-SA"/>
    </w:rPr>
  </w:style>
  <w:style w:type="paragraph" w:styleId="CharChar">
    <w:name w:val="Char Знак Знак Char Знак Знак Знак Знак Знак Знак Знак Знак Знак Знак Знак Знак Знак Знак 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Western">
    <w:name w:val="western"/>
    <w:basedOn w:val="Normal"/>
    <w:qFormat/>
    <w:pPr>
      <w:spacing w:before="280" w:after="280"/>
    </w:pPr>
    <w:rPr>
      <w:rFonts w:eastAsia="Calibri"/>
      <w:bCs w:val="false"/>
      <w:lang w:val="ru-RU"/>
    </w:rPr>
  </w:style>
  <w:style w:type="paragraph" w:styleId="HTML1">
    <w:name w:val="Стандартный HTML"/>
    <w:basedOn w:val="Normal"/>
    <w:qFormat/>
    <w:pPr>
      <w:tabs>
        <w:tab w:val="clear" w:pos="708"/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</w:pPr>
    <w:rPr>
      <w:rFonts w:ascii="Courier New" w:hAnsi="Courier New" w:eastAsia="Calibri" w:cs="Courier New"/>
      <w:bCs w:val="false"/>
      <w:sz w:val="20"/>
      <w:szCs w:val="20"/>
      <w:lang w:val="ru-RU"/>
    </w:rPr>
  </w:style>
  <w:style w:type="paragraph" w:styleId="Style33">
    <w:name w:val="Абзац списка"/>
    <w:basedOn w:val="Normal"/>
    <w:qFormat/>
    <w:pPr>
      <w:spacing w:before="0" w:after="0"/>
      <w:ind w:left="720" w:hanging="0"/>
      <w:contextualSpacing/>
    </w:pPr>
    <w:rPr>
      <w:rFonts w:eastAsia="Calibri"/>
      <w:bCs w:val="false"/>
      <w:szCs w:val="28"/>
      <w:lang w:val="ru-RU"/>
    </w:rPr>
  </w:style>
  <w:style w:type="paragraph" w:styleId="Style34">
    <w:name w:val="Знак Знак Знак Знак Знак 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35">
    <w:name w:val="Обычный (веб)"/>
    <w:basedOn w:val="Normal"/>
    <w:qFormat/>
    <w:pPr>
      <w:spacing w:before="280" w:after="280"/>
    </w:pPr>
    <w:rPr>
      <w:bCs w:val="false"/>
      <w:lang w:val="ru-RU"/>
    </w:rPr>
  </w:style>
  <w:style w:type="paragraph" w:styleId="12">
    <w:name w:val="Название объекта1"/>
    <w:basedOn w:val="Normal"/>
    <w:qFormat/>
    <w:pPr>
      <w:spacing w:before="120" w:after="120"/>
    </w:pPr>
    <w:rPr>
      <w:i/>
      <w:iCs/>
    </w:rPr>
  </w:style>
  <w:style w:type="paragraph" w:styleId="Style36">
    <w:name w:val="Название объекта"/>
    <w:basedOn w:val="Normal"/>
    <w:qFormat/>
    <w:pPr>
      <w:spacing w:before="120" w:after="120"/>
    </w:pPr>
    <w:rPr>
      <w:i/>
      <w:i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Normal.dot_x005F_x005F_x005F_x005F_x005F_x005F_x005F_x005F_x005F_x005F_x005F_x005F_x005F_x005F_x005F_x005F_x005F_x0000_</Template>
  <TotalTime>482</TotalTime>
  <Application>LibreOffice/7.2.4.1$Windows_X86_64 LibreOffice_project/27d75539669ac387bb498e35313b970b7fe9c4f9</Application>
  <AppVersion>15.0000</AppVersion>
  <Pages>2</Pages>
  <Words>402</Words>
  <Characters>2709</Characters>
  <CharactersWithSpaces>3177</CharactersWithSpaces>
  <Paragraphs>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terminal_42</dc:creator>
  <dc:description/>
  <dc:language>uk-UA</dc:language>
  <cp:lastModifiedBy/>
  <dcterms:modified xsi:type="dcterms:W3CDTF">2021-12-23T09:24:03Z</dcterms:modified>
  <cp:revision>30</cp:revision>
  <dc:subject/>
  <dc:title>Довідка про коригування тарифів, що надаються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