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2059549040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 w:val="28"/>
          <w:szCs w:val="28"/>
        </w:rPr>
        <w:t xml:space="preserve">Про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надання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громадян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ці  Ксензюк О.Я.</w:t>
      </w:r>
      <w:r>
        <w:rPr>
          <w:sz w:val="28"/>
          <w:szCs w:val="28"/>
          <w:lang w:val="ru-RU"/>
        </w:rPr>
        <w:t xml:space="preserve">  </w:t>
      </w:r>
      <w:r>
        <w:rPr>
          <w:szCs w:val="28"/>
        </w:rPr>
        <w:t xml:space="preserve">    </w:t>
      </w:r>
      <w:r>
        <w:rPr>
          <w:sz w:val="12"/>
          <w:szCs w:val="12"/>
        </w:rPr>
        <w:t xml:space="preserve"> 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 w:val="28"/>
          <w:szCs w:val="28"/>
          <w:lang w:val="uk-UA"/>
        </w:rPr>
        <w:t>дозволу  на розроблення проекту  земле-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 w:val="28"/>
          <w:szCs w:val="28"/>
          <w:lang w:val="uk-UA"/>
        </w:rPr>
        <w:t xml:space="preserve">устрою   </w:t>
      </w:r>
      <w:r>
        <w:rPr>
          <w:sz w:val="28"/>
          <w:szCs w:val="28"/>
        </w:rPr>
        <w:t>щодо  відве</w:t>
      </w:r>
      <w:r>
        <w:rPr>
          <w:spacing w:val="-4"/>
          <w:sz w:val="28"/>
          <w:szCs w:val="28"/>
        </w:rPr>
        <w:t>дення  земельної  ді-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pacing w:val="-4"/>
          <w:sz w:val="28"/>
          <w:szCs w:val="28"/>
        </w:rPr>
        <w:t>лянки  у власність для  ведення особисто-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pacing w:val="-4"/>
          <w:sz w:val="28"/>
          <w:szCs w:val="28"/>
        </w:rPr>
        <w:t xml:space="preserve">го селянського господарства </w:t>
      </w:r>
      <w:r>
        <w:rPr>
          <w:rFonts w:eastAsia="Times New Roman" w:cs="Times New Roman"/>
          <w:color w:val="000000"/>
          <w:spacing w:val="-4"/>
          <w:sz w:val="28"/>
          <w:szCs w:val="28"/>
          <w:shd w:fill="auto" w:val="clear"/>
          <w:lang w:val="uk-UA" w:eastAsia="zh-CN" w:bidi="ar-SA"/>
        </w:rPr>
        <w:t>в с. Зміїнець</w:t>
      </w:r>
      <w:r>
        <w:rPr>
          <w:color w:val="000000"/>
          <w:spacing w:val="-4"/>
          <w:sz w:val="28"/>
          <w:szCs w:val="28"/>
          <w:shd w:fill="auto" w:val="clear"/>
          <w:lang w:val="en-US"/>
        </w:rPr>
        <w:t xml:space="preserve"> </w:t>
      </w:r>
    </w:p>
    <w:p>
      <w:pPr>
        <w:pStyle w:val="Normal"/>
        <w:overflowPunct w:val="true"/>
        <w:ind w:left="0" w:right="-868" w:hanging="0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 xml:space="preserve">Луцького району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Волинської області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z w:val="28"/>
          <w:szCs w:val="28"/>
        </w:rPr>
      </w:pPr>
      <w:r>
        <w:rPr>
          <w:sz w:val="28"/>
          <w:szCs w:val="28"/>
          <w:u w:val="none"/>
        </w:rPr>
        <w:t xml:space="preserve">На виконання рішення </w:t>
      </w:r>
      <w:r>
        <w:rPr>
          <w:sz w:val="28"/>
          <w:szCs w:val="28"/>
          <w:u w:val="none"/>
          <w:lang w:val="uk-UA"/>
        </w:rPr>
        <w:t xml:space="preserve">Волинського окружного адміністративного суду від </w:t>
      </w:r>
      <w:r>
        <w:rPr>
          <w:rFonts w:eastAsia="Times New Roman" w:cs="Times New Roman"/>
          <w:color w:val="auto"/>
          <w:sz w:val="28"/>
          <w:szCs w:val="28"/>
          <w:u w:val="none"/>
          <w:lang w:val="en-US" w:eastAsia="zh-CN" w:bidi="ar-SA"/>
        </w:rPr>
        <w:t>11.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01.2021</w:t>
      </w:r>
      <w:r>
        <w:rPr>
          <w:sz w:val="28"/>
          <w:szCs w:val="28"/>
          <w:u w:val="none"/>
          <w:lang w:val="uk-UA"/>
        </w:rPr>
        <w:t xml:space="preserve"> (справа №140/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16153/20</w:t>
      </w:r>
      <w:r>
        <w:rPr>
          <w:sz w:val="28"/>
          <w:szCs w:val="28"/>
          <w:u w:val="none"/>
          <w:lang w:val="uk-UA"/>
        </w:rPr>
        <w:t xml:space="preserve">), яке набрало законної сили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28.04.2021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u w:val="none"/>
          <w:lang w:val="uk-UA"/>
        </w:rPr>
        <w:t xml:space="preserve">про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визнання протиправним та скасування рішення Княгинівської сільської ради від 16 травня 2020 року № 54/6.74 “Про надання дозволу на розроблення проекту землеустрою щодо відведення земельної ділянки гр. Ксензюк О.Я.” та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п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останови Відділу примусового виконання рішень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правління забезпечення примусового виконання рішень у Волинській області Західного Міжрегіонального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правління Міністерства Юстиції (м. Львів) про прийняття виконавчого провадження від 17.06.2021 ВП № 65598372 про зобов'язання Княгининівської сільської ради надати Ксендзюк Олені Ярославівні дозвіл на розроблення проекту землеустрою щодо відведення земельної ділянки у власність орієнтовною площею 2,0 га, враховуючи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окрему ухвалу Волинського окружного адміністративного суду від 08.09.2021, справа № 140/16153/20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,</w:t>
      </w:r>
      <w:r>
        <w:rPr>
          <w:sz w:val="28"/>
          <w:szCs w:val="28"/>
          <w:u w:val="none"/>
        </w:rPr>
        <w:t xml:space="preserve"> розглянувши заяву громадянки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Ксендзюк Олен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Ярославівн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sz w:val="28"/>
          <w:szCs w:val="28"/>
          <w:u w:val="none"/>
        </w:rPr>
        <w:t xml:space="preserve"> від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30.04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.2020 з поданим графічним матеріалом</w:t>
      </w:r>
      <w:r>
        <w:rPr>
          <w:sz w:val="28"/>
          <w:szCs w:val="28"/>
          <w:u w:val="none"/>
          <w:lang w:val="uk-UA"/>
        </w:rPr>
        <w:t xml:space="preserve">, рішення Княгининвської сільської ради від 09.08.2019 № 46/5.2 </w:t>
      </w:r>
      <w:r>
        <w:rPr>
          <w:rFonts w:eastAsia="Times New Roman" w:cs="Times New Roman"/>
          <w:sz w:val="28"/>
          <w:szCs w:val="28"/>
          <w:u w:val="none"/>
          <w:lang w:val="uk-UA"/>
        </w:rPr>
        <w:t>«Про затвердження Генерального плану с. Зміїнець Луцького району Волинської області»</w:t>
      </w:r>
      <w:r>
        <w:rPr>
          <w:sz w:val="28"/>
          <w:szCs w:val="28"/>
          <w:u w:val="none"/>
          <w:lang w:val="uk-UA"/>
        </w:rPr>
        <w:t>,</w:t>
      </w:r>
      <w:r>
        <w:rPr>
          <w:color w:val="C9211E"/>
          <w:sz w:val="28"/>
          <w:szCs w:val="28"/>
          <w:u w:val="none"/>
          <w:lang w:val="uk-UA"/>
        </w:rPr>
        <w:t xml:space="preserve"> </w:t>
      </w:r>
      <w:r>
        <w:rPr>
          <w:color w:val="000000"/>
          <w:sz w:val="28"/>
          <w:szCs w:val="28"/>
          <w:u w:val="none"/>
        </w:rPr>
        <w:t>керуючись статтями</w:t>
      </w:r>
      <w:r>
        <w:rPr>
          <w:color w:val="000000"/>
          <w:sz w:val="28"/>
          <w:szCs w:val="28"/>
          <w:u w:val="none"/>
          <w:lang w:val="ru-RU"/>
        </w:rPr>
        <w:t xml:space="preserve"> 12, </w:t>
      </w:r>
      <w:r>
        <w:rPr>
          <w:color w:val="000000"/>
          <w:sz w:val="28"/>
          <w:szCs w:val="28"/>
          <w:u w:val="none"/>
          <w:lang w:val="uk-UA"/>
        </w:rPr>
        <w:t xml:space="preserve"> </w:t>
      </w:r>
      <w:r>
        <w:rPr>
          <w:color w:val="000000"/>
          <w:sz w:val="28"/>
          <w:szCs w:val="28"/>
          <w:u w:val="none"/>
        </w:rPr>
        <w:t>81,</w:t>
      </w:r>
      <w:r>
        <w:rPr>
          <w:color w:val="000000"/>
          <w:sz w:val="28"/>
          <w:szCs w:val="28"/>
          <w:u w:val="none"/>
          <w:lang w:val="ru-RU"/>
        </w:rPr>
        <w:t xml:space="preserve"> </w:t>
      </w:r>
      <w:r>
        <w:rPr>
          <w:color w:val="000000"/>
          <w:sz w:val="28"/>
          <w:szCs w:val="28"/>
          <w:u w:val="none"/>
          <w:lang w:val="uk-UA"/>
        </w:rPr>
        <w:t>90-</w:t>
      </w:r>
      <w:r>
        <w:rPr>
          <w:color w:val="000000"/>
          <w:sz w:val="28"/>
          <w:szCs w:val="28"/>
          <w:u w:val="none"/>
          <w:lang w:val="ru-RU"/>
        </w:rPr>
        <w:t>91,</w:t>
      </w:r>
      <w:r>
        <w:rPr>
          <w:color w:val="000000"/>
          <w:sz w:val="28"/>
          <w:szCs w:val="28"/>
          <w:u w:val="none"/>
        </w:rPr>
        <w:t xml:space="preserve"> 116, 118, 121, 122, 125</w:t>
      </w:r>
      <w:r>
        <w:rPr>
          <w:color w:val="000000"/>
          <w:sz w:val="28"/>
          <w:szCs w:val="28"/>
          <w:u w:val="none"/>
          <w:lang w:val="ru-RU"/>
        </w:rPr>
        <w:t>-126</w:t>
      </w:r>
      <w:r>
        <w:rPr>
          <w:color w:val="000000"/>
          <w:sz w:val="28"/>
          <w:szCs w:val="28"/>
          <w:u w:val="none"/>
        </w:rPr>
        <w:t xml:space="preserve"> </w:t>
      </w:r>
      <w:r>
        <w:rPr>
          <w:sz w:val="28"/>
          <w:szCs w:val="28"/>
          <w:u w:val="none"/>
        </w:rPr>
        <w:t xml:space="preserve">Земельного кодексу України, Законом України «Про землеустрій», Законом України «Про Державний земельний кадастр», Законом України «Про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охорону навколишнього природного середовища</w:t>
      </w:r>
      <w:r>
        <w:rPr>
          <w:sz w:val="28"/>
          <w:szCs w:val="28"/>
          <w:u w:val="none"/>
        </w:rPr>
        <w:t>», статтею 24 Закон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у</w:t>
      </w:r>
      <w:r>
        <w:rPr>
          <w:sz w:val="28"/>
          <w:szCs w:val="28"/>
          <w:u w:val="none"/>
        </w:rPr>
        <w:t xml:space="preserve"> України «Про регулювання містобудівної діяльності», </w:t>
      </w:r>
      <w:r>
        <w:rPr>
          <w:sz w:val="28"/>
          <w:szCs w:val="28"/>
          <w:u w:val="none"/>
          <w:lang w:val="uk-UA"/>
        </w:rPr>
        <w:t>Закон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ом</w:t>
      </w:r>
      <w:r>
        <w:rPr>
          <w:sz w:val="28"/>
          <w:szCs w:val="28"/>
          <w:u w:val="none"/>
          <w:lang w:val="uk-UA"/>
        </w:rPr>
        <w:t xml:space="preserve"> України </w:t>
      </w:r>
      <w:r>
        <w:rPr>
          <w:color w:val="000000"/>
          <w:sz w:val="28"/>
          <w:szCs w:val="28"/>
          <w:u w:val="none"/>
          <w:lang w:val="uk-UA"/>
        </w:rPr>
        <w:t>«</w:t>
      </w:r>
      <w:r>
        <w:rPr>
          <w:rFonts w:cs="Times New Roman"/>
          <w:color w:val="000000"/>
          <w:spacing w:val="0"/>
          <w:sz w:val="28"/>
          <w:szCs w:val="28"/>
          <w:u w:val="none"/>
          <w:lang w:val="uk-UA" w:eastAsia="uk-UA" w:bidi="ar-SA"/>
        </w:rPr>
        <w:t xml:space="preserve">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адміністрацій»,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sz w:val="28"/>
          <w:szCs w:val="28"/>
          <w:u w:val="none"/>
        </w:rPr>
        <w:t xml:space="preserve"> та ст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аттею</w:t>
      </w:r>
      <w:r>
        <w:rPr>
          <w:sz w:val="28"/>
          <w:szCs w:val="28"/>
          <w:u w:val="none"/>
        </w:rPr>
        <w:t> 26, пунктом 6.1 розділу</w:t>
      </w:r>
      <w:r>
        <w:rPr>
          <w:sz w:val="28"/>
          <w:szCs w:val="28"/>
          <w:u w:val="none"/>
          <w:lang w:val="en-US"/>
        </w:rPr>
        <w:t xml:space="preserve"> V</w:t>
      </w:r>
      <w:r>
        <w:rPr>
          <w:sz w:val="28"/>
          <w:szCs w:val="28"/>
          <w:u w:val="none"/>
          <w:lang w:val="uk-UA"/>
        </w:rPr>
        <w:t xml:space="preserve"> Прикінцевих та перехідних положень </w:t>
      </w:r>
      <w:r>
        <w:rPr>
          <w:sz w:val="28"/>
          <w:szCs w:val="28"/>
          <w:u w:val="none"/>
        </w:rPr>
        <w:t>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</w:r>
    </w:p>
    <w:p>
      <w:pPr>
        <w:pStyle w:val="Normal"/>
        <w:jc w:val="both"/>
        <w:rPr>
          <w:szCs w:val="28"/>
          <w:u w:val="none"/>
          <w:lang w:val="en-US"/>
        </w:rPr>
      </w:pPr>
      <w:r>
        <w:rPr>
          <w:szCs w:val="28"/>
          <w:u w:val="none"/>
          <w:lang w:val="en-US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855" w:leader="none"/>
        </w:tabs>
        <w:ind w:left="0" w:right="43" w:firstLine="843"/>
        <w:jc w:val="both"/>
        <w:rPr/>
      </w:pPr>
      <w:r>
        <w:rPr>
          <w:szCs w:val="28"/>
          <w:u w:val="none"/>
        </w:rPr>
        <w:t>1.</w:t>
      </w:r>
      <w:r>
        <w:rPr>
          <w:sz w:val="12"/>
          <w:szCs w:val="12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sz w:val="28"/>
          <w:szCs w:val="28"/>
          <w:u w:val="none"/>
        </w:rPr>
        <w:t>громадян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ці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Ксензюк Олені Ярославівні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для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в с. Зміїнець Луцького району Волинської області орієнтовною площею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2,0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га, із земель комунальної власності Луцької міської територіальної громади.</w:t>
      </w:r>
    </w:p>
    <w:p>
      <w:pPr>
        <w:pStyle w:val="Normal"/>
        <w:tabs>
          <w:tab w:val="clear" w:pos="708"/>
          <w:tab w:val="left" w:pos="855" w:leader="none"/>
        </w:tabs>
        <w:ind w:left="0" w:right="43" w:firstLine="843"/>
        <w:jc w:val="both"/>
        <w:rPr/>
      </w:pP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2.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Довести до відома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громадянк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Ксензюк Олен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Ярославівн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и та розробника проекту землеустрою, що земельна ділянка щодо якої подана заява з графічним матеріалом в с. Зміїнець Луцького району Волинської області орієнтовною площею 2,0 га для ведення особистого селянського господарства відповідно до генерального плану села Зміїнець, затвердженого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рішенням Княгининівської сільської ради від 09.08.2019 № 46/5.2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strike w:val="false"/>
          <w:dstrike w:val="false"/>
          <w:color w:val="auto"/>
          <w:kern w:val="0"/>
          <w:sz w:val="28"/>
          <w:szCs w:val="28"/>
          <w:u w:val="none"/>
          <w:lang w:val="uk-UA" w:eastAsia="zh-CN" w:bidi="ar-SA"/>
        </w:rPr>
        <w:t>знаходиться на території проєктованої громадської забудови (8.11 — проєктовані землі комерційного призначення), проєктованих АЗС та СТО (11.5) та проєктованої об'їзної дороги і не відноситься до земель сільськогосподарського призначення.</w:t>
      </w:r>
    </w:p>
    <w:p>
      <w:pPr>
        <w:pStyle w:val="Normal"/>
        <w:tabs>
          <w:tab w:val="clear" w:pos="708"/>
          <w:tab w:val="left" w:pos="855" w:leader="none"/>
        </w:tabs>
        <w:ind w:left="0" w:right="-30" w:firstLine="843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>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ind w:left="0" w:right="0" w:firstLine="763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</w:r>
    </w:p>
    <w:p>
      <w:pPr>
        <w:pStyle w:val="Normal"/>
        <w:bidi w:val="0"/>
        <w:ind w:left="0" w:right="0" w:firstLine="68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ru-RU"/>
        </w:rPr>
        <w:t xml:space="preserve">       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szCs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Style12">
    <w:name w:val="Основной шрифт абзаца"/>
    <w:qFormat/>
    <w:rPr/>
  </w:style>
  <w:style w:type="character" w:styleId="Style13">
    <w:name w:val="Символ нумерации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3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1447</TotalTime>
  <Application>LibreOffice/7.1.3.2$Windows_X86_64 LibreOffice_project/47f78053abe362b9384784d31a6e56f8511eb1c1</Application>
  <AppVersion>15.0000</AppVersion>
  <Pages>2</Pages>
  <Words>462</Words>
  <Characters>3181</Characters>
  <CharactersWithSpaces>3859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dcterms:modified xsi:type="dcterms:W3CDTF">2022-01-04T14:36:10Z</dcterms:modified>
  <cp:revision>230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