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7540" cy="637540"/>
                <wp:effectExtent l="0" t="0" r="0" b="0"/>
                <wp:wrapNone/>
                <wp:docPr id="1" name="shapetype_ole_rId2"/>
                <a:graphic xmlns:a="http://schemas.openxmlformats.org/drawingml/2006/main">
                  <a:graphicData uri="http://schemas.microsoft.com/office/word/2010/wordprocessingShape">
                    <wps:wsp>
                      <wps:cNvSpPr/>
                      <wps:spPr>
                        <a:xfrm>
                          <a:off x="0" y="0"/>
                          <a:ext cx="636840" cy="6368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1pt;height:50.1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2121144503"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right="-868" w:hanging="0"/>
        <w:jc w:val="both"/>
        <w:rPr/>
      </w:pPr>
      <w:r>
        <w:rPr>
          <w:szCs w:val="28"/>
        </w:rPr>
        <w:t>Про</w:t>
      </w:r>
      <w:r>
        <w:rPr>
          <w:sz w:val="20"/>
          <w:szCs w:val="20"/>
        </w:rPr>
        <w:t xml:space="preserve"> </w:t>
      </w:r>
      <w:r>
        <w:rPr>
          <w:szCs w:val="28"/>
        </w:rPr>
        <w:t>надання</w:t>
      </w:r>
      <w:r>
        <w:rPr>
          <w:sz w:val="20"/>
          <w:szCs w:val="20"/>
        </w:rPr>
        <w:t xml:space="preserve"> </w:t>
      </w:r>
      <w:r>
        <w:rPr>
          <w:szCs w:val="28"/>
        </w:rPr>
        <w:t>громадянину</w:t>
      </w:r>
      <w:r>
        <w:rPr>
          <w:sz w:val="16"/>
          <w:szCs w:val="28"/>
        </w:rPr>
        <w:t xml:space="preserve">   </w:t>
      </w:r>
      <w:r>
        <w:rPr>
          <w:rFonts w:eastAsia="Times New Roman" w:cs="Times New Roman"/>
          <w:sz w:val="28"/>
          <w:szCs w:val="28"/>
          <w:lang w:bidi="ar-SA"/>
        </w:rPr>
        <w:t>Нестеруку В.Я.</w:t>
      </w:r>
    </w:p>
    <w:p>
      <w:pPr>
        <w:pStyle w:val="Normal"/>
        <w:tabs>
          <w:tab w:val="clear" w:pos="708"/>
          <w:tab w:val="left" w:pos="5387" w:leader="none"/>
          <w:tab w:val="left" w:pos="5529" w:leader="none"/>
        </w:tabs>
        <w:overflowPunct w:val="true"/>
        <w:ind w:right="-868" w:hanging="0"/>
        <w:jc w:val="both"/>
        <w:rPr>
          <w:szCs w:val="28"/>
        </w:rPr>
      </w:pPr>
      <w:r>
        <w:rPr>
          <w:szCs w:val="28"/>
        </w:rPr>
        <w:t>дозволу</w:t>
      </w:r>
      <w:r>
        <w:rPr>
          <w:sz w:val="12"/>
          <w:szCs w:val="40"/>
        </w:rPr>
        <w:t xml:space="preserve"> </w:t>
      </w:r>
      <w:r>
        <w:rPr>
          <w:szCs w:val="28"/>
        </w:rPr>
        <w:t>на</w:t>
      </w:r>
      <w:r>
        <w:rPr>
          <w:sz w:val="24"/>
          <w:szCs w:val="44"/>
        </w:rPr>
        <w:t xml:space="preserve">  </w:t>
      </w:r>
      <w:r>
        <w:rPr>
          <w:szCs w:val="28"/>
        </w:rPr>
        <w:t>розроблення</w:t>
      </w:r>
      <w:r>
        <w:rPr>
          <w:sz w:val="22"/>
          <w:szCs w:val="40"/>
        </w:rPr>
        <w:t xml:space="preserve"> </w:t>
      </w:r>
      <w:r>
        <w:rPr>
          <w:szCs w:val="28"/>
        </w:rPr>
        <w:t>проекту землеуст-</w:t>
      </w:r>
    </w:p>
    <w:p>
      <w:pPr>
        <w:pStyle w:val="Normal"/>
        <w:tabs>
          <w:tab w:val="clear" w:pos="708"/>
          <w:tab w:val="left" w:pos="5387" w:leader="none"/>
          <w:tab w:val="left" w:pos="5529" w:leader="none"/>
        </w:tabs>
        <w:overflowPunct w:val="true"/>
        <w:ind w:right="-868" w:hanging="0"/>
        <w:jc w:val="both"/>
        <w:rPr>
          <w:szCs w:val="16"/>
        </w:rPr>
      </w:pPr>
      <w:r>
        <w:rPr>
          <w:szCs w:val="28"/>
        </w:rPr>
        <w:t>рою</w:t>
      </w:r>
      <w:r>
        <w:rPr>
          <w:sz w:val="36"/>
          <w:szCs w:val="36"/>
        </w:rPr>
        <w:t xml:space="preserve"> </w:t>
      </w:r>
      <w:r>
        <w:rPr>
          <w:szCs w:val="28"/>
        </w:rPr>
        <w:t xml:space="preserve">щодо </w:t>
      </w:r>
      <w:r>
        <w:rPr>
          <w:sz w:val="32"/>
          <w:szCs w:val="32"/>
        </w:rPr>
        <w:t xml:space="preserve">  </w:t>
      </w:r>
      <w:r>
        <w:rPr>
          <w:szCs w:val="28"/>
        </w:rPr>
        <w:t>відведення</w:t>
      </w:r>
      <w:r>
        <w:rPr>
          <w:sz w:val="32"/>
          <w:szCs w:val="32"/>
        </w:rPr>
        <w:t xml:space="preserve"> </w:t>
      </w:r>
      <w:r>
        <w:rPr>
          <w:szCs w:val="28"/>
        </w:rPr>
        <w:t xml:space="preserve">земельної ділянки </w:t>
      </w:r>
    </w:p>
    <w:p>
      <w:pPr>
        <w:pStyle w:val="Normal"/>
        <w:tabs>
          <w:tab w:val="clear" w:pos="708"/>
          <w:tab w:val="left" w:pos="5387" w:leader="none"/>
          <w:tab w:val="left" w:pos="5529" w:leader="none"/>
        </w:tabs>
        <w:overflowPunct w:val="true"/>
        <w:ind w:right="-868" w:hanging="0"/>
        <w:jc w:val="both"/>
        <w:rPr>
          <w:szCs w:val="16"/>
        </w:rPr>
      </w:pPr>
      <w:r>
        <w:rPr>
          <w:rFonts w:eastAsia="Times New Roman" w:cs="Times New Roman"/>
          <w:b w:val="false"/>
          <w:i w:val="false"/>
          <w:caps w:val="false"/>
          <w:smallCaps w:val="false"/>
          <w:color w:val="auto"/>
          <w:spacing w:val="0"/>
          <w:kern w:val="0"/>
          <w:sz w:val="28"/>
          <w:szCs w:val="28"/>
          <w:lang w:val="uk-UA" w:eastAsia="zh-CN" w:bidi="ar-SA"/>
        </w:rPr>
        <w:t xml:space="preserve">для розміщення та експлуатації основних, </w:t>
      </w:r>
    </w:p>
    <w:p>
      <w:pPr>
        <w:pStyle w:val="Normal"/>
        <w:tabs>
          <w:tab w:val="clear" w:pos="708"/>
          <w:tab w:val="left" w:pos="5387" w:leader="none"/>
          <w:tab w:val="left" w:pos="5529" w:leader="none"/>
        </w:tabs>
        <w:overflowPunct w:val="true"/>
        <w:ind w:right="-868" w:hanging="0"/>
        <w:jc w:val="both"/>
        <w:rPr>
          <w:spacing w:val="-4"/>
        </w:rPr>
      </w:pPr>
      <w:r>
        <w:rPr>
          <w:rFonts w:eastAsia="Times New Roman" w:cs="Times New Roman"/>
          <w:b w:val="false"/>
          <w:i w:val="false"/>
          <w:caps w:val="false"/>
          <w:smallCaps w:val="false"/>
          <w:color w:val="auto"/>
          <w:spacing w:val="-4"/>
          <w:kern w:val="0"/>
          <w:sz w:val="28"/>
          <w:szCs w:val="28"/>
          <w:lang w:val="uk-UA" w:eastAsia="zh-CN" w:bidi="ar-SA"/>
        </w:rPr>
        <w:t>підсобних і допоміжних будівель та споруд</w:t>
      </w:r>
    </w:p>
    <w:p>
      <w:pPr>
        <w:pStyle w:val="Normal"/>
        <w:tabs>
          <w:tab w:val="clear" w:pos="708"/>
          <w:tab w:val="left" w:pos="5387" w:leader="none"/>
          <w:tab w:val="left" w:pos="5529" w:leader="none"/>
        </w:tabs>
        <w:overflowPunct w:val="true"/>
        <w:ind w:right="-868" w:hanging="0"/>
        <w:jc w:val="both"/>
        <w:rPr>
          <w:szCs w:val="16"/>
        </w:rPr>
      </w:pPr>
      <w:r>
        <w:rPr>
          <w:rFonts w:eastAsia="Times New Roman" w:cs="Times New Roman"/>
          <w:b w:val="false"/>
          <w:i w:val="false"/>
          <w:caps w:val="false"/>
          <w:smallCaps w:val="false"/>
          <w:color w:val="auto"/>
          <w:spacing w:val="0"/>
          <w:kern w:val="0"/>
          <w:sz w:val="28"/>
          <w:szCs w:val="28"/>
          <w:lang w:val="uk-UA" w:eastAsia="zh-CN" w:bidi="ar-SA"/>
        </w:rPr>
        <w:t xml:space="preserve">підприємств  переробної, машинобудівної </w:t>
      </w:r>
    </w:p>
    <w:p>
      <w:pPr>
        <w:pStyle w:val="Normal"/>
        <w:tabs>
          <w:tab w:val="clear" w:pos="708"/>
          <w:tab w:val="left" w:pos="5387" w:leader="none"/>
          <w:tab w:val="left" w:pos="5529" w:leader="none"/>
        </w:tabs>
        <w:overflowPunct w:val="true"/>
        <w:ind w:right="-868" w:hanging="0"/>
        <w:jc w:val="both"/>
        <w:rPr>
          <w:spacing w:val="-8"/>
        </w:rPr>
      </w:pPr>
      <w:r>
        <w:rPr>
          <w:rFonts w:eastAsia="Times New Roman" w:cs="Times New Roman"/>
          <w:b w:val="false"/>
          <w:i w:val="false"/>
          <w:caps w:val="false"/>
          <w:smallCaps w:val="false"/>
          <w:color w:val="auto"/>
          <w:spacing w:val="-8"/>
          <w:kern w:val="0"/>
          <w:sz w:val="28"/>
          <w:szCs w:val="28"/>
          <w:lang w:val="uk-UA" w:eastAsia="zh-CN" w:bidi="ar-SA"/>
        </w:rPr>
        <w:t>та іншої промисловості</w:t>
      </w:r>
      <w:r>
        <w:rPr>
          <w:rFonts w:eastAsia="Times New Roman" w:cs="Times New Roman"/>
          <w:color w:val="auto"/>
          <w:spacing w:val="-8"/>
          <w:kern w:val="0"/>
          <w:sz w:val="28"/>
          <w:szCs w:val="28"/>
          <w:lang w:val="uk-UA" w:eastAsia="zh-CN" w:bidi="ar-SA"/>
        </w:rPr>
        <w:t xml:space="preserve"> </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за межами населених</w:t>
      </w:r>
    </w:p>
    <w:p>
      <w:pPr>
        <w:pStyle w:val="Normal"/>
        <w:tabs>
          <w:tab w:val="clear" w:pos="708"/>
          <w:tab w:val="left" w:pos="5387" w:leader="none"/>
          <w:tab w:val="left" w:pos="5529" w:leader="none"/>
        </w:tabs>
        <w:overflowPunct w:val="true"/>
        <w:ind w:right="-868" w:hanging="0"/>
        <w:jc w:val="both"/>
        <w:rPr>
          <w:spacing w:val="-2"/>
        </w:rPr>
      </w:pPr>
      <w:r>
        <w:rPr>
          <w:rFonts w:eastAsia="Times New Roman" w:cs="Times New Roman"/>
          <w:b w:val="false"/>
          <w:bCs/>
          <w:i w:val="false"/>
          <w:caps w:val="false"/>
          <w:smallCaps w:val="false"/>
          <w:color w:val="000000"/>
          <w:spacing w:val="-2"/>
          <w:kern w:val="2"/>
          <w:sz w:val="28"/>
          <w:szCs w:val="28"/>
          <w:u w:val="none"/>
          <w:shd w:fill="FFFFFF" w:val="clear"/>
          <w:lang w:val="uk-UA" w:eastAsia="zh-CN" w:bidi="ar-SA"/>
        </w:rPr>
        <w:t>пунктів Луцької міської територіальної гро-</w:t>
      </w:r>
    </w:p>
    <w:p>
      <w:pPr>
        <w:pStyle w:val="Normal"/>
        <w:tabs>
          <w:tab w:val="clear" w:pos="708"/>
          <w:tab w:val="left" w:pos="5387" w:leader="none"/>
          <w:tab w:val="left" w:pos="5529" w:leader="none"/>
        </w:tabs>
        <w:overflowPunct w:val="true"/>
        <w:ind w:right="-868" w:hanging="0"/>
        <w:jc w:val="both"/>
        <w:rPr>
          <w:szCs w:val="16"/>
        </w:rPr>
      </w:pP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мади (с. Прилуцьке)</w:t>
      </w:r>
    </w:p>
    <w:p>
      <w:pPr>
        <w:pStyle w:val="Normal"/>
        <w:overflowPunct w:val="true"/>
        <w:ind w:right="-868" w:hanging="0"/>
        <w:jc w:val="both"/>
        <w:rPr>
          <w:sz w:val="16"/>
          <w:szCs w:val="16"/>
        </w:rPr>
      </w:pPr>
      <w:r>
        <w:rPr>
          <w:sz w:val="16"/>
          <w:szCs w:val="16"/>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en-US" w:eastAsia="zh-CN" w:bidi="ar-SA"/>
        </w:rPr>
        <w:t>з</w:t>
      </w:r>
      <w:r>
        <w:rPr>
          <w:rFonts w:eastAsia="Times New Roman" w:cs="Times New Roman"/>
          <w:color w:val="auto"/>
          <w:kern w:val="0"/>
          <w:sz w:val="28"/>
          <w:szCs w:val="28"/>
          <w:lang w:val="uk-UA" w:eastAsia="zh-CN" w:bidi="ar-SA"/>
        </w:rPr>
        <w:t>аяву</w:t>
      </w:r>
      <w:r>
        <w:rPr>
          <w:szCs w:val="28"/>
          <w:lang w:val="uk-UA"/>
        </w:rPr>
        <w:t xml:space="preserve"> </w:t>
      </w:r>
      <w:r>
        <w:rPr>
          <w:szCs w:val="28"/>
        </w:rPr>
        <w:t>громадян</w:t>
      </w:r>
      <w:r>
        <w:rPr>
          <w:rFonts w:eastAsia="Times New Roman" w:cs="Times New Roman"/>
          <w:sz w:val="28"/>
          <w:szCs w:val="28"/>
          <w:lang w:bidi="ar-SA"/>
        </w:rPr>
        <w:t>ина</w:t>
      </w:r>
      <w:r>
        <w:rPr>
          <w:szCs w:val="28"/>
        </w:rPr>
        <w:t xml:space="preserve"> </w:t>
      </w:r>
      <w:r>
        <w:rPr>
          <w:rFonts w:eastAsia="Times New Roman" w:cs="Times New Roman"/>
          <w:sz w:val="28"/>
          <w:szCs w:val="28"/>
          <w:lang w:bidi="ar-SA"/>
        </w:rPr>
        <w:t>Нестерука Василя Ярославовича</w:t>
      </w:r>
      <w:r>
        <w:rPr>
          <w:szCs w:val="28"/>
        </w:rPr>
        <w:t xml:space="preserve"> про надання дозволу на розроблення проекту землеустрою щодо відведення земельної ділянки в оренду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за межами населених пунктів Луцької міської  територіальної громади (с. Прилуцьке) для розміщення та експлуатації основних, підсобних і допоміжних будівель та споруд підприємств переробної, машинобудівної та іншої промисловості (11.02), </w:t>
      </w:r>
      <w:r>
        <w:rPr>
          <w:szCs w:val="28"/>
        </w:rPr>
        <w:t xml:space="preserve">для будівництва та обслуговування </w:t>
      </w:r>
      <w:r>
        <w:rPr>
          <w:rFonts w:eastAsia="Times New Roman" w:cs="Times New Roman"/>
          <w:sz w:val="28"/>
          <w:szCs w:val="28"/>
          <w:lang w:bidi="ar-SA"/>
        </w:rPr>
        <w:t>виробничо-складських приміщень</w:t>
      </w:r>
      <w:r>
        <w:rPr>
          <w:szCs w:val="28"/>
        </w:rPr>
        <w:t>,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документи, що посвідчують право власності: свідоцтво про право власності на нерухоме м</w:t>
      </w:r>
      <w:r>
        <w:rPr>
          <w:rFonts w:eastAsia="Times New Roman" w:cs="Times New Roman"/>
          <w:sz w:val="28"/>
          <w:szCs w:val="28"/>
          <w:lang w:bidi="ar-SA"/>
        </w:rPr>
        <w:t>а</w:t>
      </w:r>
      <w:r>
        <w:rPr>
          <w:szCs w:val="28"/>
        </w:rPr>
        <w:t>йно від 03.12.2012, Серія САС № 819723, витяг про державну реєстрацію прав від 04.12.</w:t>
      </w:r>
      <w:r>
        <w:rPr>
          <w:rFonts w:eastAsia="Times New Roman" w:cs="Times New Roman"/>
          <w:color w:val="auto"/>
          <w:kern w:val="0"/>
          <w:sz w:val="28"/>
          <w:szCs w:val="28"/>
          <w:lang w:val="uk-UA" w:eastAsia="zh-CN" w:bidi="ar-SA"/>
        </w:rPr>
        <w:t xml:space="preserve">2012, номер витягу: 36537850, технічний паспорт на об'єкт нерухомого майна (свинарник) від 03.10.2012, довідку СГВК «Прилуцький» від 14.12.2021 № 25,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Схему планування території Прилуцької сільської ради, затверджену рішенням Прилуцької сільської ради від 07.07.2011 № 7/3 «Про затвердження Схеми планування території Прилуцької сільської ради», із внесеними змінами, затвердженими рішенням Прилуцької сільської ради від 14.07.2015 № 48/3 «Про затвердження внесення змін до Схеми планування території Прилуцької сільської ради (коригування)», </w:t>
      </w:r>
      <w:r>
        <w:rPr>
          <w:rFonts w:eastAsia="Times New Roman" w:cs="Times New Roman"/>
          <w:b w:val="false"/>
          <w:bCs w:val="false"/>
          <w:i w:val="false"/>
          <w:caps w:val="false"/>
          <w:smallCaps w:val="false"/>
          <w:color w:val="000000"/>
          <w:spacing w:val="0"/>
          <w:kern w:val="2"/>
          <w:sz w:val="28"/>
          <w:szCs w:val="28"/>
          <w:u w:val="none"/>
          <w:shd w:fill="FFFFFF" w:val="clear"/>
          <w:lang w:val="uk-UA" w:eastAsia="zh-CN" w:bidi="ar-SA"/>
        </w:rPr>
        <w:t xml:space="preserve">Генеральний план села Прилуцьке, затверджений рішенням Прилуцької сільської ради від 31.08.2018 № 3-40/2018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«Про затвердження внесення змін до Генерального плану с. Прилуцьке Ківерцівського району Волинської області», детальний план території господарського двору за межами с. Прилуцьке, затверджений розпорядженням Ківерцівської районної державної адміністрації Волинської області від 19.12.2017 № 445 «Про затвердження детального плану території», </w:t>
      </w:r>
      <w:r>
        <w:rPr>
          <w:szCs w:val="28"/>
        </w:rPr>
        <w:t xml:space="preserve">керуючись статтями 12, 79-1, 93, 122, 123, абзацом 2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107 постанови Кабінету Міністрів України від 17.10.2012 № 1051 «Про затвердження Порядку ведення Державного земельного кадастру», </w:t>
      </w:r>
      <w:r>
        <w:rPr>
          <w:color w:val="000000"/>
          <w:szCs w:val="28"/>
          <w:lang w:eastAsia="uk-UA"/>
        </w:rPr>
        <w:t xml:space="preserve">Постановою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s="Times New Roman"/>
          <w:color w:val="000000"/>
          <w:spacing w:val="-2"/>
          <w:kern w:val="2"/>
          <w:sz w:val="28"/>
          <w:szCs w:val="28"/>
          <w:shd w:fill="FFFFFF" w:val="clear"/>
          <w:lang w:val="uk-UA" w:eastAsia="zh-CN" w:bidi="ar-SA"/>
        </w:rPr>
        <w:t>М</w:t>
      </w:r>
      <w:r>
        <w:rPr>
          <w:color w:val="000000"/>
          <w:spacing w:val="-2"/>
          <w:kern w:val="2"/>
          <w:szCs w:val="28"/>
          <w:shd w:fill="FFFFFF" w:val="clear"/>
        </w:rPr>
        <w:t xml:space="preserve">іністрів України від 12 червня 2020 р.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рішенням Луцької міської ради від 25.09.2019 № </w:t>
      </w:r>
      <w:r>
        <w:rPr>
          <w:rFonts w:eastAsia="Times New Roman" w:cs="Times New Roman"/>
          <w:color w:val="000000"/>
          <w:spacing w:val="-2"/>
          <w:kern w:val="2"/>
          <w:sz w:val="28"/>
          <w:szCs w:val="28"/>
          <w:shd w:fill="FFFFFF" w:val="clear"/>
          <w:lang w:bidi="ar-SA"/>
        </w:rPr>
        <w:t>63/43</w:t>
      </w:r>
      <w:r>
        <w:rPr>
          <w:color w:val="000000"/>
          <w:spacing w:val="-2"/>
          <w:kern w:val="2"/>
          <w:szCs w:val="28"/>
          <w:shd w:fill="FFFFFF" w:val="clear"/>
        </w:rPr>
        <w:t xml:space="preserve"> </w:t>
      </w:r>
      <w:r>
        <w:rPr>
          <w:color w:val="000000"/>
          <w:spacing w:val="-2"/>
          <w:kern w:val="2"/>
          <w:szCs w:val="28"/>
          <w:highlight w:val="white"/>
          <w:shd w:fill="FFFFFF" w:val="clear"/>
        </w:rPr>
        <w:t>«</w:t>
      </w:r>
      <w:r>
        <w:rPr>
          <w:szCs w:val="28"/>
        </w:rPr>
        <w:t xml:space="preserve">Про </w:t>
      </w:r>
      <w:r>
        <w:rPr>
          <w:rFonts w:eastAsia="Times New Roman" w:cs="Times New Roman"/>
          <w:sz w:val="28"/>
          <w:szCs w:val="28"/>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Cs w:val="28"/>
          <w:highlight w:val="white"/>
          <w:shd w:fill="FFFFFF" w:val="clear"/>
        </w:rPr>
        <w:t>»</w:t>
      </w:r>
      <w:r>
        <w:rPr>
          <w:color w:val="000000"/>
          <w:szCs w:val="28"/>
          <w:lang w:eastAsia="uk-UA"/>
        </w:rPr>
        <w:t>, статтями 26, 59 та пунктом 6</w:t>
      </w:r>
      <w:r>
        <w:rPr>
          <w:color w:val="000000"/>
          <w:szCs w:val="28"/>
          <w:vertAlign w:val="superscript"/>
          <w:lang w:eastAsia="uk-UA"/>
        </w:rPr>
        <w:t>-1</w:t>
      </w:r>
      <w:r>
        <w:rPr>
          <w:color w:val="000000"/>
          <w:szCs w:val="28"/>
          <w:lang w:eastAsia="uk-UA"/>
        </w:rPr>
        <w:t xml:space="preserve"> розділу 5 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tabs>
          <w:tab w:val="clear" w:pos="708"/>
          <w:tab w:val="left" w:pos="993" w:leader="none"/>
        </w:tabs>
        <w:ind w:firstLine="567"/>
        <w:jc w:val="both"/>
        <w:rPr>
          <w:sz w:val="24"/>
        </w:rPr>
      </w:pPr>
      <w:r>
        <w:rPr>
          <w:sz w:val="24"/>
        </w:rPr>
      </w:r>
    </w:p>
    <w:p>
      <w:pPr>
        <w:pStyle w:val="Normal"/>
        <w:jc w:val="both"/>
        <w:rPr>
          <w:szCs w:val="28"/>
        </w:rPr>
      </w:pPr>
      <w:r>
        <w:rPr>
          <w:szCs w:val="28"/>
        </w:rPr>
        <w:t>ВИРІШИЛА:</w:t>
      </w:r>
    </w:p>
    <w:p>
      <w:pPr>
        <w:pStyle w:val="Normal"/>
        <w:jc w:val="both"/>
        <w:rPr>
          <w:sz w:val="24"/>
        </w:rPr>
      </w:pPr>
      <w:r>
        <w:rPr>
          <w:sz w:val="24"/>
        </w:rPr>
      </w:r>
    </w:p>
    <w:p>
      <w:pPr>
        <w:pStyle w:val="Normal"/>
        <w:ind w:right="170" w:firstLine="567"/>
        <w:jc w:val="both"/>
        <w:rPr/>
      </w:pPr>
      <w:r>
        <w:rPr>
          <w:szCs w:val="28"/>
        </w:rPr>
        <w:t xml:space="preserve">1. Надати громадянину </w:t>
      </w:r>
      <w:r>
        <w:rPr>
          <w:rFonts w:eastAsia="Times New Roman" w:cs="Times New Roman"/>
          <w:sz w:val="28"/>
          <w:szCs w:val="28"/>
          <w:lang w:bidi="ar-SA"/>
        </w:rPr>
        <w:t>Нестеруку Василю Ярославовичу</w:t>
      </w:r>
      <w:r>
        <w:rPr>
          <w:szCs w:val="28"/>
        </w:rPr>
        <w:t xml:space="preserve"> дозвіл на розроблення проекту землеустрою щодо відведення земельної ділянки </w:t>
      </w:r>
      <w:r>
        <w:rPr>
          <w:rFonts w:eastAsia="Times New Roman" w:cs="Times New Roman"/>
          <w:sz w:val="28"/>
          <w:szCs w:val="28"/>
          <w:lang w:bidi="ar-SA"/>
        </w:rPr>
        <w:t>на умовах оренди</w:t>
      </w:r>
      <w:r>
        <w:rPr>
          <w:szCs w:val="28"/>
        </w:rPr>
        <w:t xml:space="preserve">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для розміщення та експлуатації основних, підсобних і допоміжних будівель та споруд підприємств переробної, машинобудівної та іншої промисловості (11.02),</w:t>
      </w:r>
      <w:r>
        <w:rPr>
          <w:szCs w:val="28"/>
        </w:rPr>
        <w:t xml:space="preserve"> для будівництва та обслуговування </w:t>
      </w:r>
      <w:r>
        <w:rPr>
          <w:rFonts w:eastAsia="Times New Roman" w:cs="Times New Roman"/>
          <w:sz w:val="28"/>
          <w:szCs w:val="28"/>
          <w:lang w:bidi="ar-SA"/>
        </w:rPr>
        <w:t>виробничо-складських приміщень</w:t>
      </w:r>
      <w:r>
        <w:rPr>
          <w:szCs w:val="28"/>
        </w:rPr>
        <w:t xml:space="preserve"> площею </w:t>
      </w:r>
      <w:r>
        <w:rPr>
          <w:rFonts w:eastAsia="Times New Roman" w:cs="Times New Roman"/>
          <w:sz w:val="28"/>
          <w:szCs w:val="28"/>
          <w:lang w:bidi="ar-SA"/>
        </w:rPr>
        <w:t xml:space="preserve">0,5293 га кадастровим номером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0721885800:06:000:2091 за межами населених пунктів Луцької міської  територіальної громади (с. Прилуцьке)</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ind w:right="170" w:firstLine="567"/>
        <w:jc w:val="both"/>
        <w:rPr/>
      </w:pPr>
      <w:r>
        <w:rPr>
          <w:szCs w:val="28"/>
        </w:rPr>
        <w:t>Проект землеустрою щодо відведення земельної ділянки подати для розгляду та затвердження у встановленому порядку.</w:t>
      </w:r>
    </w:p>
    <w:p>
      <w:pPr>
        <w:pStyle w:val="Normal"/>
        <w:tabs>
          <w:tab w:val="clear" w:pos="708"/>
          <w:tab w:val="left" w:pos="720" w:leader="none"/>
        </w:tabs>
        <w:ind w:right="57" w:firstLine="567"/>
        <w:jc w:val="both"/>
        <w:rPr>
          <w:szCs w:val="28"/>
        </w:rPr>
      </w:pPr>
      <w:r>
        <w:rPr>
          <w:szCs w:val="28"/>
        </w:rPr>
        <w:t>2. 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Application>LibreOffice/7.1.3.2$Windows_X86_64 LibreOffice_project/47f78053abe362b9384784d31a6e56f8511eb1c1</Application>
  <AppVersion>15.0000</AppVersion>
  <Pages>2</Pages>
  <Words>535</Words>
  <Characters>3733</Characters>
  <CharactersWithSpaces>4418</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2022-01-04T15:02:29Z</dcterms:modified>
  <cp:revision>78</cp:revision>
  <dc:subject/>
  <dc:title/>
</cp:coreProperties>
</file>

<file path=docProps/custom.xml><?xml version="1.0" encoding="utf-8"?>
<Properties xmlns="http://schemas.openxmlformats.org/officeDocument/2006/custom-properties" xmlns:vt="http://schemas.openxmlformats.org/officeDocument/2006/docPropsVTypes"/>
</file>