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tabs>
          <w:tab w:val="clear" w:pos="709"/>
          <w:tab w:val="left" w:pos="18249" w:leader="none"/>
          <w:tab w:val="left" w:pos="18309" w:leader="none"/>
        </w:tabs>
        <w:bidi w:val="0"/>
        <w:spacing w:lineRule="atLeast" w:line="100" w:before="0" w:after="0"/>
        <w:ind w:left="10261" w:right="0" w:hanging="0"/>
        <w:jc w:val="both"/>
        <w:rPr/>
      </w:pPr>
      <w:r>
        <w:rPr>
          <w:sz w:val="28"/>
          <w:szCs w:val="28"/>
          <w:lang w:eastAsia="ru-RU"/>
        </w:rPr>
        <w:t>Д</w:t>
      </w:r>
      <w:r>
        <w:rPr>
          <w:rFonts w:ascii="Times New Roman" w:hAnsi="Times New Roman"/>
          <w:sz w:val="28"/>
          <w:szCs w:val="28"/>
          <w:lang w:eastAsia="ru-RU"/>
        </w:rPr>
        <w:t xml:space="preserve">одаток 2 </w:t>
      </w:r>
    </w:p>
    <w:p>
      <w:pPr>
        <w:pStyle w:val="Normal"/>
        <w:bidi w:val="0"/>
        <w:ind w:left="10261" w:right="0" w:hanging="0"/>
        <w:jc w:val="left"/>
        <w:rPr/>
      </w:pPr>
      <w:r>
        <w:rPr>
          <w:rFonts w:ascii="Times New Roman" w:hAnsi="Times New Roman"/>
          <w:sz w:val="28"/>
          <w:szCs w:val="28"/>
          <w:lang w:eastAsia="ru-RU"/>
        </w:rPr>
        <w:t>до Програми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Style w:val="6"/>
          <w:rFonts w:ascii="Times New Roman" w:hAnsi="Times New Roman"/>
          <w:sz w:val="28"/>
          <w:szCs w:val="28"/>
        </w:rPr>
        <w:t xml:space="preserve">автоматизованої </w:t>
      </w:r>
    </w:p>
    <w:p>
      <w:pPr>
        <w:pStyle w:val="Normal"/>
        <w:bidi w:val="0"/>
        <w:ind w:left="10261" w:right="0" w:hanging="0"/>
        <w:jc w:val="left"/>
        <w:rPr/>
      </w:pPr>
      <w:r>
        <w:rPr>
          <w:rStyle w:val="6"/>
          <w:rFonts w:ascii="Times New Roman" w:hAnsi="Times New Roman"/>
          <w:sz w:val="28"/>
          <w:szCs w:val="28"/>
        </w:rPr>
        <w:t>системи обліку оплати проїзду</w:t>
      </w:r>
      <w:r>
        <w:rPr>
          <w:rStyle w:val="6"/>
          <w:rFonts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bidi w:val="0"/>
        <w:ind w:left="10261" w:right="0" w:hanging="0"/>
        <w:jc w:val="left"/>
        <w:rPr/>
      </w:pPr>
      <w:r>
        <w:rPr>
          <w:rStyle w:val="6"/>
          <w:rFonts w:ascii="Times New Roman" w:hAnsi="Times New Roman"/>
          <w:sz w:val="28"/>
          <w:szCs w:val="28"/>
        </w:rPr>
        <w:t>в громадському транспорті</w:t>
      </w:r>
    </w:p>
    <w:p>
      <w:pPr>
        <w:pStyle w:val="Normal"/>
        <w:bidi w:val="0"/>
        <w:ind w:left="10261" w:right="0" w:hanging="0"/>
        <w:jc w:val="left"/>
        <w:rPr/>
      </w:pPr>
      <w:r>
        <w:rPr>
          <w:rStyle w:val="6"/>
          <w:rFonts w:ascii="Times New Roman" w:hAnsi="Times New Roman"/>
          <w:color w:val="000000"/>
          <w:spacing w:val="-1"/>
          <w:sz w:val="28"/>
          <w:szCs w:val="28"/>
          <w:shd w:fill="FFFFFF" w:val="clear"/>
          <w:lang w:val="uk-UA"/>
        </w:rPr>
        <w:t xml:space="preserve">Луцької міської територіальної </w:t>
      </w:r>
    </w:p>
    <w:p>
      <w:pPr>
        <w:pStyle w:val="Normal"/>
        <w:bidi w:val="0"/>
        <w:ind w:left="10261" w:right="0" w:hanging="0"/>
        <w:jc w:val="left"/>
        <w:rPr/>
      </w:pPr>
      <w:r>
        <w:rPr>
          <w:rStyle w:val="6"/>
          <w:rFonts w:ascii="Times New Roman" w:hAnsi="Times New Roman"/>
          <w:color w:val="000000"/>
          <w:spacing w:val="-1"/>
          <w:sz w:val="28"/>
          <w:szCs w:val="28"/>
          <w:shd w:fill="FFFFFF" w:val="clear"/>
          <w:lang w:val="uk-UA"/>
        </w:rPr>
        <w:t xml:space="preserve">громади </w:t>
      </w:r>
      <w:r>
        <w:rPr>
          <w:rStyle w:val="6"/>
          <w:rFonts w:ascii="Times New Roman" w:hAnsi="Times New Roman"/>
          <w:sz w:val="28"/>
          <w:szCs w:val="28"/>
        </w:rPr>
        <w:t>на 2020–2024 роки</w:t>
      </w:r>
    </w:p>
    <w:p>
      <w:pPr>
        <w:pStyle w:val="Normal"/>
        <w:widowControl/>
        <w:bidi w:val="0"/>
        <w:ind w:left="12643" w:right="0" w:hanging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bidi w:val="0"/>
        <w:ind w:left="12643" w:right="0" w:hanging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bidi w:val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Напрями діяльності, завдання та заходи</w:t>
      </w:r>
    </w:p>
    <w:p>
      <w:pPr>
        <w:pStyle w:val="Normal"/>
        <w:widowControl/>
        <w:bidi w:val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Програми автоматизованої системи обліку оплати проїзду </w:t>
      </w:r>
    </w:p>
    <w:p>
      <w:pPr>
        <w:pStyle w:val="Normal"/>
        <w:widowControl/>
        <w:bidi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громадському транспорті </w:t>
      </w:r>
      <w:r>
        <w:rPr>
          <w:rFonts w:ascii="Times New Roman" w:hAnsi="Times New Roman"/>
          <w:color w:val="000000"/>
          <w:spacing w:val="-1"/>
          <w:sz w:val="28"/>
          <w:szCs w:val="28"/>
          <w:shd w:fill="FFFFFF" w:val="clear"/>
          <w:lang w:val="uk-UA" w:eastAsia="ru-RU"/>
        </w:rPr>
        <w:t>Луцької міської територіальної громади</w:t>
      </w:r>
      <w:r>
        <w:rPr>
          <w:rFonts w:ascii="Times New Roman" w:hAnsi="Times New Roman"/>
          <w:sz w:val="28"/>
          <w:szCs w:val="28"/>
          <w:lang w:eastAsia="ru-RU"/>
        </w:rPr>
        <w:t xml:space="preserve"> на 2020-2</w:t>
      </w:r>
      <w:r>
        <w:rPr>
          <w:rFonts w:ascii="Times New Roman" w:hAnsi="Times New Roman"/>
          <w:sz w:val="28"/>
          <w:szCs w:val="28"/>
          <w:lang w:val="uk-UA" w:eastAsia="ru-RU"/>
        </w:rPr>
        <w:t>0</w:t>
      </w:r>
      <w:r>
        <w:rPr>
          <w:rFonts w:ascii="Times New Roman" w:hAnsi="Times New Roman"/>
          <w:sz w:val="28"/>
          <w:szCs w:val="28"/>
          <w:lang w:eastAsia="ru-RU"/>
        </w:rPr>
        <w:t>24 роки</w:t>
      </w:r>
    </w:p>
    <w:p>
      <w:pPr>
        <w:pStyle w:val="Normal"/>
        <w:widowControl/>
        <w:bidi w:val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tbl>
      <w:tblPr>
        <w:tblW w:w="14340" w:type="dxa"/>
        <w:jc w:val="left"/>
        <w:tblInd w:w="146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8"/>
        <w:gridCol w:w="1698"/>
        <w:gridCol w:w="3169"/>
        <w:gridCol w:w="2128"/>
        <w:gridCol w:w="1608"/>
        <w:gridCol w:w="1399"/>
        <w:gridCol w:w="1476"/>
        <w:gridCol w:w="2435"/>
        <w:gridCol w:w="57"/>
      </w:tblGrid>
      <w:tr>
        <w:trPr>
          <w:trHeight w:val="567" w:hRule="atLeast"/>
          <w:cantSplit w:val="true"/>
        </w:trPr>
        <w:tc>
          <w:tcPr>
            <w:tcW w:w="3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FFFFF" w:val="clear"/>
            <w:vAlign w:val="cente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Rvts64"/>
                <w:sz w:val="24"/>
                <w:szCs w:val="24"/>
              </w:rPr>
              <w:t>№</w:t>
            </w:r>
          </w:p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Rvts64"/>
                <w:sz w:val="24"/>
                <w:szCs w:val="24"/>
              </w:rPr>
              <w:t>з/п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FFFFF" w:val="clear"/>
            <w:vAlign w:val="cente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Напрям </w:t>
            </w:r>
          </w:p>
          <w:p>
            <w:pPr>
              <w:pStyle w:val="21"/>
              <w:shd w:val="clear" w:fill="FFFFFF"/>
              <w:bidi w:val="0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діяльності</w:t>
            </w:r>
          </w:p>
        </w:tc>
        <w:tc>
          <w:tcPr>
            <w:tcW w:w="3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FFFFF" w:val="clear"/>
            <w:vAlign w:val="cente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Перелік заходів Програми</w:t>
            </w:r>
          </w:p>
        </w:tc>
        <w:tc>
          <w:tcPr>
            <w:tcW w:w="21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FFFFF" w:val="clear"/>
            <w:vAlign w:val="cente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Rvts64"/>
                <w:sz w:val="24"/>
                <w:szCs w:val="24"/>
              </w:rPr>
              <w:t>Виконавці</w:t>
            </w:r>
          </w:p>
        </w:tc>
        <w:tc>
          <w:tcPr>
            <w:tcW w:w="1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FFFFF" w:val="clear"/>
            <w:vAlign w:val="cente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Rvts64"/>
                <w:sz w:val="24"/>
                <w:szCs w:val="24"/>
              </w:rPr>
              <w:t>Джерела фінансування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FFFFF" w:val="clear"/>
            <w:vAlign w:val="cente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Rvts64"/>
                <w:sz w:val="24"/>
                <w:szCs w:val="24"/>
              </w:rPr>
              <w:t>Термін</w:t>
            </w:r>
          </w:p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Rvts64"/>
                <w:sz w:val="24"/>
                <w:szCs w:val="24"/>
              </w:rPr>
              <w:t>виконання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FFFFF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О</w:t>
            </w:r>
            <w:r>
              <w:rPr>
                <w:rFonts w:ascii="Times New Roman" w:hAnsi="Times New Roman"/>
              </w:rPr>
              <w:t xml:space="preserve">бсяги фінансування, </w:t>
            </w:r>
          </w:p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Rvts64"/>
                <w:sz w:val="24"/>
                <w:szCs w:val="24"/>
              </w:rPr>
              <w:t>тис. грн</w:t>
            </w:r>
          </w:p>
        </w:tc>
        <w:tc>
          <w:tcPr>
            <w:tcW w:w="24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  <w:vAlign w:val="cente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Rvts64"/>
                <w:sz w:val="24"/>
                <w:szCs w:val="24"/>
              </w:rPr>
              <w:t xml:space="preserve">Очікуваний результат </w:t>
            </w:r>
          </w:p>
        </w:tc>
      </w:tr>
      <w:tr>
        <w:trPr>
          <w:trHeight w:val="567" w:hRule="atLeast"/>
          <w:cantSplit w:val="true"/>
        </w:trPr>
        <w:tc>
          <w:tcPr>
            <w:tcW w:w="368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1698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Забезпечення електронними квитками осіб, яким надано право пільгового проїзду </w:t>
            </w:r>
          </w:p>
        </w:tc>
        <w:tc>
          <w:tcPr>
            <w:tcW w:w="3169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Style20"/>
              <w:shd w:val="clear" w:fill="FFFFFF"/>
              <w:bidi w:val="0"/>
              <w:snapToGrid w:val="false"/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Видача електронних квитків особам, яким надано право пільгового проїзду. Відшкодування втрат оператору електронних систем від виготовлення електронних квитків  персоніфікованих пільгових та учнівських.</w:t>
            </w:r>
          </w:p>
        </w:tc>
        <w:tc>
          <w:tcPr>
            <w:tcW w:w="2128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Style20"/>
              <w:bidi w:val="0"/>
              <w:snapToGrid w:val="false"/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Управління транспорту та зв'язку, департамент соціальної політики, управління освіти,</w:t>
            </w:r>
          </w:p>
          <w:p>
            <w:pPr>
              <w:pStyle w:val="Style20"/>
              <w:shd w:val="clear" w:fill="FFFFFF"/>
              <w:bidi w:val="0"/>
              <w:snapToGrid w:val="false"/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департамент фінансів та бюджету, оператор електронних систем</w:t>
            </w:r>
          </w:p>
        </w:tc>
        <w:tc>
          <w:tcPr>
            <w:tcW w:w="1608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shd w:val="clear" w:fill="FFFFFF"/>
              <w:bidi w:val="0"/>
              <w:snapToGrid w:val="false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Бюджет Луцької міської територіальної громади</w:t>
            </w:r>
          </w:p>
        </w:tc>
        <w:tc>
          <w:tcPr>
            <w:tcW w:w="1399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2020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</w:rPr>
            </w:pPr>
            <w:r>
              <w:rPr>
                <w:sz w:val="24"/>
                <w:szCs w:val="24"/>
                <w:lang w:val="en-US"/>
              </w:rPr>
              <w:t>716</w:t>
            </w:r>
            <w:r>
              <w:rPr>
                <w:sz w:val="24"/>
                <w:szCs w:val="24"/>
                <w:lang w:val="uk-UA"/>
              </w:rPr>
              <w:t>,00</w:t>
            </w:r>
          </w:p>
        </w:tc>
        <w:tc>
          <w:tcPr>
            <w:tcW w:w="2492" w:type="dxa"/>
            <w:gridSpan w:val="2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Style20"/>
              <w:shd w:val="clear" w:fill="FFFFFF"/>
              <w:bidi w:val="0"/>
              <w:snapToGrid w:val="false"/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Правове забезпечення реалізації Програми.</w:t>
            </w:r>
          </w:p>
        </w:tc>
      </w:tr>
      <w:tr>
        <w:trPr>
          <w:trHeight w:val="567" w:hRule="atLeast"/>
          <w:cantSplit w:val="true"/>
        </w:trPr>
        <w:tc>
          <w:tcPr>
            <w:tcW w:w="36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9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169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399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2021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</w:rPr>
            </w:pPr>
            <w:r>
              <w:rPr>
                <w:sz w:val="24"/>
                <w:szCs w:val="24"/>
                <w:lang w:val="en-US"/>
              </w:rPr>
              <w:t>325</w:t>
            </w:r>
            <w:r>
              <w:rPr>
                <w:sz w:val="24"/>
                <w:szCs w:val="24"/>
                <w:lang w:val="uk-UA"/>
              </w:rPr>
              <w:t>,00</w:t>
            </w:r>
          </w:p>
        </w:tc>
        <w:tc>
          <w:tcPr>
            <w:tcW w:w="2492" w:type="dxa"/>
            <w:gridSpan w:val="2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36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9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169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399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2022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280,00</w:t>
            </w:r>
          </w:p>
        </w:tc>
        <w:tc>
          <w:tcPr>
            <w:tcW w:w="2492" w:type="dxa"/>
            <w:gridSpan w:val="2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36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9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169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399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2023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280,00</w:t>
            </w:r>
          </w:p>
        </w:tc>
        <w:tc>
          <w:tcPr>
            <w:tcW w:w="2492" w:type="dxa"/>
            <w:gridSpan w:val="2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36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9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169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399" w:type="dxa"/>
            <w:tcBorders>
              <w:left w:val="single" w:sz="8" w:space="0" w:color="000000"/>
              <w:bottom w:val="single" w:sz="4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2024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left w:val="single" w:sz="8" w:space="0" w:color="000000"/>
              <w:bottom w:val="single" w:sz="4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280,00</w:t>
            </w:r>
          </w:p>
        </w:tc>
        <w:tc>
          <w:tcPr>
            <w:tcW w:w="2492" w:type="dxa"/>
            <w:gridSpan w:val="2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2.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Проведення інформаційно-роз’яснювальних робіт</w:t>
            </w:r>
          </w:p>
        </w:tc>
        <w:tc>
          <w:tcPr>
            <w:tcW w:w="3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0"/>
              <w:shd w:val="clear" w:fill="FFFFFF"/>
              <w:bidi w:val="0"/>
              <w:snapToGrid w:val="false"/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Інформування населення щодо отримання електронних квитків, способів поповнення та використання (у засобах масової інформації, друк буклетів, листівок).</w:t>
            </w:r>
          </w:p>
        </w:tc>
        <w:tc>
          <w:tcPr>
            <w:tcW w:w="2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0"/>
              <w:bidi w:val="0"/>
              <w:snapToGrid w:val="false"/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Управління транспорту та зв'язку, відділ інформаційної роботи</w:t>
            </w:r>
          </w:p>
        </w:tc>
        <w:tc>
          <w:tcPr>
            <w:tcW w:w="16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shd w:val="clear" w:fill="FFFFFF"/>
              <w:bidi w:val="0"/>
              <w:snapToGrid w:val="false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Бюджет Луцької міської територіальної громади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2020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0,00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20"/>
              <w:shd w:val="clear" w:fill="FFFFFF"/>
              <w:bidi w:val="0"/>
              <w:snapToGrid w:val="false"/>
              <w:jc w:val="left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Поінформованість жителів та гостей міста щодо функціонування АСООП.</w:t>
            </w:r>
          </w:p>
        </w:tc>
        <w:tc>
          <w:tcPr>
            <w:tcW w:w="57" w:type="dxa"/>
            <w:tcBorders>
              <w:left w:val="single" w:sz="4" w:space="0" w:color="000000"/>
            </w:tcBorders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</w:tr>
      <w:tr>
        <w:trPr>
          <w:trHeight w:val="396" w:hRule="atLeast"/>
          <w:cantSplit w:val="true"/>
        </w:trPr>
        <w:tc>
          <w:tcPr>
            <w:tcW w:w="3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6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1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39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2021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20,00</w:t>
            </w:r>
          </w:p>
        </w:tc>
        <w:tc>
          <w:tcPr>
            <w:tcW w:w="2492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25" w:hRule="atLeast"/>
          <w:cantSplit w:val="true"/>
        </w:trPr>
        <w:tc>
          <w:tcPr>
            <w:tcW w:w="3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1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399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2022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20,00</w:t>
            </w:r>
          </w:p>
        </w:tc>
        <w:tc>
          <w:tcPr>
            <w:tcW w:w="2492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89" w:hRule="atLeast"/>
          <w:cantSplit w:val="true"/>
        </w:trPr>
        <w:tc>
          <w:tcPr>
            <w:tcW w:w="3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1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399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2023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20,00</w:t>
            </w:r>
          </w:p>
        </w:tc>
        <w:tc>
          <w:tcPr>
            <w:tcW w:w="2492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6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1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399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2024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20,00</w:t>
            </w:r>
          </w:p>
        </w:tc>
        <w:tc>
          <w:tcPr>
            <w:tcW w:w="2492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7" w:hRule="atLeast"/>
          <w:cantSplit w:val="true"/>
        </w:trPr>
        <w:tc>
          <w:tcPr>
            <w:tcW w:w="36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169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Висвітлення даних про громадський транспорт на зупинках міста</w:t>
            </w:r>
          </w:p>
        </w:tc>
        <w:tc>
          <w:tcPr>
            <w:tcW w:w="3169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0"/>
              <w:shd w:val="clear" w:fill="FFFFFF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Відображення даних з АСООП, забезпечення зв’язку між інформаційними табло та сервером АСООП з даними прибуття транспорту в режимі онлайн (послуги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доступу до інтернет-мережі). Ремонту та обслуговування розумних зупинок та розумних табло.</w:t>
            </w:r>
          </w:p>
          <w:p>
            <w:pPr>
              <w:pStyle w:val="Style20"/>
              <w:shd w:val="clear" w:fill="FFFFFF"/>
              <w:bidi w:val="0"/>
              <w:snapToGrid w:val="false"/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Виготовлення та розміщення друкованих схем і розкладів руху на зупинках міста.</w:t>
            </w:r>
          </w:p>
        </w:tc>
        <w:tc>
          <w:tcPr>
            <w:tcW w:w="21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0"/>
              <w:bidi w:val="0"/>
              <w:snapToGrid w:val="false"/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Управління транспорту та зв'язку, </w:t>
            </w:r>
          </w:p>
          <w:p>
            <w:pPr>
              <w:pStyle w:val="Style20"/>
              <w:shd w:val="clear" w:fill="FFFFFF"/>
              <w:bidi w:val="0"/>
              <w:snapToGrid w:val="false"/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департамент фінансів та бюджету, оператор електронних систем</w:t>
            </w:r>
          </w:p>
        </w:tc>
        <w:tc>
          <w:tcPr>
            <w:tcW w:w="160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shd w:val="clear" w:fill="FFFFFF"/>
              <w:bidi w:val="0"/>
              <w:snapToGrid w:val="false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Бюджет Луцької міської територіальної громади</w:t>
            </w:r>
          </w:p>
        </w:tc>
        <w:tc>
          <w:tcPr>
            <w:tcW w:w="1399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2020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</w:rPr>
            </w:pPr>
            <w:r>
              <w:rPr>
                <w:sz w:val="24"/>
                <w:szCs w:val="24"/>
                <w:lang w:val="en-US"/>
              </w:rPr>
              <w:t>150</w:t>
            </w:r>
            <w:r>
              <w:rPr>
                <w:sz w:val="24"/>
                <w:szCs w:val="24"/>
                <w:lang w:val="uk-UA"/>
              </w:rPr>
              <w:t>,00</w:t>
            </w:r>
          </w:p>
        </w:tc>
        <w:tc>
          <w:tcPr>
            <w:tcW w:w="2492" w:type="dxa"/>
            <w:gridSpan w:val="2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shd w:fill="auto" w:val="clear"/>
                <w:lang w:val="uk-UA"/>
              </w:rPr>
              <w:t xml:space="preserve">Зменшення часу очікування на зупинках громадського транспорту. </w:t>
            </w:r>
          </w:p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  <w:lang w:val="uk-UA"/>
              </w:rPr>
              <w:t>Підвищення якості надання транспортних послуг міським пасажирським транспортом.</w:t>
            </w:r>
            <w:r>
              <w:rPr>
                <w:rFonts w:eastAsia="Times New Roman" w:cs="Times New Roman"/>
                <w:sz w:val="24"/>
                <w:szCs w:val="24"/>
                <w:lang w:val="uk-UA"/>
              </w:rPr>
              <w:t xml:space="preserve"> Підтримки результатів міжнародного грантового проєкту «Використання екологічних і розумних технологій у системі громадського транспорту міста Луцька».</w:t>
            </w:r>
          </w:p>
        </w:tc>
      </w:tr>
      <w:tr>
        <w:trPr>
          <w:trHeight w:val="424" w:hRule="atLeast"/>
          <w:cantSplit w:val="true"/>
        </w:trPr>
        <w:tc>
          <w:tcPr>
            <w:tcW w:w="36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69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316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0"/>
              <w:shd w:val="clear" w:fill="FFFFFF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0"/>
              <w:bidi w:val="0"/>
              <w:snapToGrid w:val="false"/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</w:r>
          </w:p>
        </w:tc>
        <w:tc>
          <w:tcPr>
            <w:tcW w:w="160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shd w:val="clear" w:fill="FFFFFF"/>
              <w:bidi w:val="0"/>
              <w:snapToGrid w:val="false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</w:r>
          </w:p>
        </w:tc>
        <w:tc>
          <w:tcPr>
            <w:tcW w:w="1399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2021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</w:rPr>
            </w:pPr>
            <w:r>
              <w:rPr>
                <w:sz w:val="24"/>
                <w:szCs w:val="24"/>
                <w:lang w:val="en-US"/>
              </w:rPr>
              <w:t>150</w:t>
            </w:r>
            <w:r>
              <w:rPr>
                <w:sz w:val="24"/>
                <w:szCs w:val="24"/>
                <w:lang w:val="uk-UA"/>
              </w:rPr>
              <w:t>,00</w:t>
            </w:r>
          </w:p>
        </w:tc>
        <w:tc>
          <w:tcPr>
            <w:tcW w:w="2492" w:type="dxa"/>
            <w:gridSpan w:val="2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7" w:hRule="atLeast"/>
          <w:cantSplit w:val="true"/>
        </w:trPr>
        <w:tc>
          <w:tcPr>
            <w:tcW w:w="36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69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316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0"/>
              <w:shd w:val="clear" w:fill="FFFFFF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0"/>
              <w:bidi w:val="0"/>
              <w:snapToGrid w:val="false"/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</w:r>
          </w:p>
        </w:tc>
        <w:tc>
          <w:tcPr>
            <w:tcW w:w="160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shd w:val="clear" w:fill="FFFFFF"/>
              <w:bidi w:val="0"/>
              <w:snapToGrid w:val="false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</w:r>
          </w:p>
        </w:tc>
        <w:tc>
          <w:tcPr>
            <w:tcW w:w="1399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2022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  <w:highlight w:val="white"/>
                <w:lang w:val="uk-UA" w:eastAsia="ru-RU"/>
              </w:rPr>
            </w:pPr>
            <w:r>
              <w:rPr>
                <w:sz w:val="24"/>
                <w:szCs w:val="24"/>
                <w:shd w:fill="FFFFFF" w:val="clear"/>
                <w:lang w:val="uk-UA" w:eastAsia="ru-RU"/>
              </w:rPr>
              <w:t>400.00</w:t>
            </w:r>
          </w:p>
        </w:tc>
        <w:tc>
          <w:tcPr>
            <w:tcW w:w="2492" w:type="dxa"/>
            <w:gridSpan w:val="2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7" w:hRule="atLeast"/>
          <w:cantSplit w:val="true"/>
        </w:trPr>
        <w:tc>
          <w:tcPr>
            <w:tcW w:w="36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69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316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0"/>
              <w:shd w:val="clear" w:fill="FFFFFF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0"/>
              <w:bidi w:val="0"/>
              <w:snapToGrid w:val="false"/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</w:r>
          </w:p>
        </w:tc>
        <w:tc>
          <w:tcPr>
            <w:tcW w:w="160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shd w:val="clear" w:fill="FFFFFF"/>
              <w:bidi w:val="0"/>
              <w:snapToGrid w:val="false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</w:r>
          </w:p>
        </w:tc>
        <w:tc>
          <w:tcPr>
            <w:tcW w:w="1399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2023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  <w:tc>
          <w:tcPr>
            <w:tcW w:w="2492" w:type="dxa"/>
            <w:gridSpan w:val="2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67" w:hRule="atLeast"/>
          <w:cantSplit w:val="true"/>
        </w:trPr>
        <w:tc>
          <w:tcPr>
            <w:tcW w:w="36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69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316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0"/>
              <w:shd w:val="clear" w:fill="FFFFFF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Style20"/>
              <w:bidi w:val="0"/>
              <w:snapToGrid w:val="false"/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</w:r>
          </w:p>
        </w:tc>
        <w:tc>
          <w:tcPr>
            <w:tcW w:w="160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FFFFFF" w:val="clear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Normal"/>
              <w:shd w:val="clear" w:fill="FFFFFF"/>
              <w:bidi w:val="0"/>
              <w:snapToGrid w:val="false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</w:r>
          </w:p>
        </w:tc>
        <w:tc>
          <w:tcPr>
            <w:tcW w:w="1399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2024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  <w:tc>
          <w:tcPr>
            <w:tcW w:w="2492" w:type="dxa"/>
            <w:gridSpan w:val="2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368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4.</w:t>
            </w:r>
          </w:p>
        </w:tc>
        <w:tc>
          <w:tcPr>
            <w:tcW w:w="1698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Організація проведення контролю за безготівковою оплатою проїзду</w:t>
            </w:r>
          </w:p>
        </w:tc>
        <w:tc>
          <w:tcPr>
            <w:tcW w:w="3169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Style20"/>
              <w:shd w:val="clear" w:fill="FFFFFF"/>
              <w:bidi w:val="0"/>
              <w:snapToGrid w:val="false"/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Оперативне управління та контроль за роботою груп контролерів</w:t>
            </w:r>
          </w:p>
        </w:tc>
        <w:tc>
          <w:tcPr>
            <w:tcW w:w="2128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Style20"/>
              <w:bidi w:val="0"/>
              <w:snapToGrid w:val="false"/>
              <w:jc w:val="left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Залучений суб’єкт господарювання</w:t>
            </w:r>
          </w:p>
        </w:tc>
        <w:tc>
          <w:tcPr>
            <w:tcW w:w="1608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shd w:val="clear" w:fill="FFFFFF"/>
              <w:bidi w:val="0"/>
              <w:snapToGrid w:val="false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Бюджет Луцької міської територіальної громади</w:t>
            </w:r>
          </w:p>
        </w:tc>
        <w:tc>
          <w:tcPr>
            <w:tcW w:w="1399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</w:t>
            </w:r>
            <w:r>
              <w:rPr>
                <w:rStyle w:val="211pt"/>
                <w:rFonts w:cs="Times New Roman"/>
                <w:sz w:val="24"/>
                <w:szCs w:val="24"/>
                <w:u w:val="none"/>
                <w:lang w:val="uk-UA"/>
              </w:rPr>
              <w:t>2</w:t>
            </w:r>
            <w:r>
              <w:rPr>
                <w:rStyle w:val="211pt"/>
                <w:sz w:val="24"/>
                <w:szCs w:val="24"/>
              </w:rPr>
              <w:t xml:space="preserve">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/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rFonts w:eastAsia="NSimSun" w:cs="Times New Roman"/>
                <w:color w:val="auto"/>
                <w:kern w:val="0"/>
                <w:sz w:val="24"/>
                <w:szCs w:val="24"/>
                <w:lang w:val="en-US" w:eastAsia="zh-CN" w:bidi="hi-IN"/>
              </w:rPr>
              <w:t>50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  <w:lang w:val="uk-UA"/>
              </w:rPr>
              <w:t>,00</w:t>
            </w:r>
          </w:p>
        </w:tc>
        <w:tc>
          <w:tcPr>
            <w:tcW w:w="2492" w:type="dxa"/>
            <w:gridSpan w:val="2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/>
            </w:pPr>
            <w:r>
              <w:rPr>
                <w:sz w:val="24"/>
                <w:szCs w:val="24"/>
                <w:shd w:fill="auto" w:val="clear"/>
                <w:lang w:val="uk-UA"/>
              </w:rPr>
              <w:t xml:space="preserve">Зменшення </w:t>
            </w:r>
            <w:r>
              <w:rPr>
                <w:rFonts w:cs="Times New Roman"/>
                <w:sz w:val="24"/>
                <w:szCs w:val="24"/>
                <w:shd w:fill="auto" w:val="clear"/>
                <w:lang w:val="uk-UA"/>
              </w:rPr>
              <w:t>кількості пасажирів, які не оплатили або не зареєстрували проїзд у</w:t>
            </w:r>
            <w:r>
              <w:rPr>
                <w:sz w:val="24"/>
                <w:szCs w:val="24"/>
                <w:shd w:fill="auto" w:val="clear"/>
                <w:lang w:val="uk-UA"/>
              </w:rPr>
              <w:t xml:space="preserve"> громадсько</w:t>
            </w:r>
            <w:r>
              <w:rPr>
                <w:rFonts w:cs="Times New Roman"/>
                <w:sz w:val="24"/>
                <w:szCs w:val="24"/>
                <w:shd w:fill="auto" w:val="clear"/>
                <w:lang w:val="uk-UA"/>
              </w:rPr>
              <w:t>му</w:t>
            </w:r>
            <w:r>
              <w:rPr>
                <w:sz w:val="24"/>
                <w:szCs w:val="24"/>
                <w:shd w:fill="auto" w:val="clear"/>
                <w:lang w:val="uk-UA"/>
              </w:rPr>
              <w:t xml:space="preserve"> транспорті. </w:t>
            </w:r>
          </w:p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uk-UA"/>
              </w:rPr>
              <w:t xml:space="preserve">Підвищення якості надання транспортних послуг міським пасажирським транспортом. </w:t>
            </w:r>
          </w:p>
        </w:tc>
      </w:tr>
      <w:tr>
        <w:trPr>
          <w:trHeight w:val="567" w:hRule="atLeast"/>
          <w:cantSplit w:val="true"/>
        </w:trPr>
        <w:tc>
          <w:tcPr>
            <w:tcW w:w="36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9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169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399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</w:t>
            </w:r>
            <w:r>
              <w:rPr>
                <w:rStyle w:val="211pt"/>
                <w:sz w:val="24"/>
                <w:szCs w:val="24"/>
                <w:lang w:val="uk-UA"/>
              </w:rPr>
              <w:t>3</w:t>
            </w:r>
            <w:r>
              <w:rPr>
                <w:rStyle w:val="211pt"/>
                <w:sz w:val="24"/>
                <w:szCs w:val="24"/>
              </w:rPr>
              <w:t xml:space="preserve">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/>
            </w:pPr>
            <w:bookmarkStart w:id="0" w:name="__DdeLink__318_4958059"/>
            <w:r>
              <w:rPr>
                <w:rFonts w:cs="Times New Roman"/>
                <w:sz w:val="24"/>
                <w:szCs w:val="24"/>
                <w:lang w:val="en-US"/>
              </w:rPr>
              <w:t>2</w:t>
            </w:r>
            <w:r>
              <w:rPr>
                <w:rFonts w:eastAsia="NSimSun" w:cs="Times New Roman"/>
                <w:color w:val="auto"/>
                <w:kern w:val="0"/>
                <w:sz w:val="24"/>
                <w:szCs w:val="24"/>
                <w:lang w:val="en-US" w:eastAsia="zh-CN" w:bidi="hi-IN"/>
              </w:rPr>
              <w:t>5</w:t>
            </w:r>
            <w:r>
              <w:rPr>
                <w:rFonts w:cs="Times New Roman"/>
                <w:sz w:val="24"/>
                <w:szCs w:val="24"/>
                <w:lang w:val="en-US"/>
              </w:rPr>
              <w:t>00</w:t>
            </w:r>
            <w:r>
              <w:rPr>
                <w:sz w:val="24"/>
                <w:szCs w:val="24"/>
                <w:lang w:val="uk-UA"/>
              </w:rPr>
              <w:t>,00</w:t>
            </w:r>
            <w:bookmarkEnd w:id="0"/>
          </w:p>
        </w:tc>
        <w:tc>
          <w:tcPr>
            <w:tcW w:w="2492" w:type="dxa"/>
            <w:gridSpan w:val="2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36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9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169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399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/>
            </w:pPr>
            <w:r>
              <w:rPr>
                <w:rStyle w:val="211pt"/>
                <w:sz w:val="24"/>
                <w:szCs w:val="24"/>
              </w:rPr>
              <w:t>202</w:t>
            </w:r>
            <w:r>
              <w:rPr>
                <w:rStyle w:val="211pt"/>
                <w:sz w:val="24"/>
                <w:szCs w:val="24"/>
                <w:lang w:val="uk-UA"/>
              </w:rPr>
              <w:t>4</w:t>
            </w:r>
            <w:r>
              <w:rPr>
                <w:rStyle w:val="211pt"/>
                <w:sz w:val="24"/>
                <w:szCs w:val="24"/>
              </w:rPr>
              <w:t xml:space="preserve"> р</w:t>
            </w:r>
            <w:r>
              <w:rPr>
                <w:rStyle w:val="211pt"/>
                <w:sz w:val="24"/>
                <w:szCs w:val="24"/>
                <w:lang w:val="uk-UA"/>
              </w:rPr>
              <w:t>ік</w:t>
            </w:r>
          </w:p>
        </w:tc>
        <w:tc>
          <w:tcPr>
            <w:tcW w:w="1476" w:type="dxa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napToGrid w:val="false"/>
              <w:spacing w:lineRule="auto" w:line="240"/>
              <w:jc w:val="center"/>
              <w:rPr/>
            </w:pPr>
            <w:r>
              <w:rPr>
                <w:rFonts w:cs="Times New Roman"/>
                <w:sz w:val="24"/>
                <w:szCs w:val="24"/>
                <w:highlight w:val="white"/>
                <w:lang w:val="en-US" w:eastAsia="ru-RU"/>
              </w:rPr>
              <w:t>2</w:t>
            </w:r>
            <w:r>
              <w:rPr>
                <w:rFonts w:eastAsia="NSimSun" w:cs="Times New Roman"/>
                <w:color w:val="auto"/>
                <w:kern w:val="0"/>
                <w:sz w:val="24"/>
                <w:szCs w:val="24"/>
                <w:highlight w:val="white"/>
                <w:lang w:val="en-US" w:eastAsia="ru-RU" w:bidi="hi-IN"/>
              </w:rPr>
              <w:t>5</w:t>
            </w:r>
            <w:r>
              <w:rPr>
                <w:rFonts w:cs="Times New Roman"/>
                <w:sz w:val="24"/>
                <w:szCs w:val="24"/>
                <w:highlight w:val="white"/>
                <w:lang w:val="en-US" w:eastAsia="ru-RU"/>
              </w:rPr>
              <w:t>00</w:t>
            </w:r>
            <w:r>
              <w:rPr>
                <w:sz w:val="24"/>
                <w:szCs w:val="24"/>
                <w:highlight w:val="white"/>
                <w:lang w:val="uk-UA" w:eastAsia="ru-RU"/>
              </w:rPr>
              <w:t>,00</w:t>
            </w:r>
          </w:p>
        </w:tc>
        <w:tc>
          <w:tcPr>
            <w:tcW w:w="2492" w:type="dxa"/>
            <w:gridSpan w:val="2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36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9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169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2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608" w:type="dxa"/>
            <w:vMerge w:val="continue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875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fill="FFFFFF" w:val="clear"/>
          </w:tcPr>
          <w:p>
            <w:pPr>
              <w:pStyle w:val="21"/>
              <w:shd w:val="clear" w:fill="FFFFFF"/>
              <w:bidi w:val="0"/>
              <w:spacing w:lineRule="auto" w:line="240"/>
              <w:jc w:val="center"/>
              <w:rPr>
                <w:rStyle w:val="211pt"/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2492" w:type="dxa"/>
            <w:gridSpan w:val="2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FFFFFF" w:val="clear"/>
          </w:tcPr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tabs>
          <w:tab w:val="clear" w:pos="709"/>
          <w:tab w:val="left" w:pos="7080" w:leader="none"/>
          <w:tab w:val="left" w:pos="7140" w:leader="none"/>
        </w:tabs>
        <w:bidi w:val="0"/>
        <w:spacing w:lineRule="atLeast" w:line="100"/>
        <w:jc w:val="both"/>
        <w:rPr/>
      </w:pPr>
      <w:r>
        <w:rPr>
          <w:rFonts w:ascii="Times New Roman" w:hAnsi="Times New Roman"/>
          <w:shd w:fill="FFFFFF" w:val="clear"/>
          <w:lang w:val="uk-UA" w:eastAsia="ru-RU"/>
        </w:rPr>
        <w:t>Віктор Главічка 777 986</w:t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4"/>
      <w:szCs w:val="24"/>
      <w:lang w:val="ru-RU" w:eastAsia="zh-CN" w:bidi="hi-IN"/>
    </w:rPr>
  </w:style>
  <w:style w:type="character" w:styleId="6">
    <w:name w:val="Основной текст (6)"/>
    <w:qFormat/>
    <w:rPr>
      <w:rFonts w:ascii="Times New Roman" w:hAnsi="Times New Roman" w:cs="Times New Roman"/>
      <w:sz w:val="36"/>
      <w:szCs w:val="36"/>
      <w:u w:val="none"/>
    </w:rPr>
  </w:style>
  <w:style w:type="character" w:styleId="Rvts64">
    <w:name w:val="rvts64"/>
    <w:qFormat/>
    <w:rPr/>
  </w:style>
  <w:style w:type="character" w:styleId="211pt">
    <w:name w:val="Основной текст (2) + 11 pt"/>
    <w:qFormat/>
    <w:rPr>
      <w:rFonts w:ascii="Times New Roman" w:hAnsi="Times New Roman" w:cs="Times New Roman"/>
      <w:sz w:val="22"/>
      <w:szCs w:val="22"/>
      <w:u w:val="non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19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paragraph" w:styleId="21">
    <w:name w:val="Основной текст (2)1"/>
    <w:basedOn w:val="Normal"/>
    <w:qFormat/>
    <w:pPr>
      <w:shd w:val="clear" w:fill="FFFFFF"/>
      <w:spacing w:lineRule="atLeast" w:line="240"/>
    </w:pPr>
    <w:rPr>
      <w:rFonts w:ascii="Times New Roman" w:hAnsi="Times New Roman" w:cs="Times New Roman"/>
      <w:sz w:val="28"/>
      <w:szCs w:val="28"/>
    </w:rPr>
  </w:style>
  <w:style w:type="paragraph" w:styleId="Style20">
    <w:name w:val="Вміст таблиці"/>
    <w:basedOn w:val="Normal"/>
    <w:qFormat/>
    <w:pPr>
      <w:suppressLineNumbers/>
    </w:pPr>
    <w:rPr/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</TotalTime>
  <Application>LibreOffice/6.3.4.2$Windows_X86_64 LibreOffice_project/60da17e045e08f1793c57c00ba83cdfce946d0aa</Application>
  <Pages>3</Pages>
  <Words>358</Words>
  <Characters>2529</Characters>
  <CharactersWithSpaces>2813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2022-02-10T14:46:04Z</cp:lastPrinted>
  <dcterms:modified xsi:type="dcterms:W3CDTF">2022-02-11T10:14:13Z</dcterms:modified>
  <cp:revision>6</cp:revision>
  <dc:subject/>
  <dc:title/>
</cp:coreProperties>
</file>