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423412009"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1"/>
          <w:szCs w:val="21"/>
        </w:rPr>
      </w:pPr>
      <w:r>
        <w:rPr>
          <w:sz w:val="21"/>
          <w:szCs w:val="21"/>
        </w:rPr>
      </w:r>
    </w:p>
    <w:p>
      <w:pPr>
        <w:pStyle w:val="Normal"/>
        <w:widowControl w:val="false"/>
        <w:tabs>
          <w:tab w:val="clear" w:pos="708"/>
          <w:tab w:val="left" w:pos="4395" w:leader="none"/>
          <w:tab w:val="left" w:pos="4678" w:leader="none"/>
          <w:tab w:val="left" w:pos="4962" w:leader="none"/>
        </w:tabs>
        <w:rPr/>
      </w:pPr>
      <w:r>
        <w:rPr>
          <w:sz w:val="28"/>
          <w:szCs w:val="28"/>
        </w:rPr>
        <w:t xml:space="preserve">Про надання </w:t>
      </w:r>
      <w:r>
        <w:rPr>
          <w:rFonts w:eastAsia="Times New Roman" w:cs="Times New Roman"/>
          <w:color w:val="auto"/>
          <w:kern w:val="0"/>
          <w:sz w:val="28"/>
          <w:szCs w:val="28"/>
          <w:lang w:val="uk-UA" w:eastAsia="zh-CN" w:bidi="ar-SA"/>
        </w:rPr>
        <w:t xml:space="preserve">ТОВ «НАБУТОК»  </w:t>
      </w:r>
      <w:r>
        <w:rPr>
          <w:sz w:val="28"/>
          <w:szCs w:val="28"/>
        </w:rPr>
        <w:t xml:space="preserve">дозволу </w:t>
      </w:r>
    </w:p>
    <w:p>
      <w:pPr>
        <w:pStyle w:val="Normal"/>
        <w:widowControl w:val="false"/>
        <w:tabs>
          <w:tab w:val="clear" w:pos="708"/>
          <w:tab w:val="left" w:pos="4395" w:leader="none"/>
          <w:tab w:val="left" w:pos="4678" w:leader="none"/>
          <w:tab w:val="left" w:pos="4962" w:leader="none"/>
        </w:tabs>
        <w:rPr/>
      </w:pPr>
      <w:r>
        <w:rPr>
          <w:sz w:val="28"/>
          <w:szCs w:val="28"/>
        </w:rPr>
        <w:t xml:space="preserve">на розроблення  </w:t>
      </w:r>
      <w:r>
        <w:rPr>
          <w:spacing w:val="-2"/>
          <w:sz w:val="28"/>
          <w:szCs w:val="28"/>
        </w:rPr>
        <w:t>технічної</w:t>
      </w:r>
      <w:r>
        <w:rPr>
          <w:sz w:val="28"/>
          <w:szCs w:val="28"/>
        </w:rPr>
        <w:t xml:space="preserve"> до</w:t>
      </w:r>
      <w:r>
        <w:rPr>
          <w:spacing w:val="-2"/>
          <w:sz w:val="28"/>
          <w:szCs w:val="28"/>
        </w:rPr>
        <w:t>ку</w:t>
      </w:r>
      <w:r>
        <w:rPr>
          <w:spacing w:val="-10"/>
          <w:sz w:val="28"/>
          <w:szCs w:val="28"/>
        </w:rPr>
        <w:t xml:space="preserve">ментації із </w:t>
      </w:r>
    </w:p>
    <w:p>
      <w:pPr>
        <w:pStyle w:val="Normal"/>
        <w:widowControl w:val="false"/>
        <w:tabs>
          <w:tab w:val="clear" w:pos="708"/>
          <w:tab w:val="left" w:pos="4395" w:leader="none"/>
          <w:tab w:val="left" w:pos="4678" w:leader="none"/>
          <w:tab w:val="left" w:pos="4962" w:leader="none"/>
        </w:tabs>
        <w:rPr/>
      </w:pPr>
      <w:r>
        <w:rPr>
          <w:spacing w:val="-10"/>
          <w:sz w:val="28"/>
          <w:szCs w:val="28"/>
        </w:rPr>
        <w:t xml:space="preserve">землеустрою щодо встановлення </w:t>
      </w:r>
      <w:r>
        <w:rPr>
          <w:rFonts w:eastAsia="Times New Roman" w:cs="Times New Roman"/>
          <w:color w:val="auto"/>
          <w:spacing w:val="-10"/>
          <w:kern w:val="0"/>
          <w:sz w:val="28"/>
          <w:szCs w:val="28"/>
          <w:lang w:val="uk-UA" w:eastAsia="zh-CN" w:bidi="ar-SA"/>
        </w:rPr>
        <w:t>(відновлен-</w:t>
      </w:r>
    </w:p>
    <w:p>
      <w:pPr>
        <w:pStyle w:val="Normal"/>
        <w:widowControl w:val="false"/>
        <w:tabs>
          <w:tab w:val="clear" w:pos="708"/>
          <w:tab w:val="left" w:pos="4395" w:leader="none"/>
          <w:tab w:val="left" w:pos="4678" w:leader="none"/>
          <w:tab w:val="left" w:pos="4962" w:leader="none"/>
        </w:tabs>
        <w:rPr/>
      </w:pPr>
      <w:r>
        <w:rPr>
          <w:spacing w:val="0"/>
          <w:sz w:val="28"/>
          <w:szCs w:val="28"/>
        </w:rPr>
        <w:t xml:space="preserve">ня)  меж  земельної  ділянки  в  </w:t>
      </w:r>
      <w:r>
        <w:rPr>
          <w:spacing w:val="-4"/>
          <w:sz w:val="28"/>
          <w:szCs w:val="28"/>
        </w:rPr>
        <w:t xml:space="preserve">натурі (на </w:t>
      </w:r>
    </w:p>
    <w:p>
      <w:pPr>
        <w:pStyle w:val="Normal"/>
        <w:widowControl w:val="false"/>
        <w:tabs>
          <w:tab w:val="clear" w:pos="708"/>
          <w:tab w:val="left" w:pos="4395" w:leader="none"/>
          <w:tab w:val="left" w:pos="4678" w:leader="none"/>
          <w:tab w:val="left" w:pos="4962" w:leader="none"/>
        </w:tabs>
        <w:rPr/>
      </w:pPr>
      <w:r>
        <w:rPr>
          <w:spacing w:val="2"/>
          <w:sz w:val="28"/>
          <w:szCs w:val="28"/>
        </w:rPr>
        <w:t>місцевості)  на  невитребувану  земельну</w:t>
      </w:r>
      <w:r>
        <w:rPr>
          <w:spacing w:val="-4"/>
          <w:sz w:val="28"/>
          <w:szCs w:val="28"/>
        </w:rPr>
        <w:t xml:space="preserve"> </w:t>
      </w:r>
    </w:p>
    <w:p>
      <w:pPr>
        <w:pStyle w:val="Normal"/>
        <w:widowControl w:val="false"/>
        <w:tabs>
          <w:tab w:val="clear" w:pos="708"/>
          <w:tab w:val="left" w:pos="4395" w:leader="none"/>
          <w:tab w:val="left" w:pos="4678" w:leader="none"/>
          <w:tab w:val="left" w:pos="4962" w:leader="none"/>
        </w:tabs>
        <w:rPr>
          <w:spacing w:val="-6"/>
        </w:rPr>
      </w:pPr>
      <w:r>
        <w:rPr>
          <w:spacing w:val="-6"/>
          <w:sz w:val="28"/>
          <w:szCs w:val="28"/>
        </w:rPr>
        <w:t xml:space="preserve">частку (пай) № </w:t>
      </w:r>
      <w:r>
        <w:rPr>
          <w:rFonts w:eastAsia="Times New Roman" w:cs="Times New Roman"/>
          <w:color w:val="auto"/>
          <w:spacing w:val="-6"/>
          <w:kern w:val="0"/>
          <w:sz w:val="28"/>
          <w:szCs w:val="28"/>
          <w:lang w:val="uk-UA" w:eastAsia="zh-CN" w:bidi="ar-SA"/>
        </w:rPr>
        <w:t>180</w:t>
      </w:r>
      <w:r>
        <w:rPr>
          <w:spacing w:val="-6"/>
          <w:sz w:val="28"/>
          <w:szCs w:val="28"/>
        </w:rPr>
        <w:t xml:space="preserve"> (</w:t>
      </w:r>
      <w:r>
        <w:rPr>
          <w:rFonts w:eastAsia="Times New Roman" w:cs="Times New Roman"/>
          <w:color w:val="auto"/>
          <w:spacing w:val="-6"/>
          <w:kern w:val="0"/>
          <w:sz w:val="28"/>
          <w:szCs w:val="28"/>
          <w:lang w:val="uk-UA" w:eastAsia="zh-CN" w:bidi="ar-SA"/>
        </w:rPr>
        <w:t>рілля</w:t>
      </w:r>
      <w:r>
        <w:rPr>
          <w:spacing w:val="-6"/>
          <w:sz w:val="28"/>
          <w:szCs w:val="28"/>
        </w:rPr>
        <w:t xml:space="preserve"> — площа </w:t>
      </w:r>
      <w:r>
        <w:rPr>
          <w:rFonts w:eastAsia="Times New Roman" w:cs="Times New Roman"/>
          <w:color w:val="auto"/>
          <w:spacing w:val="-6"/>
          <w:kern w:val="0"/>
          <w:sz w:val="28"/>
          <w:szCs w:val="28"/>
          <w:lang w:val="uk-UA" w:eastAsia="zh-CN" w:bidi="ar-SA"/>
        </w:rPr>
        <w:t>2,30</w:t>
      </w:r>
      <w:r>
        <w:rPr>
          <w:spacing w:val="-6"/>
          <w:sz w:val="28"/>
          <w:szCs w:val="28"/>
        </w:rPr>
        <w:t xml:space="preserve"> га)</w:t>
      </w:r>
    </w:p>
    <w:p>
      <w:pPr>
        <w:pStyle w:val="Normal"/>
        <w:widowControl w:val="false"/>
        <w:tabs>
          <w:tab w:val="clear" w:pos="708"/>
          <w:tab w:val="left" w:pos="4395" w:leader="none"/>
          <w:tab w:val="left" w:pos="4678" w:leader="none"/>
          <w:tab w:val="left" w:pos="4962" w:leader="none"/>
        </w:tabs>
        <w:rPr/>
      </w:pPr>
      <w:r>
        <w:rPr>
          <w:rFonts w:eastAsia="Times New Roman" w:cs="Times New Roman"/>
          <w:color w:val="auto"/>
          <w:spacing w:val="4"/>
          <w:sz w:val="28"/>
          <w:szCs w:val="28"/>
          <w:lang w:val="uk-UA" w:eastAsia="zh-CN" w:bidi="ar-SA"/>
        </w:rPr>
        <w:t>за  межами  населених  пунктів  Луцької</w:t>
      </w:r>
      <w:r>
        <w:rPr>
          <w:rFonts w:eastAsia="Times New Roman" w:cs="Times New Roman"/>
          <w:color w:val="auto"/>
          <w:spacing w:val="0"/>
          <w:sz w:val="28"/>
          <w:szCs w:val="28"/>
          <w:lang w:val="uk-UA" w:eastAsia="zh-CN" w:bidi="ar-SA"/>
        </w:rPr>
        <w:t xml:space="preserve"> </w:t>
      </w:r>
    </w:p>
    <w:p>
      <w:pPr>
        <w:pStyle w:val="Normal"/>
        <w:widowControl w:val="false"/>
        <w:tabs>
          <w:tab w:val="clear" w:pos="708"/>
          <w:tab w:val="left" w:pos="4395" w:leader="none"/>
          <w:tab w:val="left" w:pos="4678" w:leader="none"/>
          <w:tab w:val="left" w:pos="4962" w:leader="none"/>
        </w:tabs>
        <w:rPr/>
      </w:pPr>
      <w:r>
        <w:rPr>
          <w:rFonts w:eastAsia="Times New Roman" w:cs="Times New Roman"/>
          <w:color w:val="auto"/>
          <w:spacing w:val="0"/>
          <w:sz w:val="28"/>
          <w:szCs w:val="28"/>
          <w:lang w:val="uk-UA" w:eastAsia="zh-CN" w:bidi="ar-SA"/>
        </w:rPr>
        <w:t>міської</w:t>
      </w:r>
      <w:r>
        <w:rPr>
          <w:rFonts w:eastAsia="Times New Roman" w:cs="Times New Roman"/>
          <w:color w:val="auto"/>
          <w:spacing w:val="-8"/>
          <w:sz w:val="24"/>
          <w:szCs w:val="28"/>
          <w:lang w:val="uk-UA" w:eastAsia="zh-CN" w:bidi="ar-SA"/>
        </w:rPr>
        <w:t xml:space="preserve"> </w:t>
      </w:r>
      <w:r>
        <w:rPr>
          <w:rFonts w:eastAsia="Times New Roman" w:cs="Times New Roman"/>
          <w:color w:val="auto"/>
          <w:spacing w:val="-8"/>
          <w:sz w:val="28"/>
          <w:szCs w:val="28"/>
          <w:lang w:val="uk-UA" w:eastAsia="zh-CN" w:bidi="ar-SA"/>
        </w:rPr>
        <w:t>терито</w:t>
      </w:r>
      <w:r>
        <w:rPr>
          <w:rFonts w:eastAsia="Times New Roman" w:cs="Times New Roman"/>
          <w:color w:val="auto"/>
          <w:spacing w:val="0"/>
          <w:sz w:val="28"/>
          <w:szCs w:val="28"/>
          <w:lang w:val="uk-UA" w:eastAsia="zh-CN" w:bidi="ar-SA"/>
        </w:rPr>
        <w:t>ріальної</w:t>
      </w:r>
      <w:r>
        <w:rPr>
          <w:rFonts w:eastAsia="Times New Roman" w:cs="Times New Roman"/>
          <w:color w:val="auto"/>
          <w:spacing w:val="0"/>
          <w:sz w:val="24"/>
          <w:szCs w:val="28"/>
          <w:lang w:val="uk-UA" w:eastAsia="zh-CN" w:bidi="ar-SA"/>
        </w:rPr>
        <w:t xml:space="preserve"> </w:t>
      </w:r>
      <w:r>
        <w:rPr>
          <w:rFonts w:eastAsia="Times New Roman" w:cs="Times New Roman"/>
          <w:color w:val="auto"/>
          <w:spacing w:val="0"/>
          <w:sz w:val="28"/>
          <w:szCs w:val="28"/>
          <w:lang w:val="uk-UA" w:eastAsia="zh-CN" w:bidi="ar-SA"/>
        </w:rPr>
        <w:t>громади (с. Прилуцьке)</w:t>
      </w:r>
    </w:p>
    <w:p>
      <w:pPr>
        <w:pStyle w:val="Normal"/>
        <w:widowControl w:val="false"/>
        <w:tabs>
          <w:tab w:val="clear" w:pos="708"/>
          <w:tab w:val="left" w:pos="4395" w:leader="none"/>
          <w:tab w:val="left" w:pos="4678" w:leader="none"/>
          <w:tab w:val="left" w:pos="4962" w:leader="none"/>
        </w:tabs>
        <w:rPr>
          <w:rFonts w:eastAsia="Times New Roman" w:cs="Times New Roman"/>
          <w:color w:val="auto"/>
          <w:spacing w:val="0"/>
          <w:sz w:val="28"/>
          <w:szCs w:val="28"/>
          <w:lang w:val="uk-UA" w:eastAsia="zh-CN" w:bidi="ar-SA"/>
        </w:rPr>
      </w:pPr>
      <w:r>
        <w:rPr>
          <w:rFonts w:eastAsia="Times New Roman" w:cs="Times New Roman"/>
          <w:color w:val="auto"/>
          <w:spacing w:val="0"/>
          <w:sz w:val="28"/>
          <w:szCs w:val="28"/>
          <w:lang w:val="uk-UA" w:eastAsia="zh-CN" w:bidi="ar-SA"/>
        </w:rPr>
      </w:r>
    </w:p>
    <w:p>
      <w:pPr>
        <w:pStyle w:val="Normal"/>
        <w:ind w:left="0" w:right="0" w:firstLine="555"/>
        <w:jc w:val="both"/>
        <w:rPr/>
      </w:pPr>
      <w:r>
        <w:rPr>
          <w:sz w:val="28"/>
          <w:szCs w:val="28"/>
        </w:rPr>
        <w:t xml:space="preserve">Розглянувши заяву </w:t>
      </w:r>
      <w:r>
        <w:rPr>
          <w:rFonts w:eastAsia="Times New Roman" w:cs="Times New Roman"/>
          <w:color w:val="auto"/>
          <w:kern w:val="0"/>
          <w:sz w:val="28"/>
          <w:szCs w:val="28"/>
          <w:lang w:val="uk-UA" w:eastAsia="zh-CN" w:bidi="ar-SA"/>
        </w:rPr>
        <w:t>ТОВАРИСТВА З ОБМЕЖЕНОЮ ВІДПОВІДАЛЬНІСТЮ «НАБУТОК»</w:t>
      </w:r>
      <w:r>
        <w:rPr>
          <w:sz w:val="28"/>
          <w:szCs w:val="28"/>
        </w:rPr>
        <w:t xml:space="preserve">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невитребувану земельну частку (пай) за межами населених пунктів Луцької міської територіальної громади </w:t>
      </w:r>
      <w:r>
        <w:rPr>
          <w:rFonts w:eastAsia="Times New Roman" w:cs="Times New Roman"/>
          <w:color w:val="auto"/>
          <w:spacing w:val="0"/>
          <w:sz w:val="28"/>
          <w:szCs w:val="28"/>
          <w:lang w:val="uk-UA" w:eastAsia="zh-CN" w:bidi="ar-SA"/>
        </w:rPr>
        <w:t>(с. Прилуцьке)</w:t>
      </w:r>
      <w:r>
        <w:rPr>
          <w:sz w:val="28"/>
          <w:szCs w:val="28"/>
        </w:rPr>
        <w:t xml:space="preserve">, </w:t>
      </w:r>
      <w:r>
        <w:rPr>
          <w:rFonts w:eastAsia="Times New Roman" w:cs="Times New Roman"/>
          <w:color w:val="auto"/>
          <w:kern w:val="0"/>
          <w:sz w:val="28"/>
          <w:szCs w:val="28"/>
          <w:u w:val="none"/>
          <w:lang w:val="uk-UA" w:eastAsia="zh-CN" w:bidi="ar-SA"/>
        </w:rPr>
        <w:t xml:space="preserve">розпорядження Ківерцівської районної державної адміністрації Волинської області від 19.12.2003 № 289 «Про затвердження матеріалів інвентаризації сільськогосподарських угідь, які підлягають паюванню та погодження проекту землеустрою щодо організації території земельних часток/паїв/ в колишньому АТП “Прилуцьке”», розпорядження Ківерцівської районної державної адміністрації Волинської області від 24.09.2004 № 213 «Про затвердження технічної документації із землеустрою», </w:t>
      </w:r>
      <w:r>
        <w:rPr>
          <w:sz w:val="28"/>
          <w:szCs w:val="28"/>
        </w:rPr>
        <w:t xml:space="preserve">довідка старости Прилуцького старостинського округу від </w:t>
      </w:r>
      <w:r>
        <w:rPr>
          <w:rFonts w:eastAsia="Times New Roman" w:cs="Times New Roman"/>
          <w:color w:val="auto"/>
          <w:kern w:val="0"/>
          <w:sz w:val="28"/>
          <w:szCs w:val="28"/>
          <w:lang w:val="uk-UA" w:eastAsia="zh-CN" w:bidi="ar-SA"/>
        </w:rPr>
        <w:t>10.06.2021</w:t>
      </w:r>
      <w:r>
        <w:rPr>
          <w:sz w:val="28"/>
          <w:szCs w:val="28"/>
        </w:rPr>
        <w:t xml:space="preserve"> № </w:t>
      </w:r>
      <w:r>
        <w:rPr>
          <w:rFonts w:eastAsia="Times New Roman" w:cs="Times New Roman"/>
          <w:color w:val="auto"/>
          <w:kern w:val="0"/>
          <w:sz w:val="28"/>
          <w:szCs w:val="28"/>
          <w:lang w:val="uk-UA" w:eastAsia="zh-CN" w:bidi="ar-SA"/>
        </w:rPr>
        <w:t>39-14/140</w:t>
      </w:r>
      <w:r>
        <w:rPr>
          <w:sz w:val="28"/>
          <w:szCs w:val="28"/>
        </w:rPr>
        <w:t>, керуючись статтями 12, 22, 79-1, 93, 96, 120-12</w:t>
      </w:r>
      <w:r>
        <w:rPr>
          <w:rFonts w:eastAsia="Times New Roman" w:cs="Times New Roman"/>
          <w:color w:val="auto"/>
          <w:kern w:val="0"/>
          <w:sz w:val="28"/>
          <w:szCs w:val="28"/>
          <w:lang w:val="uk-UA" w:eastAsia="zh-CN" w:bidi="ar-SA"/>
        </w:rPr>
        <w:t>3, частиною 2 статті 134</w:t>
      </w:r>
      <w:r>
        <w:rPr>
          <w:sz w:val="28"/>
          <w:szCs w:val="28"/>
        </w:rPr>
        <w:t>, пунктами 16, 17 Перехідних положень Земельного кодексу України, Закон</w:t>
      </w:r>
      <w:r>
        <w:rPr>
          <w:rFonts w:eastAsia="Times New Roman" w:cs="Times New Roman"/>
          <w:color w:val="auto"/>
          <w:kern w:val="0"/>
          <w:sz w:val="28"/>
          <w:szCs w:val="28"/>
          <w:lang w:val="uk-UA" w:eastAsia="zh-CN" w:bidi="ar-SA"/>
        </w:rPr>
        <w:t>ом</w:t>
      </w:r>
      <w:r>
        <w:rPr>
          <w:sz w:val="28"/>
          <w:szCs w:val="28"/>
        </w:rPr>
        <w:t xml:space="preserve"> України «Про </w:t>
      </w:r>
      <w:r>
        <w:rPr>
          <w:rFonts w:eastAsia="Times New Roman" w:cs="Times New Roman"/>
          <w:color w:val="auto"/>
          <w:kern w:val="0"/>
          <w:sz w:val="28"/>
          <w:szCs w:val="28"/>
          <w:lang w:val="uk-UA" w:eastAsia="zh-CN" w:bidi="ar-SA"/>
        </w:rPr>
        <w:t>оренду землі</w:t>
      </w:r>
      <w:r>
        <w:rPr>
          <w:sz w:val="28"/>
          <w:szCs w:val="28"/>
        </w:rPr>
        <w:t xml:space="preserve">»,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w:t>
      </w:r>
      <w:r>
        <w:rPr>
          <w:rFonts w:eastAsia="Times New Roman" w:cs="Times New Roman"/>
          <w:color w:val="auto"/>
          <w:sz w:val="28"/>
          <w:szCs w:val="28"/>
          <w:lang w:val="uk-UA" w:eastAsia="zh-CN" w:bidi="ar-SA"/>
        </w:rPr>
        <w:t>порядок виділення в натурі (на місцевості) земельних ділянок власникам земельних часток (паїв)</w:t>
      </w:r>
      <w:r>
        <w:rPr>
          <w:sz w:val="28"/>
          <w:szCs w:val="28"/>
        </w:rPr>
        <w:t xml:space="preserve">», </w:t>
      </w:r>
      <w:r>
        <w:rPr>
          <w:color w:val="000000"/>
          <w:sz w:val="28"/>
          <w:szCs w:val="28"/>
          <w:lang w:eastAsia="uk-UA"/>
        </w:rPr>
        <w:t xml:space="preserve">Постановою Верховної Ради України від 17.07.2020 № 807-ІХ «Про утворення та ліквідацію районів», </w:t>
      </w:r>
      <w:r>
        <w:rPr>
          <w:color w:val="000000"/>
          <w:spacing w:val="-2"/>
          <w:kern w:val="2"/>
          <w:sz w:val="28"/>
          <w:szCs w:val="28"/>
          <w:shd w:fill="FFFFFF" w:val="clear"/>
        </w:rPr>
        <w:t xml:space="preserve">розпорядженням Кабінету Міністрів України від 12 червня 2020 р. № 708-р </w:t>
      </w:r>
      <w:r>
        <w:rPr>
          <w:color w:val="000000"/>
          <w:spacing w:val="-2"/>
          <w:kern w:val="2"/>
          <w:sz w:val="28"/>
          <w:szCs w:val="28"/>
          <w:highlight w:val="white"/>
          <w:shd w:fill="FFFFFF" w:val="clear"/>
        </w:rPr>
        <w:t>«</w:t>
      </w:r>
      <w:r>
        <w:rPr>
          <w:sz w:val="28"/>
          <w:szCs w:val="28"/>
        </w:rPr>
        <w:t>Про визначення адміністративних центрів та затвердження територій територіальних громад Волинської області</w:t>
      </w:r>
      <w:r>
        <w:rPr>
          <w:color w:val="000000"/>
          <w:spacing w:val="-2"/>
          <w:kern w:val="2"/>
          <w:sz w:val="28"/>
          <w:szCs w:val="28"/>
          <w:highlight w:val="white"/>
          <w:shd w:fill="FFFFFF" w:val="clear"/>
        </w:rPr>
        <w:t>»</w:t>
      </w:r>
      <w:r>
        <w:rPr>
          <w:color w:val="000000"/>
          <w:spacing w:val="-2"/>
          <w:kern w:val="2"/>
          <w:sz w:val="28"/>
          <w:szCs w:val="28"/>
          <w:shd w:fill="FFFFFF" w:val="clear"/>
        </w:rPr>
        <w:t xml:space="preserve">, </w:t>
      </w:r>
      <w:r>
        <w:rPr>
          <w:color w:val="000000"/>
          <w:spacing w:val="-2"/>
          <w:kern w:val="2"/>
          <w:sz w:val="28"/>
          <w:szCs w:val="28"/>
          <w:highlight w:val="white"/>
          <w:shd w:fill="FFFFFF" w:val="clear"/>
        </w:rPr>
        <w:t>рішенням Луцької міської ради від 25.09.2019 № </w:t>
      </w:r>
      <w:r>
        <w:rPr>
          <w:rFonts w:eastAsia="Times New Roman" w:cs="Times New Roman"/>
          <w:color w:val="000000"/>
          <w:spacing w:val="-2"/>
          <w:kern w:val="2"/>
          <w:sz w:val="28"/>
          <w:szCs w:val="28"/>
          <w:highlight w:val="white"/>
          <w:shd w:fill="FFFFFF" w:val="clear"/>
          <w:lang w:bidi="ar-SA"/>
        </w:rPr>
        <w:t>63/43</w:t>
      </w:r>
      <w:r>
        <w:rPr>
          <w:color w:val="000000"/>
          <w:spacing w:val="-2"/>
          <w:kern w:val="2"/>
          <w:sz w:val="28"/>
          <w:szCs w:val="28"/>
          <w:highlight w:val="white"/>
          <w:shd w:fill="FFFFFF" w:val="clear"/>
        </w:rPr>
        <w:t xml:space="preserve"> «Про </w:t>
      </w:r>
      <w:r>
        <w:rPr>
          <w:rFonts w:eastAsia="Times New Roman" w:cs="Times New Roman"/>
          <w:color w:val="000000"/>
          <w:spacing w:val="-2"/>
          <w:kern w:val="2"/>
          <w:sz w:val="28"/>
          <w:szCs w:val="28"/>
          <w:highlight w:val="white"/>
          <w:shd w:fill="FFFFFF" w:val="clear"/>
          <w:lang w:bidi="ar-SA"/>
        </w:rPr>
        <w:t>добровільне приєднання територіальної громади Прилуцької сільської ради до територіальної громади міста Луцька</w:t>
      </w:r>
      <w:r>
        <w:rPr>
          <w:color w:val="000000"/>
          <w:spacing w:val="-2"/>
          <w:kern w:val="2"/>
          <w:sz w:val="28"/>
          <w:szCs w:val="28"/>
          <w:highlight w:val="white"/>
          <w:shd w:fill="FFFFFF" w:val="clear"/>
        </w:rPr>
        <w:t>»</w:t>
      </w:r>
      <w:r>
        <w:rPr>
          <w:color w:val="000000"/>
          <w:sz w:val="28"/>
          <w:szCs w:val="28"/>
          <w:lang w:eastAsia="uk-UA"/>
        </w:rPr>
        <w:t>, статтями 26, 59 та пунктом 6</w:t>
      </w:r>
      <w:r>
        <w:rPr>
          <w:color w:val="000000"/>
          <w:sz w:val="28"/>
          <w:szCs w:val="28"/>
          <w:vertAlign w:val="superscript"/>
          <w:lang w:eastAsia="uk-UA"/>
        </w:rPr>
        <w:t>-1</w:t>
      </w:r>
      <w:r>
        <w:rPr>
          <w:color w:val="000000"/>
          <w:sz w:val="28"/>
          <w:szCs w:val="28"/>
          <w:lang w:eastAsia="uk-UA"/>
        </w:rPr>
        <w:t xml:space="preserve"> розділу 5 Прикінцевих та перехідних положень Закону України </w:t>
      </w:r>
      <w:r>
        <w:rPr>
          <w:color w:val="000000"/>
          <w:spacing w:val="-2"/>
          <w:kern w:val="2"/>
          <w:sz w:val="28"/>
          <w:szCs w:val="28"/>
          <w:highlight w:val="white"/>
          <w:shd w:fill="FFFFFF" w:val="clear"/>
          <w:lang w:eastAsia="uk-UA"/>
        </w:rPr>
        <w:t>«</w:t>
      </w:r>
      <w:r>
        <w:rPr>
          <w:color w:val="000000"/>
          <w:sz w:val="28"/>
          <w:szCs w:val="28"/>
          <w:lang w:eastAsia="uk-UA"/>
        </w:rPr>
        <w:t>Про місцеве самоврядування в Україні</w:t>
      </w:r>
      <w:r>
        <w:rPr>
          <w:color w:val="000000"/>
          <w:spacing w:val="-2"/>
          <w:kern w:val="2"/>
          <w:sz w:val="28"/>
          <w:szCs w:val="28"/>
          <w:highlight w:val="white"/>
          <w:shd w:fill="FFFFFF" w:val="clear"/>
          <w:lang w:eastAsia="uk-UA"/>
        </w:rPr>
        <w:t>»</w:t>
      </w:r>
      <w:r>
        <w:rPr>
          <w:sz w:val="28"/>
          <w:szCs w:val="28"/>
        </w:rPr>
        <w:t>, міська рада</w:t>
      </w:r>
    </w:p>
    <w:p>
      <w:pPr>
        <w:pStyle w:val="Normal"/>
        <w:jc w:val="both"/>
        <w:rPr>
          <w:szCs w:val="28"/>
        </w:rPr>
      </w:pPr>
      <w:r>
        <w:rPr>
          <w:szCs w:val="28"/>
        </w:rPr>
      </w:r>
    </w:p>
    <w:p>
      <w:pPr>
        <w:pStyle w:val="Normal"/>
        <w:jc w:val="both"/>
        <w:rPr>
          <w:szCs w:val="28"/>
        </w:rPr>
      </w:pPr>
      <w:r>
        <w:rPr>
          <w:szCs w:val="28"/>
        </w:rPr>
        <w:t>ВИРІШИЛА:</w:t>
      </w:r>
    </w:p>
    <w:p>
      <w:pPr>
        <w:pStyle w:val="Normal"/>
        <w:jc w:val="both"/>
        <w:rPr>
          <w:sz w:val="36"/>
          <w:szCs w:val="36"/>
        </w:rPr>
      </w:pPr>
      <w:r>
        <w:rPr>
          <w:sz w:val="36"/>
          <w:szCs w:val="36"/>
        </w:rPr>
      </w:r>
    </w:p>
    <w:p>
      <w:pPr>
        <w:pStyle w:val="Normal"/>
        <w:ind w:left="0" w:right="0" w:firstLine="570"/>
        <w:jc w:val="both"/>
        <w:rPr/>
      </w:pPr>
      <w:r>
        <w:rPr>
          <w:spacing w:val="-4"/>
          <w:szCs w:val="28"/>
        </w:rPr>
        <w:t>1. </w:t>
      </w:r>
      <w:r>
        <w:rPr>
          <w:spacing w:val="0"/>
          <w:szCs w:val="28"/>
        </w:rPr>
        <w:t xml:space="preserve">Надати </w:t>
      </w:r>
      <w:r>
        <w:rPr>
          <w:rFonts w:eastAsia="Times New Roman" w:cs="Times New Roman"/>
          <w:color w:val="auto"/>
          <w:spacing w:val="0"/>
          <w:kern w:val="0"/>
          <w:sz w:val="28"/>
          <w:szCs w:val="28"/>
          <w:lang w:val="uk-UA" w:eastAsia="zh-CN" w:bidi="ar-SA"/>
        </w:rPr>
        <w:t>ТОВАРИСТВУ З ОБМЕЖЕНОЮ ВІДПОВІДАЛЬНІСТЮ «НАБУТОК»</w:t>
      </w:r>
      <w:r>
        <w:rPr>
          <w:spacing w:val="0"/>
          <w:szCs w:val="28"/>
        </w:rPr>
        <w:t xml:space="preserve"> дозвіл на розроблення технічної документації із землеустрою щодо встановлення (відновлення) меж земельної ділянки в натурі (на місцевості) </w:t>
      </w:r>
      <w:r>
        <w:rPr>
          <w:spacing w:val="0"/>
          <w:sz w:val="28"/>
          <w:szCs w:val="28"/>
        </w:rPr>
        <w:t xml:space="preserve">на невитребувану земельну частку (пай) № </w:t>
      </w:r>
      <w:r>
        <w:rPr>
          <w:rFonts w:eastAsia="Times New Roman" w:cs="Times New Roman"/>
          <w:color w:val="auto"/>
          <w:spacing w:val="0"/>
          <w:kern w:val="0"/>
          <w:sz w:val="28"/>
          <w:szCs w:val="28"/>
          <w:lang w:val="uk-UA" w:eastAsia="zh-CN" w:bidi="ar-SA"/>
        </w:rPr>
        <w:t>180</w:t>
      </w:r>
      <w:r>
        <w:rPr>
          <w:rFonts w:eastAsia="Times New Roman" w:cs="Times New Roman"/>
          <w:color w:val="auto"/>
          <w:spacing w:val="0"/>
          <w:sz w:val="28"/>
          <w:szCs w:val="28"/>
          <w:lang w:val="uk-UA" w:eastAsia="zh-CN" w:bidi="ar-SA"/>
        </w:rPr>
        <w:t xml:space="preserve">, площею </w:t>
      </w:r>
      <w:r>
        <w:rPr>
          <w:rFonts w:eastAsia="Times New Roman" w:cs="Times New Roman"/>
          <w:color w:val="auto"/>
          <w:spacing w:val="0"/>
          <w:kern w:val="0"/>
          <w:sz w:val="28"/>
          <w:szCs w:val="28"/>
          <w:lang w:val="uk-UA" w:eastAsia="zh-CN" w:bidi="ar-SA"/>
        </w:rPr>
        <w:t>2,30</w:t>
      </w:r>
      <w:r>
        <w:rPr>
          <w:rFonts w:eastAsia="Times New Roman" w:cs="Times New Roman"/>
          <w:color w:val="auto"/>
          <w:spacing w:val="0"/>
          <w:sz w:val="28"/>
          <w:szCs w:val="28"/>
          <w:lang w:val="uk-UA" w:eastAsia="zh-CN" w:bidi="ar-SA"/>
        </w:rPr>
        <w:t> га (</w:t>
      </w:r>
      <w:r>
        <w:rPr>
          <w:rFonts w:eastAsia="Times New Roman" w:cs="Times New Roman"/>
          <w:color w:val="auto"/>
          <w:spacing w:val="0"/>
          <w:kern w:val="0"/>
          <w:sz w:val="28"/>
          <w:szCs w:val="28"/>
          <w:lang w:val="uk-UA" w:eastAsia="zh-CN" w:bidi="ar-SA"/>
        </w:rPr>
        <w:t>рілля</w:t>
      </w:r>
      <w:r>
        <w:rPr>
          <w:rFonts w:eastAsia="Times New Roman" w:cs="Times New Roman"/>
          <w:color w:val="auto"/>
          <w:spacing w:val="0"/>
          <w:sz w:val="28"/>
          <w:szCs w:val="28"/>
          <w:lang w:val="uk-UA" w:eastAsia="zh-CN" w:bidi="ar-SA"/>
        </w:rPr>
        <w:t>)</w:t>
      </w:r>
      <w:r>
        <w:rPr>
          <w:spacing w:val="0"/>
          <w:sz w:val="28"/>
          <w:szCs w:val="28"/>
        </w:rPr>
        <w:t xml:space="preserve"> </w:t>
      </w:r>
      <w:r>
        <w:rPr>
          <w:rFonts w:eastAsia="Times New Roman" w:cs="Times New Roman"/>
          <w:color w:val="auto"/>
          <w:spacing w:val="0"/>
          <w:sz w:val="28"/>
          <w:szCs w:val="28"/>
          <w:lang w:val="uk-UA" w:eastAsia="zh-CN" w:bidi="ar-SA"/>
        </w:rPr>
        <w:t>за межами населених пунктів Луцької міської територіальної громади (с. Прилуцьке),</w:t>
      </w:r>
      <w:r>
        <w:rPr>
          <w:spacing w:val="0"/>
          <w:szCs w:val="28"/>
        </w:rPr>
        <w:t xml:space="preserve"> згідно з додатком</w:t>
      </w:r>
      <w:r>
        <w:rPr>
          <w:spacing w:val="-4"/>
          <w:szCs w:val="28"/>
        </w:rPr>
        <w:t>.</w:t>
      </w:r>
    </w:p>
    <w:p>
      <w:pPr>
        <w:pStyle w:val="Normal"/>
        <w:ind w:left="0" w:right="0" w:firstLine="570"/>
        <w:jc w:val="both"/>
        <w:rPr/>
      </w:pPr>
      <w:r>
        <w:rPr>
          <w:spacing w:val="-4"/>
          <w:szCs w:val="28"/>
        </w:rPr>
        <w:t xml:space="preserve">2. </w:t>
      </w:r>
      <w:r>
        <w:rPr>
          <w:spacing w:val="0"/>
          <w:szCs w:val="28"/>
        </w:rPr>
        <w:t xml:space="preserve">Зобов’язати </w:t>
      </w:r>
      <w:r>
        <w:rPr>
          <w:rFonts w:eastAsia="Times New Roman" w:cs="Times New Roman"/>
          <w:color w:val="auto"/>
          <w:spacing w:val="0"/>
          <w:kern w:val="0"/>
          <w:sz w:val="28"/>
          <w:szCs w:val="28"/>
          <w:lang w:val="uk-UA" w:eastAsia="zh-CN" w:bidi="ar-SA"/>
        </w:rPr>
        <w:t>ТОВАРИСТВО З ОБМЕЖЕНОЮ ВІДПОВІДАЛЬНІСТЮ «НАБУТОК»</w:t>
      </w:r>
      <w:r>
        <w:rPr>
          <w:spacing w:val="0"/>
          <w:szCs w:val="28"/>
        </w:rPr>
        <w:t xml:space="preserve"> розробити технічну документацію із землеустрою щодо встановлення (відновлення) меж земельної ділянки в натурі (на місцевості) </w:t>
      </w:r>
      <w:r>
        <w:rPr>
          <w:spacing w:val="0"/>
          <w:sz w:val="28"/>
          <w:szCs w:val="28"/>
        </w:rPr>
        <w:t xml:space="preserve">на невитребувану земельну частку (пай) № </w:t>
      </w:r>
      <w:r>
        <w:rPr>
          <w:rFonts w:eastAsia="Times New Roman" w:cs="Times New Roman"/>
          <w:color w:val="auto"/>
          <w:spacing w:val="0"/>
          <w:kern w:val="0"/>
          <w:sz w:val="28"/>
          <w:szCs w:val="28"/>
          <w:lang w:val="uk-UA" w:eastAsia="zh-CN" w:bidi="ar-SA"/>
        </w:rPr>
        <w:t>180</w:t>
      </w:r>
      <w:r>
        <w:rPr>
          <w:rFonts w:eastAsia="Times New Roman" w:cs="Times New Roman"/>
          <w:color w:val="auto"/>
          <w:spacing w:val="0"/>
          <w:kern w:val="0"/>
          <w:sz w:val="28"/>
          <w:szCs w:val="28"/>
          <w:lang w:val="uk-UA" w:eastAsia="zh-CN" w:bidi="ar-SA"/>
        </w:rPr>
        <w:t xml:space="preserve">, площею </w:t>
      </w:r>
      <w:r>
        <w:rPr>
          <w:rFonts w:eastAsia="Times New Roman" w:cs="Times New Roman"/>
          <w:color w:val="auto"/>
          <w:spacing w:val="0"/>
          <w:kern w:val="0"/>
          <w:sz w:val="28"/>
          <w:szCs w:val="28"/>
          <w:lang w:val="uk-UA" w:eastAsia="zh-CN" w:bidi="ar-SA"/>
        </w:rPr>
        <w:t>2,30</w:t>
      </w:r>
      <w:r>
        <w:rPr>
          <w:rFonts w:eastAsia="Times New Roman" w:cs="Times New Roman"/>
          <w:color w:val="auto"/>
          <w:spacing w:val="0"/>
          <w:sz w:val="28"/>
          <w:szCs w:val="28"/>
          <w:lang w:val="uk-UA" w:eastAsia="zh-CN" w:bidi="ar-SA"/>
        </w:rPr>
        <w:t> га (</w:t>
      </w:r>
      <w:r>
        <w:rPr>
          <w:rFonts w:eastAsia="Times New Roman" w:cs="Times New Roman"/>
          <w:color w:val="auto"/>
          <w:spacing w:val="0"/>
          <w:kern w:val="0"/>
          <w:sz w:val="28"/>
          <w:szCs w:val="28"/>
          <w:lang w:val="uk-UA" w:eastAsia="zh-CN" w:bidi="ar-SA"/>
        </w:rPr>
        <w:t>рілля</w:t>
      </w:r>
      <w:r>
        <w:rPr>
          <w:rFonts w:eastAsia="Times New Roman" w:cs="Times New Roman"/>
          <w:color w:val="auto"/>
          <w:spacing w:val="0"/>
          <w:sz w:val="28"/>
          <w:szCs w:val="28"/>
          <w:lang w:val="uk-UA" w:eastAsia="zh-CN" w:bidi="ar-SA"/>
        </w:rPr>
        <w:t>)</w:t>
      </w:r>
      <w:r>
        <w:rPr>
          <w:spacing w:val="0"/>
          <w:sz w:val="28"/>
          <w:szCs w:val="28"/>
        </w:rPr>
        <w:t xml:space="preserve"> </w:t>
      </w:r>
      <w:r>
        <w:rPr>
          <w:spacing w:val="0"/>
          <w:szCs w:val="28"/>
        </w:rPr>
        <w:t>в порядку визначеному чинним законодавством України та подати її на затвердження до міської ради.</w:t>
      </w:r>
    </w:p>
    <w:p>
      <w:pPr>
        <w:pStyle w:val="Normal"/>
        <w:ind w:left="0" w:right="0" w:firstLine="570"/>
        <w:jc w:val="both"/>
        <w:rPr/>
      </w:pPr>
      <w:r>
        <w:rPr>
          <w:spacing w:val="0"/>
          <w:szCs w:val="28"/>
        </w:rPr>
        <w:t>3. </w:t>
      </w:r>
      <w:r>
        <w:rPr>
          <w:spacing w:val="-4"/>
          <w:sz w:val="28"/>
          <w:szCs w:val="28"/>
          <w:lang w:val="uk-UA"/>
        </w:rPr>
        <w:t>Контроль за виконанням рішення покласти на заступника міського голови Чебелюк І.І. та постійну комісію міської ради з питань земельних відносин та земельного кадастру (Козлюк О.Є.).</w:t>
      </w:r>
      <w:r>
        <w:rPr>
          <w:sz w:val="28"/>
          <w:szCs w:val="28"/>
        </w:rPr>
        <w:t xml:space="preserve"> </w:t>
      </w:r>
    </w:p>
    <w:p>
      <w:pPr>
        <w:pStyle w:val="Normal"/>
        <w:tabs>
          <w:tab w:val="clear" w:pos="708"/>
          <w:tab w:val="left" w:pos="720" w:leader="none"/>
        </w:tabs>
        <w:ind w:left="0" w:right="0" w:firstLine="709"/>
        <w:jc w:val="both"/>
        <w:rPr>
          <w:sz w:val="28"/>
          <w:szCs w:val="28"/>
        </w:rPr>
      </w:pPr>
      <w:r>
        <w:rPr>
          <w:sz w:val="28"/>
          <w:szCs w:val="28"/>
        </w:rPr>
      </w:r>
    </w:p>
    <w:p>
      <w:pPr>
        <w:pStyle w:val="Normal"/>
        <w:tabs>
          <w:tab w:val="clear" w:pos="708"/>
          <w:tab w:val="left" w:pos="720" w:leader="none"/>
        </w:tabs>
        <w:ind w:left="0" w:right="0" w:firstLine="709"/>
        <w:jc w:val="both"/>
        <w:rPr>
          <w:sz w:val="28"/>
          <w:szCs w:val="28"/>
        </w:rPr>
      </w:pPr>
      <w:r>
        <w:rPr>
          <w:sz w:val="28"/>
          <w:szCs w:val="28"/>
        </w:rPr>
      </w:r>
    </w:p>
    <w:p>
      <w:pPr>
        <w:pStyle w:val="Normal"/>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pPr>
      <w:r>
        <w:rPr>
          <w:rFonts w:eastAsia="Times New Roman" w:cs="Times New Roman"/>
          <w:color w:val="auto"/>
          <w:sz w:val="24"/>
          <w:szCs w:val="24"/>
          <w:lang w:val="uk-UA" w:eastAsia="zh-CN" w:bidi="ar-SA"/>
        </w:rPr>
        <w:t>Туз</w:t>
      </w:r>
      <w:r>
        <w:rPr>
          <w:sz w:val="24"/>
          <w:szCs w:val="24"/>
        </w:rPr>
        <w:t xml:space="preserve"> 777 863</w:t>
      </w:r>
    </w:p>
    <w:p>
      <w:pPr>
        <w:pStyle w:val="Normal"/>
        <w:widowControl w:val="false"/>
        <w:jc w:val="both"/>
        <w:rPr/>
      </w:pPr>
      <w:r>
        <w:rPr/>
      </w:r>
    </w:p>
    <w:p>
      <w:pPr>
        <w:pStyle w:val="Normal"/>
        <w:rPr/>
      </w:pPr>
      <w:r>
        <w:rPr/>
      </w:r>
    </w:p>
    <w:p>
      <w:pPr>
        <w:pStyle w:val="Normal"/>
        <w:rPr/>
      </w:pPr>
      <w:r>
        <w:rPr/>
      </w:r>
    </w:p>
    <w:p>
      <w:pPr>
        <w:pStyle w:val="Normal"/>
        <w:rPr/>
      </w:pPr>
      <w:r>
        <w:rPr/>
      </w:r>
    </w:p>
    <w:p>
      <w:pPr>
        <w:pStyle w:val="Normal"/>
        <w:rPr/>
      </w:pPr>
      <w:r>
        <w:rPr/>
        <w:t xml:space="preserve">                                                         </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WWWW8Num1ztrue71111111111111111">
    <w:name w:val="WW-WW8Num1ztrue71111111111111111"/>
    <w:qFormat/>
    <w:rPr/>
  </w:style>
  <w:style w:type="character" w:styleId="WWWW8Num1ztrue111111111111111111">
    <w:name w:val="WW-WW8Num1ztrue111111111111111111"/>
    <w:qFormat/>
    <w:rPr/>
  </w:style>
  <w:style w:type="character" w:styleId="WWWW8Num1ztrue211111111111111111">
    <w:name w:val="WW-WW8Num1ztrue211111111111111111"/>
    <w:qFormat/>
    <w:rPr/>
  </w:style>
  <w:style w:type="character" w:styleId="WWWW8Num1ztrue311111111111111111">
    <w:name w:val="WW-WW8Num1ztrue311111111111111111"/>
    <w:qFormat/>
    <w:rPr/>
  </w:style>
  <w:style w:type="character" w:styleId="WWWW8Num1ztrue411111111111111111">
    <w:name w:val="WW-WW8Num1ztrue411111111111111111"/>
    <w:qFormat/>
    <w:rPr/>
  </w:style>
  <w:style w:type="character" w:styleId="WWWW8Num1ztrue511111111111111111">
    <w:name w:val="WW-WW8Num1ztrue511111111111111111"/>
    <w:qFormat/>
    <w:rPr/>
  </w:style>
  <w:style w:type="character" w:styleId="WWWW8Num1ztrue611111111111111111">
    <w:name w:val="WW-WW8Num1ztrue611111111111111111"/>
    <w:qFormat/>
    <w:rPr/>
  </w:style>
  <w:style w:type="character" w:styleId="WWWW8Num1ztrue711111111111111111">
    <w:name w:val="WW-WW8Num1ztrue711111111111111111"/>
    <w:qFormat/>
    <w:rPr/>
  </w:style>
  <w:style w:type="character" w:styleId="WWWW8Num1ztrue1111111111111111111">
    <w:name w:val="WW-WW8Num1ztrue1111111111111111111"/>
    <w:qFormat/>
    <w:rPr/>
  </w:style>
  <w:style w:type="character" w:styleId="WWWW8Num1ztrue2111111111111111111">
    <w:name w:val="WW-WW8Num1ztrue2111111111111111111"/>
    <w:qFormat/>
    <w:rPr/>
  </w:style>
  <w:style w:type="character" w:styleId="WWWW8Num1ztrue3111111111111111111">
    <w:name w:val="WW-WW8Num1ztrue3111111111111111111"/>
    <w:qFormat/>
    <w:rPr/>
  </w:style>
  <w:style w:type="character" w:styleId="WWWW8Num1ztrue4111111111111111111">
    <w:name w:val="WW-WW8Num1ztrue4111111111111111111"/>
    <w:qFormat/>
    <w:rPr/>
  </w:style>
  <w:style w:type="character" w:styleId="WWWW8Num1ztrue5111111111111111111">
    <w:name w:val="WW-WW8Num1ztrue5111111111111111111"/>
    <w:qFormat/>
    <w:rPr/>
  </w:style>
  <w:style w:type="character" w:styleId="WWWW8Num1ztrue6111111111111111111">
    <w:name w:val="WW-WW8Num1ztrue6111111111111111111"/>
    <w:qFormat/>
    <w:rPr/>
  </w:style>
  <w:style w:type="character" w:styleId="WWWW8Num1ztrue7111111111111111111">
    <w:name w:val="WW-WW8Num1ztrue7111111111111111111"/>
    <w:qFormat/>
    <w:rPr/>
  </w:style>
  <w:style w:type="character" w:styleId="WWWW8Num1ztrue11111111111111111111">
    <w:name w:val="WW-WW8Num1ztrue11111111111111111111"/>
    <w:qFormat/>
    <w:rPr/>
  </w:style>
  <w:style w:type="character" w:styleId="WWWW8Num1ztrue21111111111111111111">
    <w:name w:val="WW-WW8Num1ztrue21111111111111111111"/>
    <w:qFormat/>
    <w:rPr/>
  </w:style>
  <w:style w:type="character" w:styleId="WWWW8Num1ztrue31111111111111111111">
    <w:name w:val="WW-WW8Num1ztrue31111111111111111111"/>
    <w:qFormat/>
    <w:rPr/>
  </w:style>
  <w:style w:type="character" w:styleId="WWWW8Num1ztrue41111111111111111111">
    <w:name w:val="WW-WW8Num1ztrue41111111111111111111"/>
    <w:qFormat/>
    <w:rPr/>
  </w:style>
  <w:style w:type="character" w:styleId="WWWW8Num1ztrue51111111111111111111">
    <w:name w:val="WW-WW8Num1ztrue51111111111111111111"/>
    <w:qFormat/>
    <w:rPr/>
  </w:style>
  <w:style w:type="character" w:styleId="WWWW8Num1ztrue61111111111111111111">
    <w:name w:val="WW-WW8Num1ztrue61111111111111111111"/>
    <w:qFormat/>
    <w:rPr/>
  </w:style>
  <w:style w:type="character" w:styleId="WWWW8Num1ztrue71111111111111111111">
    <w:name w:val="WW-WW8Num1ztrue71111111111111111111"/>
    <w:qFormat/>
    <w:rPr/>
  </w:style>
  <w:style w:type="character" w:styleId="WWWW8Num1ztrue111111111111111111111">
    <w:name w:val="WW-WW8Num1ztrue111111111111111111111"/>
    <w:qFormat/>
    <w:rPr/>
  </w:style>
  <w:style w:type="character" w:styleId="WWWW8Num1ztrue211111111111111111111">
    <w:name w:val="WW-WW8Num1ztrue211111111111111111111"/>
    <w:qFormat/>
    <w:rPr/>
  </w:style>
  <w:style w:type="character" w:styleId="WWWW8Num1ztrue311111111111111111111">
    <w:name w:val="WW-WW8Num1ztrue311111111111111111111"/>
    <w:qFormat/>
    <w:rPr/>
  </w:style>
  <w:style w:type="character" w:styleId="WWWW8Num1ztrue411111111111111111111">
    <w:name w:val="WW-WW8Num1ztrue411111111111111111111"/>
    <w:qFormat/>
    <w:rPr/>
  </w:style>
  <w:style w:type="character" w:styleId="WWWW8Num1ztrue511111111111111111111">
    <w:name w:val="WW-WW8Num1ztrue511111111111111111111"/>
    <w:qFormat/>
    <w:rPr/>
  </w:style>
  <w:style w:type="character" w:styleId="WWWW8Num1ztrue611111111111111111111">
    <w:name w:val="WW-WW8Num1ztrue611111111111111111111"/>
    <w:qFormat/>
    <w:rPr/>
  </w:style>
  <w:style w:type="character" w:styleId="WWWW8Num1ztrue711111111111111111111">
    <w:name w:val="WW-WW8Num1ztrue711111111111111111111"/>
    <w:qFormat/>
    <w:rPr/>
  </w:style>
  <w:style w:type="character" w:styleId="WWWW8Num1ztrue1111111111111111111111">
    <w:name w:val="WW-WW8Num1ztrue1111111111111111111111"/>
    <w:qFormat/>
    <w:rPr/>
  </w:style>
  <w:style w:type="character" w:styleId="WWWW8Num1ztrue2111111111111111111111">
    <w:name w:val="WW-WW8Num1ztrue2111111111111111111111"/>
    <w:qFormat/>
    <w:rPr/>
  </w:style>
  <w:style w:type="character" w:styleId="WWWW8Num1ztrue3111111111111111111111">
    <w:name w:val="WW-WW8Num1ztrue3111111111111111111111"/>
    <w:qFormat/>
    <w:rPr/>
  </w:style>
  <w:style w:type="character" w:styleId="WWWW8Num1ztrue4111111111111111111111">
    <w:name w:val="WW-WW8Num1ztrue4111111111111111111111"/>
    <w:qFormat/>
    <w:rPr/>
  </w:style>
  <w:style w:type="character" w:styleId="WWWW8Num1ztrue5111111111111111111111">
    <w:name w:val="WW-WW8Num1ztrue5111111111111111111111"/>
    <w:qFormat/>
    <w:rPr/>
  </w:style>
  <w:style w:type="character" w:styleId="WWWW8Num1ztrue6111111111111111111111">
    <w:name w:val="WW-WW8Num1ztrue6111111111111111111111"/>
    <w:qFormat/>
    <w:rPr/>
  </w:style>
  <w:style w:type="character" w:styleId="WWWW8Num1ztrue7111111111111111111111">
    <w:name w:val="WW-WW8Num1ztrue7111111111111111111111"/>
    <w:qFormat/>
    <w:rPr/>
  </w:style>
  <w:style w:type="character" w:styleId="WWWW8Num1ztrue11111111111111111111111">
    <w:name w:val="WW-WW8Num1ztrue11111111111111111111111"/>
    <w:qFormat/>
    <w:rPr/>
  </w:style>
  <w:style w:type="character" w:styleId="WWWW8Num1ztrue21111111111111111111111">
    <w:name w:val="WW-WW8Num1ztrue21111111111111111111111"/>
    <w:qFormat/>
    <w:rPr/>
  </w:style>
  <w:style w:type="character" w:styleId="WWWW8Num1ztrue31111111111111111111111">
    <w:name w:val="WW-WW8Num1ztrue31111111111111111111111"/>
    <w:qFormat/>
    <w:rPr/>
  </w:style>
  <w:style w:type="character" w:styleId="WWWW8Num1ztrue41111111111111111111111">
    <w:name w:val="WW-WW8Num1ztrue41111111111111111111111"/>
    <w:qFormat/>
    <w:rPr/>
  </w:style>
  <w:style w:type="character" w:styleId="WWWW8Num1ztrue51111111111111111111111">
    <w:name w:val="WW-WW8Num1ztrue51111111111111111111111"/>
    <w:qFormat/>
    <w:rPr/>
  </w:style>
  <w:style w:type="character" w:styleId="WWWW8Num1ztrue61111111111111111111111">
    <w:name w:val="WW-WW8Num1ztrue61111111111111111111111"/>
    <w:qFormat/>
    <w:rPr/>
  </w:style>
  <w:style w:type="character" w:styleId="WWWW8Num1ztrue71111111111111111111111">
    <w:name w:val="WW-WW8Num1ztrue71111111111111111111111"/>
    <w:qFormat/>
    <w:rPr/>
  </w:style>
  <w:style w:type="character" w:styleId="WWWW8Num1ztrue111111111111111111111111">
    <w:name w:val="WW-WW8Num1ztrue111111111111111111111111"/>
    <w:qFormat/>
    <w:rPr/>
  </w:style>
  <w:style w:type="character" w:styleId="WWWW8Num1ztrue211111111111111111111111">
    <w:name w:val="WW-WW8Num1ztrue211111111111111111111111"/>
    <w:qFormat/>
    <w:rPr/>
  </w:style>
  <w:style w:type="character" w:styleId="WWWW8Num1ztrue311111111111111111111111">
    <w:name w:val="WW-WW8Num1ztrue311111111111111111111111"/>
    <w:qFormat/>
    <w:rPr/>
  </w:style>
  <w:style w:type="character" w:styleId="WWWW8Num1ztrue411111111111111111111111">
    <w:name w:val="WW-WW8Num1ztrue411111111111111111111111"/>
    <w:qFormat/>
    <w:rPr/>
  </w:style>
  <w:style w:type="character" w:styleId="WWWW8Num1ztrue511111111111111111111111">
    <w:name w:val="WW-WW8Num1ztrue511111111111111111111111"/>
    <w:qFormat/>
    <w:rPr/>
  </w:style>
  <w:style w:type="character" w:styleId="WWWW8Num1ztrue611111111111111111111111">
    <w:name w:val="WW-WW8Num1ztrue611111111111111111111111"/>
    <w:qFormat/>
    <w:rPr/>
  </w:style>
  <w:style w:type="character" w:styleId="WWWW8Num1ztrue711111111111111111111111">
    <w:name w:val="WW-WW8Num1ztrue711111111111111111111111"/>
    <w:qFormat/>
    <w:rPr/>
  </w:style>
  <w:style w:type="character" w:styleId="WWWW8Num1ztrue1111111111111111111111111">
    <w:name w:val="WW-WW8Num1ztrue1111111111111111111111111"/>
    <w:qFormat/>
    <w:rPr/>
  </w:style>
  <w:style w:type="character" w:styleId="WWWW8Num1ztrue2111111111111111111111111">
    <w:name w:val="WW-WW8Num1ztrue2111111111111111111111111"/>
    <w:qFormat/>
    <w:rPr/>
  </w:style>
  <w:style w:type="character" w:styleId="WWWW8Num1ztrue3111111111111111111111111">
    <w:name w:val="WW-WW8Num1ztrue3111111111111111111111111"/>
    <w:qFormat/>
    <w:rPr/>
  </w:style>
  <w:style w:type="character" w:styleId="WWWW8Num1ztrue4111111111111111111111111">
    <w:name w:val="WW-WW8Num1ztrue4111111111111111111111111"/>
    <w:qFormat/>
    <w:rPr/>
  </w:style>
  <w:style w:type="character" w:styleId="WWWW8Num1ztrue5111111111111111111111111">
    <w:name w:val="WW-WW8Num1ztrue5111111111111111111111111"/>
    <w:qFormat/>
    <w:rPr/>
  </w:style>
  <w:style w:type="character" w:styleId="WWWW8Num1ztrue6111111111111111111111111">
    <w:name w:val="WW-WW8Num1ztrue6111111111111111111111111"/>
    <w:qFormat/>
    <w:rPr/>
  </w:style>
  <w:style w:type="character" w:styleId="WWWW8Num1ztrue7111111111111111111111111">
    <w:name w:val="WW-WW8Num1ztrue7111111111111111111111111"/>
    <w:qFormat/>
    <w:rPr/>
  </w:style>
  <w:style w:type="character" w:styleId="WWWW8Num1ztrue11111111111111111111111111">
    <w:name w:val="WW-WW8Num1ztrue11111111111111111111111111"/>
    <w:qFormat/>
    <w:rPr/>
  </w:style>
  <w:style w:type="character" w:styleId="WWWW8Num1ztrue21111111111111111111111111">
    <w:name w:val="WW-WW8Num1ztrue21111111111111111111111111"/>
    <w:qFormat/>
    <w:rPr/>
  </w:style>
  <w:style w:type="character" w:styleId="WWWW8Num1ztrue31111111111111111111111111">
    <w:name w:val="WW-WW8Num1ztrue31111111111111111111111111"/>
    <w:qFormat/>
    <w:rPr/>
  </w:style>
  <w:style w:type="character" w:styleId="WWWW8Num1ztrue41111111111111111111111111">
    <w:name w:val="WW-WW8Num1ztrue41111111111111111111111111"/>
    <w:qFormat/>
    <w:rPr/>
  </w:style>
  <w:style w:type="character" w:styleId="WWWW8Num1ztrue51111111111111111111111111">
    <w:name w:val="WW-WW8Num1ztrue51111111111111111111111111"/>
    <w:qFormat/>
    <w:rPr/>
  </w:style>
  <w:style w:type="character" w:styleId="WWWW8Num1ztrue61111111111111111111111111">
    <w:name w:val="WW-WW8Num1ztrue61111111111111111111111111"/>
    <w:qFormat/>
    <w:rPr/>
  </w:style>
  <w:style w:type="character" w:styleId="WWWW8Num1ztrue71111111111111111111111111">
    <w:name w:val="WW-WW8Num1ztrue71111111111111111111111111"/>
    <w:qFormat/>
    <w:rPr/>
  </w:style>
  <w:style w:type="character" w:styleId="WWWW8Num1ztrue111111111111111111111111111">
    <w:name w:val="WW-WW8Num1ztrue111111111111111111111111111"/>
    <w:qFormat/>
    <w:rPr/>
  </w:style>
  <w:style w:type="character" w:styleId="WWWW8Num1ztrue211111111111111111111111111">
    <w:name w:val="WW-WW8Num1ztrue211111111111111111111111111"/>
    <w:qFormat/>
    <w:rPr/>
  </w:style>
  <w:style w:type="character" w:styleId="WWWW8Num1ztrue311111111111111111111111111">
    <w:name w:val="WW-WW8Num1ztrue311111111111111111111111111"/>
    <w:qFormat/>
    <w:rPr/>
  </w:style>
  <w:style w:type="character" w:styleId="WWWW8Num1ztrue411111111111111111111111111">
    <w:name w:val="WW-WW8Num1ztrue411111111111111111111111111"/>
    <w:qFormat/>
    <w:rPr/>
  </w:style>
  <w:style w:type="character" w:styleId="WWWW8Num1ztrue511111111111111111111111111">
    <w:name w:val="WW-WW8Num1ztrue511111111111111111111111111"/>
    <w:qFormat/>
    <w:rPr/>
  </w:style>
  <w:style w:type="character" w:styleId="WWWW8Num1ztrue611111111111111111111111111">
    <w:name w:val="WW-WW8Num1ztrue611111111111111111111111111"/>
    <w:qFormat/>
    <w:rPr/>
  </w:style>
  <w:style w:type="character" w:styleId="WWWW8Num1ztrue711111111111111111111111111">
    <w:name w:val="WW-WW8Num1ztrue711111111111111111111111111"/>
    <w:qFormat/>
    <w:rPr/>
  </w:style>
  <w:style w:type="character" w:styleId="WWWW8Num1ztrue1111111111111111111111111111">
    <w:name w:val="WW-WW8Num1ztrue1111111111111111111111111111"/>
    <w:qFormat/>
    <w:rPr/>
  </w:style>
  <w:style w:type="character" w:styleId="WWWW8Num1ztrue2111111111111111111111111111">
    <w:name w:val="WW-WW8Num1ztrue2111111111111111111111111111"/>
    <w:qFormat/>
    <w:rPr/>
  </w:style>
  <w:style w:type="character" w:styleId="WWWW8Num1ztrue3111111111111111111111111111">
    <w:name w:val="WW-WW8Num1ztrue3111111111111111111111111111"/>
    <w:qFormat/>
    <w:rPr/>
  </w:style>
  <w:style w:type="character" w:styleId="WWWW8Num1ztrue4111111111111111111111111111">
    <w:name w:val="WW-WW8Num1ztrue4111111111111111111111111111"/>
    <w:qFormat/>
    <w:rPr/>
  </w:style>
  <w:style w:type="character" w:styleId="WWWW8Num1ztrue5111111111111111111111111111">
    <w:name w:val="WW-WW8Num1ztrue5111111111111111111111111111"/>
    <w:qFormat/>
    <w:rPr/>
  </w:style>
  <w:style w:type="character" w:styleId="WWWW8Num1ztrue6111111111111111111111111111">
    <w:name w:val="WW-WW8Num1ztrue6111111111111111111111111111"/>
    <w:qFormat/>
    <w:rPr/>
  </w:style>
  <w:style w:type="character" w:styleId="WWWW8Num1ztrue7111111111111111111111111111">
    <w:name w:val="WW-WW8Num1ztrue7111111111111111111111111111"/>
    <w:qFormat/>
    <w:rPr/>
  </w:style>
  <w:style w:type="character" w:styleId="WWWW8Num1ztrue11111111111111111111111111111">
    <w:name w:val="WW-WW8Num1ztrue11111111111111111111111111111"/>
    <w:qFormat/>
    <w:rPr/>
  </w:style>
  <w:style w:type="character" w:styleId="WWWW8Num1ztrue21111111111111111111111111111">
    <w:name w:val="WW-WW8Num1ztrue21111111111111111111111111111"/>
    <w:qFormat/>
    <w:rPr/>
  </w:style>
  <w:style w:type="character" w:styleId="WWWW8Num1ztrue31111111111111111111111111111">
    <w:name w:val="WW-WW8Num1ztrue31111111111111111111111111111"/>
    <w:qFormat/>
    <w:rPr/>
  </w:style>
  <w:style w:type="character" w:styleId="WWWW8Num1ztrue41111111111111111111111111111">
    <w:name w:val="WW-WW8Num1ztrue41111111111111111111111111111"/>
    <w:qFormat/>
    <w:rPr/>
  </w:style>
  <w:style w:type="character" w:styleId="WWWW8Num1ztrue51111111111111111111111111111">
    <w:name w:val="WW-WW8Num1ztrue51111111111111111111111111111"/>
    <w:qFormat/>
    <w:rPr/>
  </w:style>
  <w:style w:type="character" w:styleId="WWWW8Num1ztrue61111111111111111111111111111">
    <w:name w:val="WW-WW8Num1ztrue61111111111111111111111111111"/>
    <w:qFormat/>
    <w:rPr/>
  </w:style>
  <w:style w:type="character" w:styleId="WWWW8Num1ztrue71111111111111111111111111111">
    <w:name w:val="WW-WW8Num1ztrue71111111111111111111111111111"/>
    <w:qFormat/>
    <w:rPr/>
  </w:style>
  <w:style w:type="character" w:styleId="WWWW8Num1ztrue111111111111111111111111111111">
    <w:name w:val="WW-WW8Num1ztrue111111111111111111111111111111"/>
    <w:qFormat/>
    <w:rPr/>
  </w:style>
  <w:style w:type="character" w:styleId="WWWW8Num1ztrue211111111111111111111111111111">
    <w:name w:val="WW-WW8Num1ztrue211111111111111111111111111111"/>
    <w:qFormat/>
    <w:rPr/>
  </w:style>
  <w:style w:type="character" w:styleId="WWWW8Num1ztrue311111111111111111111111111111">
    <w:name w:val="WW-WW8Num1ztrue311111111111111111111111111111"/>
    <w:qFormat/>
    <w:rPr/>
  </w:style>
  <w:style w:type="character" w:styleId="WWWW8Num1ztrue411111111111111111111111111111">
    <w:name w:val="WW-WW8Num1ztrue411111111111111111111111111111"/>
    <w:qFormat/>
    <w:rPr/>
  </w:style>
  <w:style w:type="character" w:styleId="WWWW8Num1ztrue511111111111111111111111111111">
    <w:name w:val="WW-WW8Num1ztrue511111111111111111111111111111"/>
    <w:qFormat/>
    <w:rPr/>
  </w:style>
  <w:style w:type="character" w:styleId="WWWW8Num1ztrue611111111111111111111111111111">
    <w:name w:val="WW-WW8Num1ztrue611111111111111111111111111111"/>
    <w:qFormat/>
    <w:rPr/>
  </w:style>
  <w:style w:type="character" w:styleId="WWWW8Num1ztrue711111111111111111111111111111">
    <w:name w:val="WW-WW8Num1ztrue711111111111111111111111111111"/>
    <w:qFormat/>
    <w:rPr/>
  </w:style>
  <w:style w:type="character" w:styleId="WWWW8Num1ztrue1111111111111111111111111111111">
    <w:name w:val="WW-WW8Num1ztrue1111111111111111111111111111111"/>
    <w:qFormat/>
    <w:rPr/>
  </w:style>
  <w:style w:type="character" w:styleId="WWWW8Num1ztrue2111111111111111111111111111111">
    <w:name w:val="WW-WW8Num1ztrue2111111111111111111111111111111"/>
    <w:qFormat/>
    <w:rPr/>
  </w:style>
  <w:style w:type="character" w:styleId="WWWW8Num1ztrue3111111111111111111111111111111">
    <w:name w:val="WW-WW8Num1ztrue3111111111111111111111111111111"/>
    <w:qFormat/>
    <w:rPr/>
  </w:style>
  <w:style w:type="character" w:styleId="WWWW8Num1ztrue4111111111111111111111111111111">
    <w:name w:val="WW-WW8Num1ztrue4111111111111111111111111111111"/>
    <w:qFormat/>
    <w:rPr/>
  </w:style>
  <w:style w:type="character" w:styleId="WWWW8Num1ztrue5111111111111111111111111111111">
    <w:name w:val="WW-WW8Num1ztrue5111111111111111111111111111111"/>
    <w:qFormat/>
    <w:rPr/>
  </w:style>
  <w:style w:type="character" w:styleId="WWWW8Num1ztrue6111111111111111111111111111111">
    <w:name w:val="WW-WW8Num1ztrue6111111111111111111111111111111"/>
    <w:qFormat/>
    <w:rPr/>
  </w:style>
  <w:style w:type="character" w:styleId="WWWW8Num1ztrue7111111111111111111111111111111">
    <w:name w:val="WW-WW8Num1ztrue7111111111111111111111111111111"/>
    <w:qFormat/>
    <w:rPr/>
  </w:style>
  <w:style w:type="character" w:styleId="WWWW8Num1ztrue11111111111111111111111111111111">
    <w:name w:val="WW-WW8Num1ztrue11111111111111111111111111111111"/>
    <w:qFormat/>
    <w:rPr/>
  </w:style>
  <w:style w:type="character" w:styleId="WWWW8Num1ztrue21111111111111111111111111111111">
    <w:name w:val="WW-WW8Num1ztrue21111111111111111111111111111111"/>
    <w:qFormat/>
    <w:rPr/>
  </w:style>
  <w:style w:type="character" w:styleId="WWWW8Num1ztrue31111111111111111111111111111111">
    <w:name w:val="WW-WW8Num1ztrue31111111111111111111111111111111"/>
    <w:qFormat/>
    <w:rPr/>
  </w:style>
  <w:style w:type="character" w:styleId="WWWW8Num1ztrue41111111111111111111111111111111">
    <w:name w:val="WW-WW8Num1ztrue41111111111111111111111111111111"/>
    <w:qFormat/>
    <w:rPr/>
  </w:style>
  <w:style w:type="character" w:styleId="WWWW8Num1ztrue51111111111111111111111111111111">
    <w:name w:val="WW-WW8Num1ztrue51111111111111111111111111111111"/>
    <w:qFormat/>
    <w:rPr/>
  </w:style>
  <w:style w:type="character" w:styleId="WWWW8Num1ztrue61111111111111111111111111111111">
    <w:name w:val="WW-WW8Num1ztrue61111111111111111111111111111111"/>
    <w:qFormat/>
    <w:rPr/>
  </w:style>
  <w:style w:type="character" w:styleId="WWWW8Num1ztrue71111111111111111111111111111111">
    <w:name w:val="WW-WW8Num1ztrue71111111111111111111111111111111"/>
    <w:qFormat/>
    <w:rPr/>
  </w:style>
  <w:style w:type="character" w:styleId="WWWW8Num1ztrue111111111111111111111111111111111">
    <w:name w:val="WW-WW8Num1ztrue111111111111111111111111111111111"/>
    <w:qFormat/>
    <w:rPr/>
  </w:style>
  <w:style w:type="character" w:styleId="WWWW8Num1ztrue211111111111111111111111111111111">
    <w:name w:val="WW-WW8Num1ztrue211111111111111111111111111111111"/>
    <w:qFormat/>
    <w:rPr/>
  </w:style>
  <w:style w:type="character" w:styleId="WWWW8Num1ztrue311111111111111111111111111111111">
    <w:name w:val="WW-WW8Num1ztrue311111111111111111111111111111111"/>
    <w:qFormat/>
    <w:rPr/>
  </w:style>
  <w:style w:type="character" w:styleId="WWWW8Num1ztrue411111111111111111111111111111111">
    <w:name w:val="WW-WW8Num1ztrue411111111111111111111111111111111"/>
    <w:qFormat/>
    <w:rPr/>
  </w:style>
  <w:style w:type="character" w:styleId="WWWW8Num1ztrue511111111111111111111111111111111">
    <w:name w:val="WW-WW8Num1ztrue511111111111111111111111111111111"/>
    <w:qFormat/>
    <w:rPr/>
  </w:style>
  <w:style w:type="character" w:styleId="WWWW8Num1ztrue611111111111111111111111111111111">
    <w:name w:val="WW-WW8Num1ztrue611111111111111111111111111111111"/>
    <w:qFormat/>
    <w:rPr/>
  </w:style>
  <w:style w:type="character" w:styleId="21">
    <w:name w:val="Основной шрифт абзаца2"/>
    <w:qFormat/>
    <w:rPr/>
  </w:style>
  <w:style w:type="character" w:styleId="WWWW8Num1ztrue711111111111111111111111111111111">
    <w:name w:val="WW-WW8Num1ztrue711111111111111111111111111111111"/>
    <w:qFormat/>
    <w:rPr/>
  </w:style>
  <w:style w:type="character" w:styleId="WWWW8Num1ztrue1111111111111111111111111111111111">
    <w:name w:val="WW-WW8Num1ztrue1111111111111111111111111111111111"/>
    <w:qFormat/>
    <w:rPr/>
  </w:style>
  <w:style w:type="character" w:styleId="WWWW8Num1ztrue2111111111111111111111111111111111">
    <w:name w:val="WW-WW8Num1ztrue2111111111111111111111111111111111"/>
    <w:qFormat/>
    <w:rPr/>
  </w:style>
  <w:style w:type="character" w:styleId="WWWW8Num1ztrue3111111111111111111111111111111111">
    <w:name w:val="WW-WW8Num1ztrue3111111111111111111111111111111111"/>
    <w:qFormat/>
    <w:rPr/>
  </w:style>
  <w:style w:type="character" w:styleId="WWWW8Num1ztrue4111111111111111111111111111111111">
    <w:name w:val="WW-WW8Num1ztrue4111111111111111111111111111111111"/>
    <w:qFormat/>
    <w:rPr/>
  </w:style>
  <w:style w:type="character" w:styleId="WWWW8Num1ztrue5111111111111111111111111111111111">
    <w:name w:val="WW-WW8Num1ztrue5111111111111111111111111111111111"/>
    <w:qFormat/>
    <w:rPr/>
  </w:style>
  <w:style w:type="character" w:styleId="WWWW8Num1ztrue6111111111111111111111111111111111">
    <w:name w:val="WW-WW8Num1ztrue6111111111111111111111111111111111"/>
    <w:qFormat/>
    <w:rPr/>
  </w:style>
  <w:style w:type="character" w:styleId="WWWW8Num1ztrue7111111111111111111111111111111111">
    <w:name w:val="WW-WW8Num1ztrue7111111111111111111111111111111111"/>
    <w:qFormat/>
    <w:rPr/>
  </w:style>
  <w:style w:type="character" w:styleId="WWWW8Num1ztrue11111111111111111111111111111111111">
    <w:name w:val="WW-WW8Num1ztrue11111111111111111111111111111111111"/>
    <w:qFormat/>
    <w:rPr/>
  </w:style>
  <w:style w:type="character" w:styleId="WWWW8Num1ztrue21111111111111111111111111111111111">
    <w:name w:val="WW-WW8Num1ztrue21111111111111111111111111111111111"/>
    <w:qFormat/>
    <w:rPr/>
  </w:style>
  <w:style w:type="character" w:styleId="WWWW8Num1ztrue31111111111111111111111111111111111">
    <w:name w:val="WW-WW8Num1ztrue31111111111111111111111111111111111"/>
    <w:qFormat/>
    <w:rPr/>
  </w:style>
  <w:style w:type="character" w:styleId="WWWW8Num1ztrue41111111111111111111111111111111111">
    <w:name w:val="WW-WW8Num1ztrue41111111111111111111111111111111111"/>
    <w:qFormat/>
    <w:rPr/>
  </w:style>
  <w:style w:type="character" w:styleId="WWWW8Num1ztrue51111111111111111111111111111111111">
    <w:name w:val="WW-WW8Num1ztrue51111111111111111111111111111111111"/>
    <w:qFormat/>
    <w:rPr/>
  </w:style>
  <w:style w:type="character" w:styleId="WWWW8Num1ztrue61111111111111111111111111111111111">
    <w:name w:val="WW-WW8Num1ztrue61111111111111111111111111111111111"/>
    <w:qFormat/>
    <w:rPr/>
  </w:style>
  <w:style w:type="character" w:styleId="WWWW8Num1ztrue71111111111111111111111111111111111">
    <w:name w:val="WW-WW8Num1ztrue71111111111111111111111111111111111"/>
    <w:qFormat/>
    <w:rPr/>
  </w:style>
  <w:style w:type="character" w:styleId="WWWW8Num1ztrue111111111111111111111111111111111111">
    <w:name w:val="WW-WW8Num1ztrue111111111111111111111111111111111111"/>
    <w:qFormat/>
    <w:rPr/>
  </w:style>
  <w:style w:type="character" w:styleId="WWWW8Num1ztrue211111111111111111111111111111111111">
    <w:name w:val="WW-WW8Num1ztrue211111111111111111111111111111111111"/>
    <w:qFormat/>
    <w:rPr/>
  </w:style>
  <w:style w:type="character" w:styleId="WWWW8Num1ztrue311111111111111111111111111111111111">
    <w:name w:val="WW-WW8Num1ztrue311111111111111111111111111111111111"/>
    <w:qFormat/>
    <w:rPr/>
  </w:style>
  <w:style w:type="character" w:styleId="WWWW8Num1ztrue411111111111111111111111111111111111">
    <w:name w:val="WW-WW8Num1ztrue411111111111111111111111111111111111"/>
    <w:qFormat/>
    <w:rPr/>
  </w:style>
  <w:style w:type="character" w:styleId="WWWW8Num1ztrue511111111111111111111111111111111111">
    <w:name w:val="WW-WW8Num1ztrue511111111111111111111111111111111111"/>
    <w:qFormat/>
    <w:rPr/>
  </w:style>
  <w:style w:type="character" w:styleId="WWWW8Num1ztrue611111111111111111111111111111111111">
    <w:name w:val="WW-WW8Num1ztrue611111111111111111111111111111111111"/>
    <w:qFormat/>
    <w:rPr/>
  </w:style>
  <w:style w:type="character" w:styleId="WWWW8Num1ztrue711111111111111111111111111111111111">
    <w:name w:val="WW-WW8Num1ztrue711111111111111111111111111111111111"/>
    <w:qFormat/>
    <w:rPr/>
  </w:style>
  <w:style w:type="character" w:styleId="WWWW8Num1ztrue1111111111111111111111111111111111111">
    <w:name w:val="WW-WW8Num1ztrue1111111111111111111111111111111111111"/>
    <w:qFormat/>
    <w:rPr/>
  </w:style>
  <w:style w:type="character" w:styleId="WWWW8Num1ztrue2111111111111111111111111111111111111">
    <w:name w:val="WW-WW8Num1ztrue2111111111111111111111111111111111111"/>
    <w:qFormat/>
    <w:rPr/>
  </w:style>
  <w:style w:type="character" w:styleId="WWWW8Num1ztrue3111111111111111111111111111111111111">
    <w:name w:val="WW-WW8Num1ztrue3111111111111111111111111111111111111"/>
    <w:qFormat/>
    <w:rPr/>
  </w:style>
  <w:style w:type="character" w:styleId="WWWW8Num1ztrue4111111111111111111111111111111111111">
    <w:name w:val="WW-WW8Num1ztrue4111111111111111111111111111111111111"/>
    <w:qFormat/>
    <w:rPr/>
  </w:style>
  <w:style w:type="character" w:styleId="WWWW8Num1ztrue5111111111111111111111111111111111111">
    <w:name w:val="WW-WW8Num1ztrue5111111111111111111111111111111111111"/>
    <w:qFormat/>
    <w:rPr/>
  </w:style>
  <w:style w:type="character" w:styleId="WWWW8Num1ztrue6111111111111111111111111111111111111">
    <w:name w:val="WW-WW8Num1ztrue6111111111111111111111111111111111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объекта"/>
    <w:basedOn w:val="Normal"/>
    <w:qFormat/>
    <w:pPr>
      <w:suppressLineNumbers/>
      <w:spacing w:before="120" w:after="120"/>
    </w:pPr>
    <w:rPr>
      <w:rFonts w:cs="Mangal"/>
      <w:i/>
      <w:iCs/>
      <w:sz w:val="24"/>
      <w:szCs w:val="24"/>
    </w:rPr>
  </w:style>
  <w:style w:type="paragraph" w:styleId="22">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szCs w:val="24"/>
    </w:rPr>
  </w:style>
  <w:style w:type="paragraph" w:styleId="13">
    <w:name w:val="Указатель1"/>
    <w:basedOn w:val="Normal"/>
    <w:qFormat/>
    <w:pPr>
      <w:suppressLineNumbers/>
    </w:pPr>
    <w:rPr>
      <w:rFonts w:cs="Mangal"/>
    </w:rPr>
  </w:style>
  <w:style w:type="paragraph" w:styleId="Style19">
    <w:name w:val="Текст выноски"/>
    <w:basedOn w:val="Normal"/>
    <w:qFormat/>
    <w:pPr/>
    <w:rPr>
      <w:rFonts w:ascii="Tahoma" w:hAnsi="Tahoma" w:cs="Tahoma"/>
      <w:sz w:val="16"/>
      <w:szCs w:val="16"/>
    </w:rPr>
  </w:style>
  <w:style w:type="paragraph" w:styleId="14">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Style20">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21">
    <w:name w:val="Header"/>
    <w:basedOn w:val="Normal"/>
    <w:pPr>
      <w:tabs>
        <w:tab w:val="clear" w:pos="708"/>
        <w:tab w:val="center" w:pos="4677" w:leader="none"/>
        <w:tab w:val="right" w:pos="9355" w:leader="none"/>
      </w:tabs>
    </w:pPr>
    <w:rPr/>
  </w:style>
  <w:style w:type="paragraph" w:styleId="Style22">
    <w:name w:val="Footer"/>
    <w:basedOn w:val="Normal"/>
    <w:pPr>
      <w:tabs>
        <w:tab w:val="clear" w:pos="708"/>
        <w:tab w:val="center" w:pos="4677" w:leader="none"/>
        <w:tab w:val="right" w:pos="9355" w:leader="none"/>
      </w:tabs>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240</TotalTime>
  <Application>LibreOffice/7.1.3.2$Windows_X86_64 LibreOffice_project/47f78053abe362b9384784d31a6e56f8511eb1c1</Application>
  <AppVersion>15.0000</AppVersion>
  <Pages>2</Pages>
  <Words>444</Words>
  <Characters>3034</Characters>
  <CharactersWithSpaces>3697</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2022-02-09T15:17:13Z</cp:lastPrinted>
  <dcterms:modified xsi:type="dcterms:W3CDTF">2022-02-14T10:09:54Z</dcterms:modified>
  <cp:revision>49</cp:revision>
  <dc:subject/>
  <dc:title>  </dc:title>
</cp:coreProperties>
</file>

<file path=docProps/custom.xml><?xml version="1.0" encoding="utf-8"?>
<Properties xmlns="http://schemas.openxmlformats.org/officeDocument/2006/custom-properties" xmlns:vt="http://schemas.openxmlformats.org/officeDocument/2006/docPropsVTypes"/>
</file>