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097" w:dyaOrig="3281">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 filled="f" o:ole="">
            <v:imagedata r:id="rId3" o:title=""/>
          </v:shape>
          <o:OLEObject Type="Embed" ProgID="" ShapeID="ole_rId2" DrawAspect="Content" ObjectID="_1973039365" r:id="rId2"/>
        </w:object>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false"/>
        <w:autoSpaceDE w:val="false"/>
        <w:ind w:left="0" w:right="-868" w:hanging="0"/>
        <w:jc w:val="both"/>
        <w:rPr/>
      </w:pPr>
      <w:r>
        <w:rPr>
          <w:sz w:val="28"/>
          <w:szCs w:val="28"/>
        </w:rPr>
        <w:t xml:space="preserve">Про повторний  </w:t>
      </w:r>
      <w:r>
        <w:rPr>
          <w:rFonts w:eastAsia="Times New Roman" w:cs="Times New Roman"/>
          <w:color w:val="auto"/>
          <w:sz w:val="28"/>
          <w:szCs w:val="28"/>
          <w:lang w:val="uk-UA" w:eastAsia="zh-CN" w:bidi="ar-SA"/>
        </w:rPr>
        <w:t>розгляд заяви</w:t>
      </w:r>
      <w:r>
        <w:rPr>
          <w:sz w:val="28"/>
          <w:szCs w:val="28"/>
        </w:rPr>
        <w:t xml:space="preserve">  громадяни-</w:t>
      </w:r>
    </w:p>
    <w:p>
      <w:pPr>
        <w:pStyle w:val="Normal"/>
        <w:overflowPunct w:val="false"/>
        <w:autoSpaceDE w:val="false"/>
        <w:ind w:left="0" w:right="-868" w:hanging="0"/>
        <w:jc w:val="both"/>
        <w:rPr/>
      </w:pPr>
      <w:r>
        <w:rPr>
          <w:rFonts w:eastAsia="Times New Roman" w:cs="Times New Roman"/>
          <w:color w:val="auto"/>
          <w:sz w:val="28"/>
          <w:szCs w:val="28"/>
          <w:lang w:val="uk-UA" w:eastAsia="zh-CN" w:bidi="ar-SA"/>
        </w:rPr>
        <w:t>на  Янюка Б.В.</w:t>
      </w:r>
      <w:r>
        <w:rPr>
          <w:rFonts w:eastAsia="Times New Roman" w:cs="Times New Roman"/>
          <w:color w:val="auto"/>
          <w:sz w:val="36"/>
          <w:szCs w:val="36"/>
          <w:lang w:val="uk-UA" w:eastAsia="zh-CN" w:bidi="ar-SA"/>
        </w:rPr>
        <w:t xml:space="preserve"> </w:t>
      </w:r>
      <w:r>
        <w:rPr>
          <w:rFonts w:eastAsia="Times New Roman" w:cs="Times New Roman"/>
          <w:color w:val="auto"/>
          <w:sz w:val="28"/>
          <w:szCs w:val="28"/>
          <w:lang w:val="uk-UA" w:eastAsia="zh-CN" w:bidi="ar-SA"/>
        </w:rPr>
        <w:t>від 20.10.2021</w:t>
      </w:r>
      <w:r>
        <w:rPr>
          <w:rFonts w:eastAsia="Times New Roman" w:cs="Times New Roman"/>
          <w:color w:val="auto"/>
          <w:sz w:val="36"/>
          <w:szCs w:val="36"/>
          <w:lang w:val="uk-UA" w:eastAsia="zh-CN" w:bidi="ar-SA"/>
        </w:rPr>
        <w:t xml:space="preserve"> </w:t>
      </w:r>
      <w:r>
        <w:rPr>
          <w:rFonts w:eastAsia="Times New Roman" w:cs="Times New Roman"/>
          <w:color w:val="auto"/>
          <w:sz w:val="28"/>
          <w:szCs w:val="28"/>
          <w:lang w:val="uk-UA" w:eastAsia="zh-CN" w:bidi="ar-SA"/>
        </w:rPr>
        <w:t>про</w:t>
      </w:r>
      <w:r>
        <w:rPr>
          <w:sz w:val="28"/>
          <w:szCs w:val="28"/>
        </w:rPr>
        <w:t xml:space="preserve"> </w:t>
      </w:r>
      <w:r>
        <w:rPr>
          <w:rFonts w:eastAsia="Times New Roman" w:cs="Times New Roman"/>
          <w:color w:val="auto"/>
          <w:sz w:val="28"/>
          <w:szCs w:val="28"/>
          <w:lang w:val="uk-UA" w:eastAsia="zh-CN" w:bidi="ar-SA"/>
        </w:rPr>
        <w:t>надання</w:t>
      </w:r>
    </w:p>
    <w:p>
      <w:pPr>
        <w:pStyle w:val="Normal"/>
        <w:overflowPunct w:val="false"/>
        <w:autoSpaceDE w:val="false"/>
        <w:ind w:left="0" w:right="-868" w:hanging="0"/>
        <w:jc w:val="both"/>
        <w:rPr>
          <w:sz w:val="28"/>
          <w:szCs w:val="28"/>
        </w:rPr>
      </w:pPr>
      <w:r>
        <w:rPr>
          <w:sz w:val="28"/>
          <w:szCs w:val="28"/>
        </w:rPr>
        <w:t>дозволу на розроблення проекту землеуст-</w:t>
      </w:r>
    </w:p>
    <w:p>
      <w:pPr>
        <w:pStyle w:val="Normal"/>
        <w:overflowPunct w:val="false"/>
        <w:autoSpaceDE w:val="false"/>
        <w:ind w:left="0" w:right="-868" w:hanging="0"/>
        <w:jc w:val="both"/>
        <w:rPr/>
      </w:pPr>
      <w:r>
        <w:rPr>
          <w:sz w:val="28"/>
          <w:szCs w:val="28"/>
        </w:rPr>
        <w:t xml:space="preserve">рою </w:t>
      </w:r>
      <w:r>
        <w:rPr>
          <w:sz w:val="40"/>
          <w:szCs w:val="40"/>
        </w:rPr>
        <w:t xml:space="preserve"> </w:t>
      </w:r>
      <w:r>
        <w:rPr>
          <w:sz w:val="28"/>
          <w:szCs w:val="28"/>
        </w:rPr>
        <w:t xml:space="preserve">щодо  відведення </w:t>
      </w:r>
      <w:r>
        <w:rPr>
          <w:sz w:val="32"/>
          <w:szCs w:val="32"/>
        </w:rPr>
        <w:t xml:space="preserve"> </w:t>
      </w:r>
      <w:r>
        <w:rPr>
          <w:sz w:val="28"/>
          <w:szCs w:val="28"/>
        </w:rPr>
        <w:t>земельної  ділянки</w:t>
      </w:r>
    </w:p>
    <w:p>
      <w:pPr>
        <w:pStyle w:val="Normal"/>
        <w:overflowPunct w:val="false"/>
        <w:autoSpaceDE w:val="false"/>
        <w:ind w:left="0" w:right="-868" w:hanging="0"/>
        <w:jc w:val="both"/>
        <w:rPr>
          <w:sz w:val="28"/>
          <w:szCs w:val="28"/>
        </w:rPr>
      </w:pPr>
      <w:r>
        <w:rPr>
          <w:sz w:val="28"/>
          <w:szCs w:val="28"/>
        </w:rPr>
        <w:t>для  індивідуального дачного  будівництва</w:t>
      </w:r>
    </w:p>
    <w:p>
      <w:pPr>
        <w:pStyle w:val="Normal"/>
        <w:overflowPunct w:val="false"/>
        <w:autoSpaceDE w:val="false"/>
        <w:ind w:left="0" w:right="-868" w:hanging="0"/>
        <w:jc w:val="both"/>
        <w:rPr/>
      </w:pPr>
      <w:r>
        <w:rPr>
          <w:sz w:val="28"/>
          <w:szCs w:val="28"/>
        </w:rPr>
        <w:t xml:space="preserve">в с. Прилуцьке </w:t>
      </w:r>
      <w:r>
        <w:rPr>
          <w:rFonts w:eastAsia="Times New Roman" w:cs="Times New Roman"/>
          <w:color w:val="000000"/>
          <w:spacing w:val="2"/>
          <w:sz w:val="28"/>
          <w:szCs w:val="28"/>
          <w:lang w:val="uk-UA" w:eastAsia="zh-CN" w:bidi="ar-SA"/>
        </w:rPr>
        <w:t>Луцького району Волинсь-</w:t>
      </w:r>
    </w:p>
    <w:p>
      <w:pPr>
        <w:pStyle w:val="Normal"/>
        <w:overflowPunct w:val="false"/>
        <w:autoSpaceDE w:val="false"/>
        <w:ind w:left="0" w:right="-868" w:hanging="0"/>
        <w:jc w:val="both"/>
        <w:rPr>
          <w:rFonts w:eastAsia="Times New Roman" w:cs="Times New Roman"/>
          <w:color w:val="000000"/>
          <w:spacing w:val="2"/>
          <w:sz w:val="28"/>
          <w:szCs w:val="28"/>
          <w:lang w:val="uk-UA" w:eastAsia="zh-CN" w:bidi="ar-SA"/>
        </w:rPr>
      </w:pPr>
      <w:r>
        <w:rPr>
          <w:rFonts w:eastAsia="Times New Roman" w:cs="Times New Roman"/>
          <w:color w:val="000000"/>
          <w:spacing w:val="2"/>
          <w:sz w:val="28"/>
          <w:szCs w:val="28"/>
          <w:lang w:val="uk-UA" w:eastAsia="zh-CN" w:bidi="ar-SA"/>
        </w:rPr>
        <w:t>кої області</w:t>
      </w:r>
    </w:p>
    <w:p>
      <w:pPr>
        <w:pStyle w:val="Normal"/>
        <w:overflowPunct w:val="false"/>
        <w:autoSpaceDE w:val="false"/>
        <w:ind w:left="0" w:right="-868" w:hanging="0"/>
        <w:jc w:val="both"/>
        <w:rPr>
          <w:color w:val="000000"/>
          <w:szCs w:val="28"/>
        </w:rPr>
      </w:pPr>
      <w:r>
        <w:rPr>
          <w:color w:val="000000"/>
          <w:szCs w:val="28"/>
        </w:rPr>
      </w:r>
    </w:p>
    <w:p>
      <w:pPr>
        <w:pStyle w:val="Normal"/>
        <w:widowControl/>
        <w:suppressAutoHyphens w:val="true"/>
        <w:bidi w:val="0"/>
        <w:ind w:left="0" w:right="0" w:firstLine="567"/>
        <w:jc w:val="both"/>
        <w:rPr/>
      </w:pPr>
      <w:r>
        <w:rPr>
          <w:rFonts w:eastAsia="Times New Roman" w:cs="Times New Roman"/>
          <w:color w:val="auto"/>
          <w:sz w:val="28"/>
          <w:szCs w:val="28"/>
          <w:lang w:val="uk-UA" w:eastAsia="zh-CN" w:bidi="ar-SA"/>
        </w:rPr>
        <w:t xml:space="preserve">На виконання </w:t>
      </w:r>
      <w:r>
        <w:rPr>
          <w:szCs w:val="28"/>
        </w:rPr>
        <w:t xml:space="preserve">рішення </w:t>
      </w:r>
      <w:r>
        <w:rPr>
          <w:rFonts w:eastAsia="Times New Roman" w:cs="Times New Roman"/>
          <w:color w:val="auto"/>
          <w:sz w:val="28"/>
          <w:szCs w:val="28"/>
          <w:lang w:val="uk-UA" w:eastAsia="zh-CN" w:bidi="ar-SA"/>
        </w:rPr>
        <w:t>В</w:t>
      </w:r>
      <w:r>
        <w:rPr>
          <w:szCs w:val="28"/>
        </w:rPr>
        <w:t xml:space="preserve">олинського окружного адміністративного суду від 11.02.2022, справа №140/15191/21 про повторний </w:t>
      </w:r>
      <w:r>
        <w:rPr>
          <w:rFonts w:eastAsia="Times New Roman" w:cs="Times New Roman"/>
          <w:color w:val="auto"/>
          <w:sz w:val="28"/>
          <w:szCs w:val="28"/>
          <w:lang w:val="uk-UA" w:eastAsia="zh-CN" w:bidi="ar-SA"/>
        </w:rPr>
        <w:t>розгляд заяви</w:t>
      </w:r>
      <w:r>
        <w:rPr>
          <w:szCs w:val="28"/>
        </w:rPr>
        <w:t xml:space="preserve"> громадянин</w:t>
      </w:r>
      <w:r>
        <w:rPr>
          <w:rFonts w:eastAsia="Times New Roman" w:cs="Times New Roman"/>
          <w:color w:val="auto"/>
          <w:sz w:val="28"/>
          <w:szCs w:val="28"/>
          <w:lang w:val="uk-UA" w:eastAsia="zh-CN" w:bidi="ar-SA"/>
        </w:rPr>
        <w:t>а Янюка Богдана Володимировича</w:t>
      </w:r>
      <w:r>
        <w:rPr>
          <w:szCs w:val="28"/>
        </w:rPr>
        <w:t xml:space="preserve"> </w:t>
      </w:r>
      <w:r>
        <w:rPr>
          <w:rFonts w:eastAsia="Times New Roman" w:cs="Times New Roman"/>
          <w:color w:val="auto"/>
          <w:sz w:val="28"/>
          <w:szCs w:val="28"/>
          <w:lang w:val="uk-UA" w:eastAsia="zh-CN" w:bidi="ar-SA"/>
        </w:rPr>
        <w:t xml:space="preserve">від 20.10.2021 </w:t>
      </w:r>
      <w:r>
        <w:rPr>
          <w:szCs w:val="28"/>
        </w:rPr>
        <w:t>про надання дозволу на розроблення проекту землеустрою щодо відведення земельної ділянки для індивідуального дачного будівництва в с. Прилуцьке</w:t>
      </w:r>
      <w:r>
        <w:rPr>
          <w:rFonts w:eastAsia="Times New Roman" w:cs="Times New Roman"/>
          <w:color w:val="auto"/>
          <w:sz w:val="28"/>
          <w:szCs w:val="28"/>
          <w:lang w:val="uk-UA" w:eastAsia="zh-CN" w:bidi="ar-SA"/>
        </w:rPr>
        <w:t xml:space="preserve"> Луцького району Волинської області,</w:t>
      </w:r>
      <w:r>
        <w:rPr>
          <w:szCs w:val="28"/>
        </w:rPr>
        <w:t xml:space="preserve"> орієнтовною площею 0,10 га, позначеної на  викопіюванні з Публічної кадастрової карти України, </w:t>
      </w:r>
      <w:r>
        <w:rPr>
          <w:rFonts w:eastAsia="Times New Roman" w:cs="Times New Roman"/>
          <w:color w:val="auto"/>
          <w:sz w:val="28"/>
          <w:szCs w:val="28"/>
          <w:lang w:val="uk-UA" w:eastAsia="zh-CN" w:bidi="ar-SA"/>
        </w:rPr>
        <w:t xml:space="preserve">та зобов’язання Луцької міської ради прийняти відповідне рішення, </w:t>
      </w:r>
      <w:r>
        <w:rPr>
          <w:szCs w:val="28"/>
        </w:rPr>
        <w:t xml:space="preserve">враховуючи, що земельна ділянка позначена на викопіюванні з Публічної кадастрової карти України — знаходиться на території рекреаційного призначення, відповідно до Генерального плану с. Прилуцьке, який затверджений рішенням Прилуцької сільської ради від 31.08.2018 № 3-40/2018 «Про затвердження внесення змін до Генерального плану с. Прилуцьке Ківерцівського району Волинської області», </w:t>
      </w:r>
      <w:r>
        <w:rPr>
          <w:color w:val="000000"/>
          <w:spacing w:val="-2"/>
          <w:kern w:val="2"/>
          <w:sz w:val="28"/>
          <w:szCs w:val="28"/>
          <w:highlight w:val="white"/>
          <w:shd w:fill="FFFFFF" w:val="clear"/>
          <w:lang w:val="uk-UA"/>
        </w:rPr>
        <w:t xml:space="preserve">рішення Луцької міської ради </w:t>
      </w:r>
      <w:r>
        <w:rPr>
          <w:color w:val="000000"/>
          <w:spacing w:val="-2"/>
          <w:kern w:val="2"/>
          <w:sz w:val="28"/>
          <w:szCs w:val="28"/>
          <w:shd w:fill="FFFFFF" w:val="clear"/>
          <w:lang w:val="uk-UA"/>
        </w:rPr>
        <w:t>від 22.12.2021 № 24/52 «Про розроблення Комплексного плану просторового розвитку території Луцької міської територіальної громади»</w:t>
      </w:r>
      <w:r>
        <w:rPr>
          <w:sz w:val="28"/>
          <w:szCs w:val="28"/>
        </w:rPr>
        <w:t xml:space="preserve">, </w:t>
      </w:r>
      <w:r>
        <w:rPr>
          <w:szCs w:val="28"/>
        </w:rPr>
        <w:t xml:space="preserve">керуючись статтями 12, 81, 116, 118, 121, 122, Земельного кодексу України, Законом України «Про землеустрій», Законом України «Про Державний земельний кадастр», статтею 63 Закону України «Про охорону навколишнього природного середовища», ДБН Б.2.2-12:2019 «Планування та забудова територій»,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rFonts w:eastAsia="Times New Roman" w:cs="Times New Roman"/>
          <w:color w:val="auto"/>
          <w:spacing w:val="0"/>
          <w:kern w:val="0"/>
          <w:sz w:val="28"/>
          <w:szCs w:val="28"/>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color w:val="000000"/>
          <w:spacing w:val="0"/>
          <w:kern w:val="0"/>
          <w:sz w:val="28"/>
          <w:szCs w:val="28"/>
          <w:shd w:fill="FFFFFF" w:val="clear"/>
          <w:lang w:val="uk-UA" w:eastAsia="zh-CN" w:bidi="ar-SA"/>
        </w:rPr>
        <w:t xml:space="preserve">розпорядженням Кабінету Міністрів України від 12 червня 2020 р. № 708-р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000000"/>
          <w:spacing w:val="0"/>
          <w:kern w:val="0"/>
          <w:sz w:val="28"/>
          <w:szCs w:val="28"/>
          <w:shd w:fill="FFFFFF" w:val="clear"/>
          <w:lang w:val="uk-UA" w:eastAsia="zh-CN" w:bidi="ar-SA"/>
        </w:rPr>
        <w:t xml:space="preserve">, рішенням Луцької міської ради від 25.09.2019 № 63/43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 статтями 26, 59 та пунктом 6</w:t>
      </w:r>
      <w:r>
        <w:rPr>
          <w:rFonts w:eastAsia="Times New Roman" w:cs="Times New Roman"/>
          <w:color w:val="auto"/>
          <w:spacing w:val="0"/>
          <w:kern w:val="0"/>
          <w:sz w:val="28"/>
          <w:szCs w:val="28"/>
          <w:vertAlign w:val="superscript"/>
          <w:lang w:val="uk-UA" w:eastAsia="zh-CN" w:bidi="ar-SA"/>
        </w:rPr>
        <w:t>-1</w:t>
      </w:r>
      <w:r>
        <w:rPr>
          <w:rFonts w:eastAsia="Times New Roman" w:cs="Times New Roman"/>
          <w:color w:val="auto"/>
          <w:spacing w:val="0"/>
          <w:kern w:val="0"/>
          <w:sz w:val="28"/>
          <w:szCs w:val="28"/>
          <w:lang w:val="uk-UA" w:eastAsia="zh-CN" w:bidi="ar-SA"/>
        </w:rPr>
        <w:t xml:space="preserve"> розділу 5 Прикінцевих та перехідних положень Закону України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місцеве самоврядування в Україні</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 міська рада</w:t>
      </w:r>
    </w:p>
    <w:p>
      <w:pPr>
        <w:pStyle w:val="Normal"/>
        <w:ind w:left="0" w:right="0" w:hanging="0"/>
        <w:jc w:val="both"/>
        <w:rPr/>
      </w:pPr>
      <w:r>
        <w:rPr/>
      </w:r>
    </w:p>
    <w:p>
      <w:pPr>
        <w:pStyle w:val="Normal"/>
        <w:jc w:val="both"/>
        <w:rPr>
          <w:szCs w:val="28"/>
        </w:rPr>
      </w:pPr>
      <w:r>
        <w:rPr>
          <w:szCs w:val="28"/>
        </w:rPr>
        <w:t>ВИРІШИЛА:</w:t>
      </w:r>
    </w:p>
    <w:p>
      <w:pPr>
        <w:pStyle w:val="Normal"/>
        <w:tabs>
          <w:tab w:val="clear" w:pos="708"/>
          <w:tab w:val="left" w:pos="1035" w:leader="none"/>
        </w:tabs>
        <w:ind w:left="0" w:right="43" w:hanging="0"/>
        <w:jc w:val="both"/>
        <w:rPr>
          <w:szCs w:val="28"/>
        </w:rPr>
      </w:pPr>
      <w:r>
        <w:rPr>
          <w:szCs w:val="28"/>
        </w:rPr>
      </w:r>
    </w:p>
    <w:p>
      <w:pPr>
        <w:pStyle w:val="Normal"/>
        <w:widowControl/>
        <w:tabs>
          <w:tab w:val="clear" w:pos="708"/>
          <w:tab w:val="left" w:pos="855" w:leader="none"/>
        </w:tabs>
        <w:suppressAutoHyphens w:val="true"/>
        <w:bidi w:val="0"/>
        <w:ind w:left="0" w:right="57" w:firstLine="567"/>
        <w:jc w:val="both"/>
        <w:rPr/>
      </w:pPr>
      <w:r>
        <w:rPr>
          <w:szCs w:val="28"/>
        </w:rPr>
        <w:t>1. Відмовити</w:t>
      </w:r>
      <w:r>
        <w:rPr>
          <w:spacing w:val="-4"/>
          <w:szCs w:val="28"/>
        </w:rPr>
        <w:t xml:space="preserve"> </w:t>
      </w:r>
      <w:r>
        <w:rPr>
          <w:szCs w:val="28"/>
        </w:rPr>
        <w:t>громадян</w:t>
      </w:r>
      <w:r>
        <w:rPr>
          <w:rFonts w:eastAsia="Times New Roman" w:cs="Times New Roman"/>
          <w:color w:val="auto"/>
          <w:sz w:val="28"/>
          <w:szCs w:val="28"/>
          <w:lang w:val="uk-UA" w:eastAsia="zh-CN" w:bidi="ar-SA"/>
        </w:rPr>
        <w:t>ину Янюку Богдану Володимировичу</w:t>
      </w:r>
      <w:r>
        <w:rPr>
          <w:szCs w:val="28"/>
        </w:rPr>
        <w:t xml:space="preserve"> у наданні дозволу на розроблення  проекту землеустрою щодо відведення земельної  ділянки у власність для індивідуального дачного будівництва в с. Прилуцьке </w:t>
      </w:r>
      <w:r>
        <w:rPr>
          <w:rFonts w:eastAsia="Times New Roman" w:cs="Times New Roman"/>
          <w:color w:val="auto"/>
          <w:sz w:val="28"/>
          <w:szCs w:val="28"/>
          <w:lang w:val="uk-UA" w:eastAsia="zh-CN" w:bidi="ar-SA"/>
        </w:rPr>
        <w:t>Луцького району Волинської області,</w:t>
      </w:r>
      <w:r>
        <w:rPr>
          <w:szCs w:val="28"/>
        </w:rPr>
        <w:t xml:space="preserve"> орієнтовною площею 0,10</w:t>
      </w:r>
      <w:r>
        <w:rPr>
          <w:szCs w:val="28"/>
          <w:highlight w:val="white"/>
        </w:rPr>
        <w:t> </w:t>
      </w:r>
      <w:r>
        <w:rPr>
          <w:szCs w:val="28"/>
        </w:rPr>
        <w:t xml:space="preserve">га, згідно з заявою </w:t>
      </w:r>
      <w:r>
        <w:rPr>
          <w:rFonts w:eastAsia="Times New Roman" w:cs="Times New Roman"/>
          <w:color w:val="auto"/>
          <w:sz w:val="28"/>
          <w:szCs w:val="28"/>
          <w:lang w:val="uk-UA" w:eastAsia="zh-CN" w:bidi="ar-SA"/>
        </w:rPr>
        <w:t>від 20.10.2021</w:t>
      </w:r>
      <w:r>
        <w:rPr>
          <w:szCs w:val="28"/>
        </w:rPr>
        <w:t>.</w:t>
      </w:r>
    </w:p>
    <w:p>
      <w:pPr>
        <w:pStyle w:val="Normal"/>
        <w:widowControl/>
        <w:tabs>
          <w:tab w:val="clear" w:pos="708"/>
          <w:tab w:val="left" w:pos="855" w:leader="none"/>
        </w:tabs>
        <w:suppressAutoHyphens w:val="true"/>
        <w:bidi w:val="0"/>
        <w:ind w:left="0" w:right="0" w:firstLine="567"/>
        <w:jc w:val="both"/>
        <w:rPr/>
      </w:pPr>
      <w:r>
        <w:rPr>
          <w:szCs w:val="28"/>
        </w:rPr>
        <w:t>2. Контроль за виконанням даного рішення покласти на заступника міського голови Ірину Чебелюк,</w:t>
      </w:r>
      <w:r>
        <w:rPr>
          <w:szCs w:val="28"/>
          <w:lang w:val="en-US"/>
        </w:rPr>
        <w:t xml:space="preserve"> </w:t>
      </w:r>
      <w:r>
        <w:rPr>
          <w:szCs w:val="28"/>
        </w:rPr>
        <w:t>постійну комісію міської ради з питань земельних відносин та земельного кадастру (Олександр Козлюк).</w:t>
      </w:r>
    </w:p>
    <w:p>
      <w:pPr>
        <w:pStyle w:val="Normal"/>
        <w:ind w:left="0" w:right="0" w:firstLine="763"/>
        <w:jc w:val="both"/>
        <w:rPr>
          <w:szCs w:val="28"/>
          <w:lang w:val="ru-RU"/>
        </w:rPr>
      </w:pPr>
      <w:r>
        <w:rPr>
          <w:szCs w:val="28"/>
          <w:lang w:val="ru-RU"/>
        </w:rPr>
      </w:r>
    </w:p>
    <w:p>
      <w:pPr>
        <w:pStyle w:val="Normal"/>
        <w:ind w:left="0" w:right="0" w:firstLine="680"/>
        <w:jc w:val="both"/>
        <w:rPr>
          <w:szCs w:val="28"/>
          <w:lang w:val="ru-RU"/>
        </w:rPr>
      </w:pPr>
      <w:r>
        <w:rPr>
          <w:szCs w:val="28"/>
          <w:lang w:val="ru-RU"/>
        </w:rPr>
      </w:r>
    </w:p>
    <w:p>
      <w:pPr>
        <w:pStyle w:val="Normal"/>
        <w:widowControl w:val="false"/>
        <w:overflowPunct w:val="false"/>
        <w:autoSpaceDE w:val="false"/>
        <w:ind w:left="0" w:right="-868" w:hanging="0"/>
        <w:jc w:val="both"/>
        <w:rPr/>
      </w:pPr>
      <w:r>
        <w:rPr>
          <w:szCs w:val="28"/>
        </w:rPr>
        <w:t xml:space="preserve">Міський голова                                                  </w:t>
      </w:r>
      <w:r>
        <w:rPr>
          <w:szCs w:val="28"/>
          <w:lang w:val="uk-UA"/>
        </w:rPr>
        <w:t xml:space="preserve">   </w:t>
      </w:r>
      <w:r>
        <w:rPr>
          <w:szCs w:val="28"/>
        </w:rPr>
        <w:t xml:space="preserve">                      Ігор ПОЛІЩУК</w:t>
      </w:r>
    </w:p>
    <w:p>
      <w:pPr>
        <w:pStyle w:val="Normal"/>
        <w:widowControl w:val="false"/>
        <w:overflowPunct w:val="false"/>
        <w:autoSpaceDE w:val="false"/>
        <w:ind w:left="0" w:right="-868" w:hanging="0"/>
        <w:jc w:val="both"/>
        <w:rPr/>
      </w:pPr>
      <w:r>
        <w:rPr/>
      </w:r>
    </w:p>
    <w:p>
      <w:pPr>
        <w:pStyle w:val="Normal"/>
        <w:widowControl w:val="false"/>
        <w:overflowPunct w:val="false"/>
        <w:autoSpaceDE w:val="false"/>
        <w:ind w:left="0" w:right="-868" w:hanging="0"/>
        <w:jc w:val="both"/>
        <w:rPr/>
      </w:pPr>
      <w:r>
        <w:rPr/>
      </w:r>
    </w:p>
    <w:p>
      <w:pPr>
        <w:pStyle w:val="Normal"/>
        <w:widowControl w:val="false"/>
        <w:overflowPunct w:val="false"/>
        <w:autoSpaceDE w:val="false"/>
        <w:ind w:left="0" w:right="-868"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rPr/>
    </w:lvl>
    <w:lvl w:ilvl="1">
      <w:start w:val="1"/>
      <w:pStyle w:val="2"/>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autoSpaceDE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341</TotalTime>
  <Application>LibreOffice/7.1.2.2$Windows_X86_64 LibreOffice_project/8a45595d069ef5570103caea1b71cc9d82b2aae4</Application>
  <AppVersion>15.0000</AppVersion>
  <Pages>2</Pages>
  <Words>390</Words>
  <Characters>2659</Characters>
  <CharactersWithSpaces>3254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2022-03-29T14:59:00Z</cp:lastPrinted>
  <dcterms:modified xsi:type="dcterms:W3CDTF">2022-04-04T10:21:52Z</dcterms:modified>
  <cp:revision>46</cp:revision>
  <dc:subject/>
  <dc:title> </dc:title>
</cp:coreProperties>
</file>