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6"/>
          <w:szCs w:val="26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9445" cy="63944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640" cy="638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25pt;height:50.2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4pt;height:58.55pt;mso-wrap-distance-right:0pt" filled="t" fillcolor="#FFFFFF" o:ole="">
            <v:imagedata r:id="rId3" o:title=""/>
          </v:shape>
          <o:OLEObject Type="Embed" ProgID="PBrush" ShapeID="ole_rId2" DrawAspect="Content" ObjectID="_319988617" r:id="rId2"/>
        </w:object>
      </w:r>
    </w:p>
    <w:p>
      <w:pPr>
        <w:pStyle w:val="Normal"/>
        <w:widowControl w:val="false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widowControl w:val="false"/>
        <w:numPr>
          <w:ilvl w:val="0"/>
          <w:numId w:val="2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2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  <w:t xml:space="preserve">                                                 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 xml:space="preserve">Про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 заяви</w:t>
      </w:r>
      <w:r>
        <w:rPr>
          <w:szCs w:val="28"/>
        </w:rPr>
        <w:t xml:space="preserve"> громадянки Плисюк Т.І.</w:t>
      </w:r>
    </w:p>
    <w:p>
      <w:pPr>
        <w:pStyle w:val="Normal"/>
        <w:overflowPunct w:val="false"/>
        <w:ind w:left="0" w:right="-868" w:hanging="0"/>
        <w:jc w:val="both"/>
        <w:rPr>
          <w:spacing w:val="-6"/>
        </w:rPr>
      </w:pP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про</w:t>
      </w:r>
      <w:r>
        <w:rPr>
          <w:spacing w:val="-6"/>
          <w:sz w:val="36"/>
          <w:szCs w:val="36"/>
        </w:rPr>
        <w:t xml:space="preserve">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надання  </w:t>
      </w:r>
      <w:r>
        <w:rPr>
          <w:spacing w:val="-6"/>
          <w:szCs w:val="28"/>
        </w:rPr>
        <w:t>дозволу на розроблення проекту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 w:val="12"/>
          <w:szCs w:val="12"/>
        </w:rPr>
        <w:t xml:space="preserve"> </w:t>
      </w:r>
      <w:r>
        <w:rPr>
          <w:szCs w:val="28"/>
        </w:rPr>
        <w:t>землеустрою    щодо  відведення   земельної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>ділянки  для</w:t>
      </w:r>
      <w:r>
        <w:rPr>
          <w:sz w:val="20"/>
          <w:szCs w:val="20"/>
        </w:rPr>
        <w:t xml:space="preserve">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індивідуального дачного будів-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ництва </w:t>
      </w:r>
      <w:r>
        <w:rPr>
          <w:rFonts w:eastAsia="Times New Roman" w:cs="Times New Roman"/>
          <w:color w:val="auto"/>
          <w:spacing w:val="8"/>
          <w:kern w:val="0"/>
          <w:sz w:val="28"/>
          <w:szCs w:val="28"/>
          <w:lang w:val="uk-UA" w:eastAsia="zh-CN" w:bidi="ar-SA"/>
        </w:rPr>
        <w:t xml:space="preserve">у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auto" w:val="clear"/>
          <w:lang w:val="uk-UA" w:eastAsia="zh-CN" w:bidi="ar-SA"/>
        </w:rPr>
        <w:t>с. Озерце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auto" w:val="clear"/>
          <w:lang w:val="en-US" w:eastAsia="zh-CN" w:bidi="ar-SA"/>
        </w:rPr>
        <w:t xml:space="preserve">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>Луцького району  Волин-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>ської області</w:t>
      </w:r>
      <w:r>
        <w:rPr>
          <w:rFonts w:eastAsia="Times New Roman" w:cs="Times New Roman"/>
          <w:color w:val="000000"/>
          <w:spacing w:val="4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ind w:right="-868" w:hanging="0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 xml:space="preserve">На виконання рішення Волинського окружного адміністративного суду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08.04</w:t>
      </w:r>
      <w:r>
        <w:rPr>
          <w:szCs w:val="28"/>
        </w:rPr>
        <w:t>.2022 (справа № 140/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1703</w:t>
      </w:r>
      <w:r>
        <w:rPr>
          <w:szCs w:val="28"/>
        </w:rPr>
        <w:t>/2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</w:rPr>
        <w:t xml:space="preserve">) про зобов'язання Луцької міської ради повторно розглянути заяву громадянки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Плисюк Тетяни Іванівни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у власність для індивідуального дачного будівництва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</w:t>
      </w:r>
      <w:r>
        <w:rPr>
          <w:rFonts w:eastAsia="Times New Roman" w:cs="Times New Roman"/>
          <w:color w:val="auto"/>
          <w:kern w:val="0"/>
          <w:sz w:val="28"/>
          <w:szCs w:val="28"/>
          <w:highlight w:val="white"/>
          <w:lang w:val="uk-UA" w:eastAsia="zh-CN" w:bidi="ar-SA"/>
        </w:rPr>
        <w:t>10</w:t>
      </w:r>
      <w:r>
        <w:rPr>
          <w:szCs w:val="28"/>
        </w:rPr>
        <w:t>га, яка розташована у с.</w:t>
      </w:r>
      <w:r>
        <w:rPr>
          <w:szCs w:val="28"/>
          <w:highlight w:val="white"/>
        </w:rPr>
        <w:t> </w:t>
      </w:r>
      <w:r>
        <w:rPr>
          <w:rFonts w:eastAsia="Times New Roman" w:cs="Times New Roman"/>
          <w:color w:val="auto"/>
          <w:kern w:val="0"/>
          <w:sz w:val="28"/>
          <w:szCs w:val="28"/>
          <w:highlight w:val="white"/>
          <w:lang w:val="uk-UA" w:eastAsia="zh-CN" w:bidi="ar-SA"/>
        </w:rPr>
        <w:t>Озерце</w:t>
      </w:r>
      <w:r>
        <w:rPr>
          <w:szCs w:val="28"/>
        </w:rPr>
        <w:t xml:space="preserve"> Луцького району Волинської області, розглянувши заяву громадянки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Плисюк Тетяни Іванівни</w:t>
      </w:r>
      <w:r>
        <w:rPr>
          <w:szCs w:val="28"/>
        </w:rPr>
        <w:t xml:space="preserve">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14.12.2021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у власність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для індивідуального дачного будівництва</w:t>
      </w:r>
      <w:r>
        <w:rPr>
          <w:szCs w:val="28"/>
        </w:rPr>
        <w:t xml:space="preserve">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0,10</w:t>
      </w:r>
      <w:r>
        <w:rPr>
          <w:szCs w:val="28"/>
          <w:highlight w:val="white"/>
        </w:rPr>
        <w:t> </w:t>
      </w:r>
      <w:r>
        <w:rPr>
          <w:szCs w:val="28"/>
        </w:rPr>
        <w:t xml:space="preserve">га із графічним матеріалом з позначенням орієнтовного місця розташування земельної ділянки (схема розташування земельної ділянки), враховуючи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генеральний план села Озерце, затверджений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рішенням Озерцівської сільської ради від 23.10.2017 № 17-4/2017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Про затвердження містобудівної документації “Генеральний план с. Озерце”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», </w:t>
      </w:r>
      <w:r>
        <w:rPr>
          <w:szCs w:val="28"/>
        </w:rPr>
        <w:t xml:space="preserve">рішення Луцької міської ради від 22.12.2021 №24/52 «Про розроблення Комплексного плану просторового розвитку території Луцької міської територіальної громади», керуючись статтями </w:t>
      </w:r>
      <w:r>
        <w:rPr>
          <w:color w:val="000000"/>
          <w:sz w:val="28"/>
          <w:szCs w:val="28"/>
          <w:u w:val="none"/>
          <w:lang w:val="ru-RU"/>
        </w:rPr>
        <w:t>12,</w:t>
      </w:r>
      <w:r>
        <w:rPr>
          <w:color w:val="000000"/>
          <w:sz w:val="28"/>
          <w:szCs w:val="28"/>
          <w:u w:val="none"/>
          <w:lang w:val="uk-UA"/>
        </w:rPr>
        <w:t xml:space="preserve"> 19, 50-52, </w:t>
      </w:r>
      <w:r>
        <w:rPr>
          <w:color w:val="000000"/>
          <w:sz w:val="28"/>
          <w:szCs w:val="28"/>
          <w:u w:val="none"/>
        </w:rPr>
        <w:t>81,</w:t>
      </w:r>
      <w:r>
        <w:rPr>
          <w:color w:val="000000"/>
          <w:sz w:val="28"/>
          <w:szCs w:val="28"/>
          <w:u w:val="none"/>
          <w:lang w:val="ru-RU"/>
        </w:rPr>
        <w:t xml:space="preserve"> </w:t>
      </w:r>
      <w:r>
        <w:rPr>
          <w:color w:val="000000"/>
          <w:sz w:val="28"/>
          <w:szCs w:val="28"/>
          <w:u w:val="none"/>
          <w:lang w:val="uk-UA"/>
        </w:rPr>
        <w:t>90-</w:t>
      </w:r>
      <w:r>
        <w:rPr>
          <w:color w:val="000000"/>
          <w:sz w:val="28"/>
          <w:szCs w:val="28"/>
          <w:u w:val="none"/>
          <w:lang w:val="ru-RU"/>
        </w:rPr>
        <w:t>91,</w:t>
      </w:r>
      <w:r>
        <w:rPr>
          <w:color w:val="000000"/>
          <w:sz w:val="28"/>
          <w:szCs w:val="28"/>
          <w:u w:val="none"/>
        </w:rPr>
        <w:t xml:space="preserve"> 116, 118, 121, 122, 125</w:t>
      </w:r>
      <w:r>
        <w:rPr>
          <w:color w:val="000000"/>
          <w:sz w:val="28"/>
          <w:szCs w:val="28"/>
          <w:u w:val="none"/>
          <w:lang w:val="ru-RU"/>
        </w:rPr>
        <w:t>-126</w:t>
      </w:r>
      <w:r>
        <w:rPr>
          <w:szCs w:val="28"/>
        </w:rPr>
        <w:t xml:space="preserve"> та </w:t>
      </w:r>
      <w:r>
        <w:rPr>
          <w:color w:val="000000"/>
          <w:szCs w:val="28"/>
          <w:lang w:eastAsia="uk-UA"/>
        </w:rPr>
        <w:t>пунктом 2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uk-UA" w:bidi="ar-SA"/>
        </w:rPr>
        <w:t>7</w:t>
      </w:r>
      <w:r>
        <w:rPr>
          <w:color w:val="000000"/>
          <w:szCs w:val="28"/>
          <w:lang w:eastAsia="uk-UA"/>
        </w:rPr>
        <w:t xml:space="preserve"> Перехідних положень</w:t>
      </w:r>
      <w:r>
        <w:rPr>
          <w:szCs w:val="28"/>
        </w:rPr>
        <w:t xml:space="preserve"> Земельного кодексу України, Законом України «Про землеустрій», Законом України «Про Державний земельний кадастр», Законом України «Про адміністративні послуги», </w:t>
      </w:r>
      <w:r>
        <w:rPr>
          <w:sz w:val="28"/>
          <w:szCs w:val="28"/>
          <w:u w:val="none"/>
        </w:rPr>
        <w:t>статтею 63 Закон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sz w:val="28"/>
          <w:szCs w:val="28"/>
          <w:u w:val="none"/>
        </w:rPr>
        <w:t xml:space="preserve"> України «Про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охорону навколишнього природного середовища</w:t>
      </w:r>
      <w:r>
        <w:rPr>
          <w:sz w:val="28"/>
          <w:szCs w:val="28"/>
          <w:u w:val="none"/>
        </w:rPr>
        <w:t>»,</w:t>
      </w:r>
      <w:r>
        <w:rPr>
          <w:szCs w:val="28"/>
        </w:rPr>
        <w:t xml:space="preserve"> статтею 24 Закону України «Про регулювання містобудівної діяльності», </w:t>
      </w:r>
      <w:r>
        <w:rPr>
          <w:color w:val="000000"/>
          <w:kern w:val="2"/>
          <w:szCs w:val="28"/>
          <w:shd w:fill="FFFFFF" w:val="clear"/>
        </w:rPr>
        <w:t xml:space="preserve">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Законом України «Про внесення змін до деяких законодавчих актів України щодо створення умов для забезпечення продовольчої безпеки в умовах воєнного стану», </w:t>
      </w:r>
      <w:r>
        <w:rPr>
          <w:color w:val="000000"/>
          <w:kern w:val="2"/>
          <w:szCs w:val="28"/>
          <w:shd w:fill="FFFFFF" w:val="clear"/>
        </w:rPr>
        <w:t xml:space="preserve">ДБН Б.2.2-12:2019 «Планування та забудова територій»,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Наказом Міністерства охорони здоров'я України від 19.06.1996              № 173 «Про затвердження Державних санітарних правил планування та забудови населених пунктів», розпорядженням Кабінету Міністрів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color w:val="000000"/>
          <w:kern w:val="2"/>
          <w:sz w:val="28"/>
          <w:szCs w:val="28"/>
          <w:u w:val="none"/>
          <w:shd w:fill="FFFFFF" w:val="clear"/>
        </w:rPr>
        <w:t xml:space="preserve"> та ст</w:t>
      </w:r>
      <w:r>
        <w:rPr>
          <w:rFonts w:eastAsia="Times New Roman" w:cs="Times New Roman"/>
          <w:color w:val="000000"/>
          <w:kern w:val="2"/>
          <w:sz w:val="28"/>
          <w:szCs w:val="28"/>
          <w:u w:val="none"/>
          <w:shd w:fill="FFFFFF" w:val="clear"/>
          <w:lang w:val="uk-UA" w:eastAsia="zh-CN" w:bidi="ar-SA"/>
        </w:rPr>
        <w:t>аттею</w:t>
      </w:r>
      <w:r>
        <w:rPr>
          <w:color w:val="000000"/>
          <w:kern w:val="2"/>
          <w:sz w:val="28"/>
          <w:szCs w:val="28"/>
          <w:u w:val="none"/>
          <w:shd w:fill="FFFFFF" w:val="clear"/>
        </w:rPr>
        <w:t> 26, пунктом 6.1 розділу</w:t>
      </w:r>
      <w:r>
        <w:rPr>
          <w:color w:val="000000"/>
          <w:kern w:val="2"/>
          <w:sz w:val="28"/>
          <w:szCs w:val="28"/>
          <w:u w:val="none"/>
          <w:shd w:fill="FFFFFF" w:val="clear"/>
          <w:lang w:val="en-US"/>
        </w:rPr>
        <w:t xml:space="preserve"> V</w:t>
      </w:r>
      <w:r>
        <w:rPr>
          <w:color w:val="000000"/>
          <w:kern w:val="2"/>
          <w:sz w:val="28"/>
          <w:szCs w:val="28"/>
          <w:u w:val="none"/>
          <w:shd w:fill="FFFFFF" w:val="clear"/>
          <w:lang w:val="uk-UA"/>
        </w:rPr>
        <w:t xml:space="preserve"> Прикінцевих та перехідних положень </w:t>
      </w:r>
      <w:r>
        <w:rPr>
          <w:color w:val="000000"/>
          <w:kern w:val="2"/>
          <w:sz w:val="28"/>
          <w:szCs w:val="28"/>
          <w:u w:val="none"/>
          <w:shd w:fill="FFFFFF" w:val="clear"/>
        </w:rPr>
        <w:t>Закону України «Про місцеве самоврядування в Україні»,</w:t>
      </w:r>
      <w:r>
        <w:rPr>
          <w:szCs w:val="28"/>
        </w:rPr>
        <w:t xml:space="preserve"> міська рада</w:t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right="170" w:firstLine="567"/>
        <w:jc w:val="both"/>
        <w:rPr>
          <w:szCs w:val="28"/>
        </w:rPr>
      </w:pPr>
      <w:r>
        <w:rPr>
          <w:szCs w:val="28"/>
        </w:rPr>
        <w:t>1. Відмовити</w:t>
      </w:r>
      <w:r>
        <w:rPr>
          <w:spacing w:val="-4"/>
          <w:szCs w:val="28"/>
        </w:rPr>
        <w:t xml:space="preserve"> </w:t>
      </w:r>
      <w:r>
        <w:rPr>
          <w:szCs w:val="28"/>
        </w:rPr>
        <w:t>громадян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ці Плисюк Тетяні Іванівн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 xml:space="preserve">у наданні дозволу на розроблення проекту землеустрою щодо відведення земельної ділянки у власність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для індивідуального дачного будівництва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Cs w:val="28"/>
        </w:rPr>
        <w:t xml:space="preserve"> с.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Озерце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Луцького району Волинської області,</w:t>
      </w:r>
      <w:r>
        <w:rPr>
          <w:szCs w:val="28"/>
        </w:rPr>
        <w:t xml:space="preserve"> орієнтовною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Cs w:val="28"/>
          <w:highlight w:val="white"/>
        </w:rPr>
        <w:t> </w:t>
      </w:r>
      <w:r>
        <w:rPr>
          <w:szCs w:val="28"/>
        </w:rPr>
        <w:t xml:space="preserve">га, згідно з заявою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14.12.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2021</w:t>
      </w:r>
      <w:r>
        <w:rPr>
          <w:szCs w:val="28"/>
        </w:rPr>
        <w:t>.</w:t>
      </w:r>
    </w:p>
    <w:p>
      <w:pPr>
        <w:pStyle w:val="Normal"/>
        <w:tabs>
          <w:tab w:val="clear" w:pos="708"/>
          <w:tab w:val="left" w:pos="720" w:leader="none"/>
        </w:tabs>
        <w:ind w:right="57" w:firstLine="567"/>
        <w:jc w:val="both"/>
        <w:rPr>
          <w:szCs w:val="28"/>
        </w:rPr>
      </w:pPr>
      <w:r>
        <w:rPr>
          <w:szCs w:val="28"/>
        </w:rPr>
        <w:t>2. Контроль за виконанням рішення покласти на заступника міського голови Ірину Чебелюк  та постійну комісію міської ради з питань земельних відносин та земельного кадастру (Олександр Козлюк</w:t>
      </w:r>
      <w:bookmarkStart w:id="0" w:name="_GoBack"/>
      <w:bookmarkEnd w:id="0"/>
      <w:r>
        <w:rPr>
          <w:szCs w:val="28"/>
        </w:rPr>
        <w:t>).</w:t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widowControl w:val="false"/>
        <w:ind w:right="-868" w:hanging="0"/>
        <w:jc w:val="both"/>
        <w:rPr/>
      </w:pPr>
      <w:r>
        <w:rPr/>
      </w:r>
    </w:p>
    <w:p>
      <w:pPr>
        <w:pStyle w:val="Normal"/>
        <w:widowControl w:val="false"/>
        <w:ind w:right="-868" w:hanging="0"/>
        <w:jc w:val="both"/>
        <w:rPr/>
      </w:pPr>
      <w:r>
        <w:rPr/>
      </w:r>
    </w:p>
    <w:p>
      <w:pPr>
        <w:pStyle w:val="Normal"/>
        <w:widowControl w:val="false"/>
        <w:ind w:right="-868" w:hanging="0"/>
        <w:jc w:val="both"/>
        <w:rPr/>
      </w:pPr>
      <w:r>
        <w:rPr>
          <w:sz w:val="24"/>
        </w:rPr>
        <w:t xml:space="preserve">Туз 777 863 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WWWW8Num1ztrue7111111111111111111111111111111111111" w:customStyle="1">
    <w:name w:val="WW-WW8Num1ztrue7111111111111111111111111111111111111"/>
    <w:qFormat/>
    <w:rPr/>
  </w:style>
  <w:style w:type="character" w:styleId="WWWW8Num1ztrue11111111111111111111111111111111111111" w:customStyle="1">
    <w:name w:val="WW-WW8Num1ztrue11111111111111111111111111111111111111"/>
    <w:qFormat/>
    <w:rPr/>
  </w:style>
  <w:style w:type="character" w:styleId="WWWW8Num1ztrue21111111111111111111111111111111111111" w:customStyle="1">
    <w:name w:val="WW-WW8Num1ztrue21111111111111111111111111111111111111"/>
    <w:qFormat/>
    <w:rPr/>
  </w:style>
  <w:style w:type="character" w:styleId="WWWW8Num1ztrue31111111111111111111111111111111111111" w:customStyle="1">
    <w:name w:val="WW-WW8Num1ztrue31111111111111111111111111111111111111"/>
    <w:qFormat/>
    <w:rPr/>
  </w:style>
  <w:style w:type="character" w:styleId="WWWW8Num1ztrue41111111111111111111111111111111111111" w:customStyle="1">
    <w:name w:val="WW-WW8Num1ztrue41111111111111111111111111111111111111"/>
    <w:qFormat/>
    <w:rPr/>
  </w:style>
  <w:style w:type="character" w:styleId="WWWW8Num1ztrue51111111111111111111111111111111111111" w:customStyle="1">
    <w:name w:val="WW-WW8Num1ztrue51111111111111111111111111111111111111"/>
    <w:qFormat/>
    <w:rPr/>
  </w:style>
  <w:style w:type="character" w:styleId="WWWW8Num1ztrue61111111111111111111111111111111111111" w:customStyle="1">
    <w:name w:val="WW-WW8Num1ztrue61111111111111111111111111111111111111"/>
    <w:qFormat/>
    <w:rPr/>
  </w:style>
  <w:style w:type="character" w:styleId="WWWW8Num1ztrue71111111111111111111111111111111111111" w:customStyle="1">
    <w:name w:val="WW-WW8Num1ztrue71111111111111111111111111111111111111"/>
    <w:qFormat/>
    <w:rPr/>
  </w:style>
  <w:style w:type="character" w:styleId="WWWW8Num1ztrue111111111111111111111111111111111111111" w:customStyle="1">
    <w:name w:val="WW-WW8Num1ztrue111111111111111111111111111111111111111"/>
    <w:qFormat/>
    <w:rPr/>
  </w:style>
  <w:style w:type="character" w:styleId="WWWW8Num1ztrue211111111111111111111111111111111111111" w:customStyle="1">
    <w:name w:val="WW-WW8Num1ztrue211111111111111111111111111111111111111"/>
    <w:qFormat/>
    <w:rPr/>
  </w:style>
  <w:style w:type="character" w:styleId="WWWW8Num1ztrue311111111111111111111111111111111111111" w:customStyle="1">
    <w:name w:val="WW-WW8Num1ztrue311111111111111111111111111111111111111"/>
    <w:qFormat/>
    <w:rPr/>
  </w:style>
  <w:style w:type="character" w:styleId="WWWW8Num1ztrue411111111111111111111111111111111111111" w:customStyle="1">
    <w:name w:val="WW-WW8Num1ztrue411111111111111111111111111111111111111"/>
    <w:qFormat/>
    <w:rPr/>
  </w:style>
  <w:style w:type="character" w:styleId="WWWW8Num1ztrue511111111111111111111111111111111111111" w:customStyle="1">
    <w:name w:val="WW-WW8Num1ztrue511111111111111111111111111111111111111"/>
    <w:qFormat/>
    <w:rPr/>
  </w:style>
  <w:style w:type="character" w:styleId="WWWW8Num1ztrue611111111111111111111111111111111111111" w:customStyle="1">
    <w:name w:val="WW-WW8Num1ztrue611111111111111111111111111111111111111"/>
    <w:qFormat/>
    <w:rPr/>
  </w:style>
  <w:style w:type="character" w:styleId="WWWW8Num1ztrue711111111111111111111111111111111111111" w:customStyle="1">
    <w:name w:val="WW-WW8Num1ztrue711111111111111111111111111111111111111"/>
    <w:qFormat/>
    <w:rPr/>
  </w:style>
  <w:style w:type="character" w:styleId="WWWW8Num1ztrue1111111111111111111111111111111111111111" w:customStyle="1">
    <w:name w:val="WW-WW8Num1ztrue1111111111111111111111111111111111111111"/>
    <w:qFormat/>
    <w:rPr/>
  </w:style>
  <w:style w:type="character" w:styleId="WWWW8Num1ztrue2111111111111111111111111111111111111111" w:customStyle="1">
    <w:name w:val="WW-WW8Num1ztrue2111111111111111111111111111111111111111"/>
    <w:qFormat/>
    <w:rPr/>
  </w:style>
  <w:style w:type="character" w:styleId="WWWW8Num1ztrue3111111111111111111111111111111111111111" w:customStyle="1">
    <w:name w:val="WW-WW8Num1ztrue3111111111111111111111111111111111111111"/>
    <w:qFormat/>
    <w:rPr/>
  </w:style>
  <w:style w:type="character" w:styleId="WWWW8Num1ztrue4111111111111111111111111111111111111111" w:customStyle="1">
    <w:name w:val="WW-WW8Num1ztrue4111111111111111111111111111111111111111"/>
    <w:qFormat/>
    <w:rPr/>
  </w:style>
  <w:style w:type="character" w:styleId="WWWW8Num1ztrue5111111111111111111111111111111111111111" w:customStyle="1">
    <w:name w:val="WW-WW8Num1ztrue5111111111111111111111111111111111111111"/>
    <w:qFormat/>
    <w:rPr/>
  </w:style>
  <w:style w:type="character" w:styleId="WWWW8Num1ztrue6111111111111111111111111111111111111111" w:customStyle="1">
    <w:name w:val="WW-WW8Num1ztrue611111111111111111111111111111111111111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7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BlockText">
    <w:name w:val="Block Text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Style18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9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1198</TotalTime>
  <Application>LibreOffice/7.1.3.2$Windows_X86_64 LibreOffice_project/47f78053abe362b9384784d31a6e56f8511eb1c1</Application>
  <AppVersion>15.0000</AppVersion>
  <Pages>2</Pages>
  <Words>436</Words>
  <Characters>2965</Characters>
  <CharactersWithSpaces>3609</CharactersWithSpaces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2011-04-08T17:33:00Z</dcterms:created>
  <dc:creator>burko</dc:creator>
  <dc:description/>
  <dc:language>uk-UA</dc:language>
  <cp:lastModifiedBy/>
  <cp:lastPrinted>2022-05-04T10:51:47Z</cp:lastPrinted>
  <dcterms:modified xsi:type="dcterms:W3CDTF">2022-05-04T17:16:31Z</dcterms:modified>
  <cp:revision>390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