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9072" w:right="0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</w:t>
      </w:r>
      <w:r>
        <w:rPr>
          <w:rFonts w:cs="Times New Roman"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ind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Комплексної програми охорони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                                                            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довкілля Луцької міської 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                                                            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територіальної громади</w:t>
      </w:r>
    </w:p>
    <w:p>
      <w:pPr>
        <w:pStyle w:val="Normal"/>
        <w:ind w:left="9072" w:right="0" w:hanging="0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2022-2025 роки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   </w:t>
      </w:r>
    </w:p>
    <w:p>
      <w:pPr>
        <w:pStyle w:val="Normal"/>
        <w:ind w:left="9072" w:right="0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</w:t>
      </w:r>
    </w:p>
    <w:p>
      <w:pPr>
        <w:pStyle w:val="Normal"/>
        <w:widowControl/>
        <w:jc w:val="center"/>
        <w:rPr>
          <w:rFonts w:ascii="Times New Roman" w:hAnsi="Times New Roman" w:eastAsia="SimSun;宋体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ind w:right="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Луцької міської територіальної</w:t>
      </w:r>
    </w:p>
    <w:p>
      <w:pPr>
        <w:pStyle w:val="Normal"/>
        <w:ind w:right="0" w:hanging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hi-IN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hi-IN"/>
        </w:rPr>
        <w:t>громади  на 2022–2025 роки</w:t>
      </w:r>
    </w:p>
    <w:p>
      <w:pPr>
        <w:pStyle w:val="Normal"/>
        <w:ind w:right="0" w:hanging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hi-IN"/>
        </w:rPr>
      </w:r>
    </w:p>
    <w:tbl>
      <w:tblPr>
        <w:tblW w:w="1558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5"/>
        <w:gridCol w:w="5099"/>
        <w:gridCol w:w="1637"/>
        <w:gridCol w:w="974"/>
        <w:gridCol w:w="1410"/>
        <w:gridCol w:w="1470"/>
        <w:gridCol w:w="2549"/>
      </w:tblGrid>
      <w:tr>
        <w:trPr/>
        <w:tc>
          <w:tcPr>
            <w:tcW w:w="2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Назва завдання</w:t>
            </w:r>
          </w:p>
        </w:tc>
        <w:tc>
          <w:tcPr>
            <w:tcW w:w="5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Назва заходу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Виконавці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Терміни виконання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Фінансування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Результативні показники </w:t>
            </w:r>
          </w:p>
        </w:tc>
      </w:tr>
      <w:tr>
        <w:trPr/>
        <w:tc>
          <w:tcPr>
            <w:tcW w:w="24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6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9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Джерела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Обсяги, тис. грн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30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>І. Охорона і раціональне використання водних ресурсів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0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1. Біологічна меліорація водойм (зариблення)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та примноження  біоресурсів, покращення стану водойм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0" w:right="0" w:hanging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2. Заходи щодо відновлення і підтримання сприятливого гідрологічного режиму, санітарного  стану та благоустрою  річок та водойм, створення водоохоронних зон (в т.ч. розробка проектної документації)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санітарно-екологічного стану водойм,  встановлення меж природоохоронних територій, забезпечення їх охорони, очищення  каналів в парку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  <w:t>3. Утримання в належному стані прибережних захисних смуг та водоохоронних зон річок та водойм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600,0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600,0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700,0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750,0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Попередження заростання та замулення водних об’єктів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Санітарне прибирання, покращення рекреаційних можливостей використання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pacing w:val="2"/>
                <w:sz w:val="24"/>
                <w:szCs w:val="24"/>
                <w:u w:val="none"/>
                <w:lang w:val="uk-UA"/>
              </w:rPr>
              <w:t>4. Очищення русел річок від повалених дерев, догляд за прибережними захисними смугами та водоохоронними зонами  (видалення аварійних, сухостійних, вітровальних, фаутних дерев) з метою покращення гідрологічного режиму та санітарного стану водних об'єктів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uppressAutoHyphens w:val="false"/>
              <w:overflowPunct w:val="true"/>
              <w:bidi w:val="0"/>
              <w:spacing w:before="0" w:after="0"/>
              <w:ind w:left="-57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pacing w:val="2"/>
                <w:sz w:val="24"/>
                <w:szCs w:val="24"/>
                <w:u w:val="none"/>
                <w:lang w:val="uk-UA"/>
              </w:rPr>
              <w:t>Покращення гідрологічного режиму та санітарного стану водних об'єктів, відновлення судноплавства на р. Стир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pacing w:val="2"/>
                <w:sz w:val="24"/>
                <w:szCs w:val="24"/>
                <w:u w:val="none"/>
                <w:lang w:val="uk-UA"/>
              </w:rPr>
              <w:t>5. Відновлення гідрологічного режиму та санітарного стану заплави р. Стир в районі вул. Гнідавська — вул. Ковельська в м. Луцьку (в т.ч. розробка/коригування проєкту)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Інші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Відповідно до ПКД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Очищення заплави від мулових осадів, поглиблення водойми, відновлення водообміну в гідрологічній системі р. Стир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2"/>
                <w:sz w:val="24"/>
                <w:szCs w:val="24"/>
                <w:lang w:val="uk-UA"/>
              </w:rPr>
              <w:t>6. Реконструкція та відновлення водойми на території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  <w:t>с. Прилуцьке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Обласний бюджет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1300,0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Відновлення  водойми, розвиток рекреаційного потенціалу території, адаптація до кліматичних змін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2"/>
              <w:widowControl w:val="false"/>
              <w:spacing w:before="0" w:after="0"/>
              <w:ind w:left="0" w:right="0" w:hanging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pacing w:val="2"/>
                <w:sz w:val="24"/>
                <w:szCs w:val="24"/>
                <w:u w:val="none"/>
                <w:lang w:val="uk-UA"/>
              </w:rPr>
              <w:t>7. Будівництво локальних очисних споруд дощової каналізації на основних скидах у відкриті водойми міста (в т.ч. розробка проєкту)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Покращить якість води у поверхневих водних об’єктах, зменшить руйнування  на випусках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8. Р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еконструкція гідротехнічних споруд (дамби, греблі, шлюзи тощо)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Забезпечення стійкості штучно створених водних систем, можливість при потребі регулювати рівень води у об’єктах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 xml:space="preserve">при настанні несприятливих явищ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en-US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 xml:space="preserve">повені, засухи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en-US"/>
              </w:rPr>
              <w:t>)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9. Роботи, пов'язані з поліпшенням технічного стану та благоустрою водойм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Підвищить рекреаційний потенціал території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10. Паспортизація малих річок і водойм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80,0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Створення передумов для збереження, захисту, надання в оренду ставів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11. Паспортизація гідротехнічних споруд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Створення передумов для збереження, захисту, надання в оренду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12. Реконструкція маслобензовловлювача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“Теремно Хліб”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13. Проведення лабораторного контролю за якісним складом стічних вод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14. Реконструкція радіального відстійника очисних споруд промислової каналізації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ТзОВ “Луцька картонно-паперова фабрика”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15. Встановлення  ротаційного сепаратора для очищення води після установки з виготовлення картону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ТзОВ “Луцька картонно-паперова фабрика”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16. Будівництво локальних очисних споруд стічних вод на дільниці галтування ролика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5500,0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17. Реконструкція системи очищення дощових вод та розробка концепції повторного використання дощових  стоків для технічних потреб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7000,0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очищення зливових стоків, раціональне використання природних ресурсів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18. Розчищення русла та укріплення берегів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р. Сапалаївка в місці скиду зливових вод з очисних споруд підприємства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Попередження руйнування берегів річки, замулення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19. Проведення лабораторного контролю за якісним складом стічних вод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якості стічних вод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20. Реконструкція насосного обладнання на очисних спорудах зливових вод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Забезпечення безперебійної роботи та очищення стоків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0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 xml:space="preserve">21. </w:t>
            </w:r>
            <w:r>
              <w:rPr>
                <w:rFonts w:eastAsia="NSimSun" w:cs="Mangal;Liberation Mono" w:ascii="Times New Roman" w:hAnsi="Times New Roman"/>
                <w:b w:val="false"/>
                <w:bCs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uk-UA" w:eastAsia="zh-CN" w:bidi="hi-IN"/>
              </w:rPr>
              <w:t>Заходи на проведення очистки меліоративних каналів на території Центрального парку культури і відпочинку ім. Лесі Українки</w:t>
            </w:r>
          </w:p>
          <w:p>
            <w:pPr>
              <w:pStyle w:val="Style30"/>
              <w:widowControl w:val="false"/>
              <w:jc w:val="both"/>
              <w:rPr>
                <w:rFonts w:ascii="Times New Roman" w:hAnsi="Times New Roman" w:eastAsia="NSimSun" w:cs="Mangal;Liberation Mono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NSimSun" w:cs="Mangal;Liberation Mono" w:ascii="Times New Roman" w:hAnsi="Times New Roman"/>
                <w:b w:val="false"/>
                <w:bCs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uk-UA" w:eastAsia="zh-CN" w:bidi="hi-IN"/>
              </w:rPr>
            </w:r>
          </w:p>
          <w:p>
            <w:pPr>
              <w:pStyle w:val="Style30"/>
              <w:widowControl w:val="false"/>
              <w:jc w:val="both"/>
              <w:rPr>
                <w:rFonts w:ascii="Times New Roman" w:hAnsi="Times New Roman" w:eastAsia="NSimSun" w:cs="Mangal;Liberation Mono"/>
                <w:b w:val="false"/>
                <w:b w:val="false"/>
                <w:bCs w:val="false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NSimSun" w:cs="Mangal;Liberation Mono" w:ascii="Times New Roman" w:hAnsi="Times New Roman"/>
                <w:b w:val="false"/>
                <w:bCs w:val="false"/>
                <w:i w:val="false"/>
                <w:iCs w:val="false"/>
                <w:color w:val="auto"/>
                <w:kern w:val="2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Обласний бюджет/ Бюджет громади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санітарного стану парку та водойм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ІІ. Охорона атмосферного повітря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1. Обслуговування системи моніторингу атмосферного повітря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Створення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</w:rPr>
              <w:t>та забезпечення функціювання місцевих екологічних АІС,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2. Реконструкція вентиляційної системи від деревообробного обладнання столярної майстерні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“Теремно Хліб”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15,0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3. Проведення режимно-налагоджувальних робіт на котлоагрегатах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ДКП “Луцьктепло”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245,0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270,0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360,0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360,0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4. Проведення лабораторного контролю викидів забруднювальних речовин в атмосферне повітря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5. Проведення інвентаризації джерел викидів забруднювальних речовин в атмосферне повітря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6. Організація виробництва для очищення газопилового потоку (реконструкція ПГОУ)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7. Організація виробництва для очищення газопилового потоку (реконструкція ПГОУ)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8. Проведення лабораторного контролю викидів забруднюючих речовин в атмосферне повітря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9. Проведення режимно-налагоджувальних робіт на котлоагрегатах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ІІІ. Охорона і раціональне використання земель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>1. Моніторинг стану забруднення ґрунтів</w:t>
            </w:r>
          </w:p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>Луцької міської територіальної громади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Не потребує коштів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u w:val="none"/>
              </w:rPr>
              <w:t>Забезпечення доступу до екологічної інформації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333333"/>
                <w:spacing w:val="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  <w:lang w:val="uk-UA" w:eastAsia="zh-CN" w:bidi="hi-IN"/>
              </w:rPr>
              <w:t xml:space="preserve">ІV. Охорона і раціональне використання </w:t>
              <w:br/>
              <w:t>природних рослинних ресурсів</w:t>
            </w:r>
          </w:p>
        </w:tc>
        <w:tc>
          <w:tcPr>
            <w:tcW w:w="5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 xml:space="preserve">1. Заходи з озеленення </w:t>
            </w: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населених пунктів Луцької міської територіальної громади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Збільшення кількості зелених насаджень, адаптація до змін клімату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2. Ліквідація наслідків буреломів, сніголомів, вітровалів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Забезпечення безпеки життя та здоров’я мешканців громади</w:t>
            </w:r>
          </w:p>
        </w:tc>
      </w:tr>
      <w:tr>
        <w:trPr>
          <w:trHeight w:val="1341" w:hRule="atLeast"/>
        </w:trPr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3. Заходи щодо запобігання інтродукції та поширення чужорідних видів рослин, які загрожують природним екосистемам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 (борщівник, амброзія 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Захист та збереження природних екосистем, захист здоров’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 xml:space="preserve">я мешканці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4. Проведення інвентаризації зелених насаджень, виготовлення документації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Захист та збереження природних екосистем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0"/>
              <w:widowControl w:val="false"/>
              <w:spacing w:lineRule="atLeast" w:line="240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5. Обробка зелених насаджень від кліщів, комарів, білого американського метелика та ін.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Департамент ЖКГ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Захист та збереження природних екосистем від інвазійних видів, захист здоров’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 xml:space="preserve">я мешканці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6. Заходи з озеленення території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Збільшення кількості зелених насаджень, адаптація до змін клімату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7. Заходи з озеленення території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11,0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Збільшення кількості зелених насаджень, адаптація до змін клімату </w:t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  <w:lang w:val="en-US"/>
              </w:rPr>
              <w:t xml:space="preserve">V.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 xml:space="preserve">Охорона і раціональне використання </w:t>
              <w:br/>
              <w:t>ресурсів тваринного світу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1. Будівництво та облаштування притулку для утримання безпритульних тварин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2. Заходи щодо охорони тваринного світу та боротьби з браконьєрством (придбання матеріально-технічних засобів тощо)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120,0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  <w:lang w:val="uk-UA"/>
              </w:rPr>
              <w:t>VІ. Збереження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 xml:space="preserve"> природно-заповідного фонду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1. Утримання територій та об’єктів природно-заповідного фонду міської громади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біорізноманіття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  <w:lang w:val="uk-UA"/>
              </w:rPr>
              <w:t>2. Розроблення проєктів створення територій і об'єктів природно-заповідного фонду та організації їх територій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Захист  територій природо-заповідного фонду , їх раціональне не виснажливе використання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3. Розроблення документації із землеустрою для територій та об’єктів природно-заповідного фонду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80,0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Захист  територій природо-заповідного фонду </w:t>
            </w:r>
          </w:p>
        </w:tc>
      </w:tr>
      <w:tr>
        <w:trPr>
          <w:trHeight w:val="1090" w:hRule="atLeast"/>
        </w:trPr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4. Діяльність щодо збереження видів тварин, занесених до Червоної книги України (придбання кормів)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біорізноманіття та тварин занесених до Червоної книги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5. Створення Ботанічного саду на вул. Потебні в м. Луцьку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ВНУ ім. Лесі Українки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  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 — 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Інші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  <w:u w:val="none"/>
              </w:rPr>
              <w:t>Відповідно до проєктної документації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Збереження біорізноманіття</w:t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  <w:lang w:val="uk-UA"/>
              </w:rPr>
              <w:t>VІІ. Раціональне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 xml:space="preserve"> використання і зберігання </w:t>
              <w:br/>
              <w:t>відходів виробництва і побутових відходів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1. Заходи щодо екологічно безпечного збирання, перевезення, зберігання, утилізації і знешкодження відходів (відпрацьовані люмінесцентні лампи, ртутні термометри, хімічні джерела струму,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 xml:space="preserve"> зношені шини та ін.)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270,0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Вилучення небезпечних відходів із загального потоку ТПВ, зменшення забруднення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2. Придбання обладнання для збору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Впровадження компостування в громаді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Style30"/>
              <w:widowControl w:val="false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3. Забезпечення екологічно безпечного видалення відходів (вивезення мулу з міських каналізаційно-очисних споруд)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КП “Луцькводоканал”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Зменшення негативного впливу фізичних та біологічних факторів забруднення атмосферного повітря, ґрунтів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4. Реконструкція місця зберігання небезпечних відходів (АКБ)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left="-57" w:right="-57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“ТеремноХліб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5. Проєктування та встановлення системи для утилізації полімерних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“Луцька картонно-паперова фабрика”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Раціональне використання відходів виробництва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>6. Утилізація промислових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2500,0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7. Придбання обладнання для тимчасового зберігання небезпечних відходів (відпрацьовані люмінесцентні лампи)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15,0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8. Реконструкція (модернізація) місця зберігання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1500,0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kern w:val="0"/>
                <w:sz w:val="24"/>
                <w:szCs w:val="24"/>
                <w:u w:val="none"/>
                <w:lang w:val="uk-UA" w:eastAsia="zh-CN" w:bidi="hi-IN"/>
              </w:rPr>
              <w:t>9. Р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озширення та реконструкція споруд, придбання та встановлення обладнання для збору, складування та утилізації промислових відходів виробництва (модернізація процесу поводження зі шламом шліфувальним)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10. Вдосконалення процесу сортування промислових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Раціональне використання відходів 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  <w:lang w:val="uk-UA"/>
              </w:rPr>
              <w:t>11. Утилізація промислових відходів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Запобігання  забрудненню довкілля</w:t>
            </w:r>
          </w:p>
        </w:tc>
      </w:tr>
      <w:tr>
        <w:trPr/>
        <w:tc>
          <w:tcPr>
            <w:tcW w:w="24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  <w:lang w:val="uk-UA"/>
              </w:rPr>
              <w:t>VІІІ. Наука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 xml:space="preserve">, інформація і освіта, забезпечення участі у діяльності </w:t>
              <w:br/>
              <w:t>міжнародних організацій природоохоронного спрямування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1. Придбання обладнання для оснащення ним природоохоронних організацій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Організація належного контролю за  порушеннями  природоохоронного законодавства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2. Проведення наукових досліджень (моніторинг якості атмосферного повітря, поверхневих вод тощо)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4"/>
                <w:szCs w:val="24"/>
                <w:u w:val="none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50,0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Забезпечення рівноваги природних систем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3. Заходи зі збереження біорізноманіття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40,0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Покращення обізнаності  дітей та молоді  з  питань  біорізноманіття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4. Створення та обслуговування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автоматизованих геоінформаційних систем та приладів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Бюджет громади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60,0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100,0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Створення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та забезпечення функціювання місцевих екологічних автоматизованих інформаційно-аналітичних систем,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</w:rPr>
              <w:t>5. Проведення науково-технічних конференцій і семінарів, організація виставок, фестивалів та інших заходів щодо пропаганди охорони навколишнього природного середовища, видання поліграфічної продукції з екологічної тематики, створення бібліотек, відеотек, фонотек тощо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  <w:t>(в т.ч. придбання одноразових рукавиць та пакетів для сміття в рамках проведення міських екологічних акцій)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  <w:lang w:val="uk-UA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200,0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Очищення довкілля в ході  загальноміських  акцій, популяризація природоохоронної діяльності</w:t>
            </w:r>
          </w:p>
        </w:tc>
      </w:tr>
      <w:tr>
        <w:trPr>
          <w:trHeight w:val="1220" w:hRule="atLeast"/>
        </w:trPr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  <w:t>6. Організація і здійснення робіт з екологічної освіти, підготовки кадрів, підвищення кваліфікації та обміну досвідом роботи працівників природоохоронних органів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212529"/>
                <w:spacing w:val="0"/>
                <w:sz w:val="24"/>
                <w:szCs w:val="24"/>
                <w:u w:val="none"/>
              </w:rPr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Виконавчий комітет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Бюджет громади/ в т.ч. спецфонд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bookmarkStart w:id="0" w:name="__DdeLink__2169_771351238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Поширення екологічний знань</w:t>
            </w:r>
            <w:bookmarkEnd w:id="0"/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7. Проведення семінарів, круглих столів, конференцій з питань сучасних екологічних проблем, видання поліграфічної продукції екологічної тематики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ВНУ ім. Лесі Українки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Популяризація природоохоронної діяльності, підвищення поінформованості мешканців громади щодо питань охорони довкілля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8.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ПрАТ “СКФ Україна”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10,0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Поширення екологічний знань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6,0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Поширення екологічний знань</w:t>
            </w:r>
          </w:p>
        </w:tc>
      </w:tr>
      <w:tr>
        <w:trPr/>
        <w:tc>
          <w:tcPr>
            <w:tcW w:w="244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10. Атестація лабораторії  підприємства  для здійснення моніторингу атмосферного повітря та стічних вод</w:t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ДП “АСЗ №1” ПАТ “АК “Богдан Моторс”</w:t>
            </w: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Власні кошти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35,0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Забезпечення  контролю за станом довкілля</w:t>
            </w:r>
          </w:p>
        </w:tc>
      </w:tr>
      <w:tr>
        <w:trPr>
          <w:trHeight w:val="619" w:hRule="atLeast"/>
        </w:trPr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Всього за роками,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в тому числі:                   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lang w:val="uk-UA"/>
              </w:rPr>
            </w:r>
          </w:p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88 614,0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 xml:space="preserve"> млн. грн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2022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val="uk-UA"/>
              </w:rPr>
              <w:t>20 341,0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2023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/>
              </w:rPr>
              <w:t>31 246,0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2024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/>
              </w:rPr>
              <w:t>19 946,0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>2025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uk-UA"/>
              </w:rPr>
              <w:t>17 081,0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u w:val="none"/>
              </w:rPr>
              <w:t xml:space="preserve">Всього за джерелами фінансування, у тому числі:     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коштів бюджету громади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right="0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</w:rPr>
              <w:t>25 390,0</w:t>
            </w:r>
          </w:p>
        </w:tc>
      </w:tr>
      <w:tr>
        <w:trPr/>
        <w:tc>
          <w:tcPr>
            <w:tcW w:w="13035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u w:val="none"/>
              </w:rPr>
              <w:t>коштів інших джерел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</w:rPr>
              <w:t>63 224,0</w:t>
            </w:r>
          </w:p>
        </w:tc>
      </w:tr>
    </w:tbl>
    <w:p>
      <w:pPr>
        <w:pStyle w:val="Normal"/>
        <w:ind w:right="0" w:hanging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hi-IN"/>
        </w:rPr>
      </w:r>
    </w:p>
    <w:p>
      <w:pPr>
        <w:pStyle w:val="Normal"/>
        <w:widowControl/>
        <w:snapToGrid w:val="false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napToGrid w:val="false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napToGrid w:val="false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 </w:t>
      </w:r>
    </w:p>
    <w:p>
      <w:pPr>
        <w:pStyle w:val="Normal"/>
        <w:widowControl/>
        <w:snapToGrid w:val="false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Лисак 724 160</w:t>
      </w:r>
    </w:p>
    <w:sectPr>
      <w:headerReference w:type="default" r:id="rId2"/>
      <w:type w:val="nextPage"/>
      <w:pgSz w:orient="landscape" w:w="16838" w:h="11906"/>
      <w:pgMar w:left="850" w:right="850" w:header="709" w:top="766" w:footer="0" w:bottom="1134" w:gutter="0"/>
      <w:pgNumType w:start="2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>
        <w:rFonts w:eastAsia="Times New Roman" w:cs="Times New Roman"/>
        <w:color w:val="auto"/>
        <w:kern w:val="0"/>
        <w:sz w:val="28"/>
        <w:szCs w:val="28"/>
        <w:lang w:val="uk-UA" w:eastAsia="zh-CN" w:bidi="ar-SA"/>
      </w:rPr>
    </w:pPr>
    <w:r>
      <w:rPr>
        <w:rFonts w:eastAsia="Times New Roman" w:cs="Times New Roman"/>
        <w:color w:val="auto"/>
        <w:kern w:val="0"/>
        <w:sz w:val="28"/>
        <w:szCs w:val="28"/>
        <w:lang w:val="uk-UA" w:eastAsia="zh-CN" w:bidi="ar-S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Calibri" w:hAnsi="Calibri" w:eastAsia="NSimSun" w:cs="Mangal;Liberation Mono"/>
      <w:color w:val="auto"/>
      <w:kern w:val="2"/>
      <w:sz w:val="22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rFonts w:ascii="Liberation Serif;Times New Roman" w:hAnsi="Liberation Serif;Times New Roman" w:eastAsia="SimSun;宋体" w:cs="Liberation Serif;Times New Roman"/>
      <w:b/>
      <w:sz w:val="32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Верхний колонтитул Знак"/>
    <w:qFormat/>
    <w:rPr>
      <w:rFonts w:ascii="Calibri" w:hAnsi="Calibri" w:eastAsia="NSimSun" w:cs="Mangal;Liberation Mono"/>
      <w:kern w:val="2"/>
      <w:sz w:val="22"/>
      <w:szCs w:val="24"/>
      <w:lang w:eastAsia="zh-CN" w:bidi="hi-IN"/>
    </w:rPr>
  </w:style>
  <w:style w:type="character" w:styleId="Style14">
    <w:name w:val="Нижний колонтитул Знак"/>
    <w:qFormat/>
    <w:rPr>
      <w:rFonts w:ascii="Calibri" w:hAnsi="Calibri" w:eastAsia="NSimSun" w:cs="Mangal;Liberation Mono"/>
      <w:kern w:val="2"/>
      <w:sz w:val="22"/>
      <w:szCs w:val="24"/>
      <w:lang w:eastAsia="zh-CN" w:bidi="hi-IN"/>
    </w:rPr>
  </w:style>
  <w:style w:type="character" w:styleId="12">
    <w:name w:val="Заголовок 1 Знак"/>
    <w:qFormat/>
    <w:rPr>
      <w:rFonts w:ascii="Liberation Serif;Times New Roman" w:hAnsi="Liberation Serif;Times New Roman" w:eastAsia="SimSun;宋体" w:cs="Mangal;Liberation Mono"/>
      <w:b/>
      <w:kern w:val="2"/>
      <w:sz w:val="32"/>
      <w:szCs w:val="24"/>
      <w:lang w:eastAsia="zh-CN" w:bidi="hi-IN"/>
    </w:rPr>
  </w:style>
  <w:style w:type="character" w:styleId="22">
    <w:name w:val="Заголовок 2 Знак"/>
    <w:qFormat/>
    <w:rPr>
      <w:rFonts w:ascii="Arial" w:hAnsi="Arial" w:eastAsia="SimSun;宋体" w:cs="Arial"/>
      <w:b/>
      <w:i/>
      <w:iCs/>
      <w:kern w:val="2"/>
      <w:sz w:val="24"/>
      <w:szCs w:val="28"/>
      <w:lang w:eastAsia="zh-CN" w:bidi="hi-IN"/>
    </w:rPr>
  </w:style>
  <w:style w:type="character" w:styleId="Style15">
    <w:name w:val="Маркери списку"/>
    <w:qFormat/>
    <w:rPr>
      <w:rFonts w:ascii="OpenSymbol" w:hAnsi="OpenSymbol" w:eastAsia="OpenSymbol" w:cs="OpenSymbol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;Liberation Mono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3">
    <w:name w:val="Указатель3"/>
    <w:basedOn w:val="Normal"/>
    <w:qFormat/>
    <w:pPr>
      <w:suppressLineNumbers/>
    </w:pPr>
    <w:rPr>
      <w:rFonts w:cs="Mangal;Liberation Mono"/>
    </w:rPr>
  </w:style>
  <w:style w:type="paragraph" w:styleId="23">
    <w:name w:val="Название объекта2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24">
    <w:name w:val="Указатель2"/>
    <w:basedOn w:val="Normal"/>
    <w:qFormat/>
    <w:pPr>
      <w:suppressLineNumbers/>
    </w:pPr>
    <w:rPr>
      <w:rFonts w:cs="Mangal;Liberation Mono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;Liberation Mono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306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qFormat/>
    <w:pPr>
      <w:tabs>
        <w:tab w:val="clear" w:pos="306"/>
        <w:tab w:val="center" w:pos="4153" w:leader="none"/>
        <w:tab w:val="right" w:pos="8306" w:leader="none"/>
      </w:tabs>
      <w:suppressAutoHyphens w:val="false"/>
    </w:pPr>
    <w:rPr>
      <w:rFonts w:ascii="Times New Roman" w:hAnsi="Times New Roman" w:eastAsia="Times New Roman" w:cs="Times New Roman"/>
      <w:kern w:val="0"/>
      <w:sz w:val="20"/>
      <w:szCs w:val="20"/>
      <w:lang w:val="ru-RU" w:bidi="ar-SA"/>
    </w:rPr>
  </w:style>
  <w:style w:type="paragraph" w:styleId="Style29">
    <w:name w:val="Footer"/>
    <w:basedOn w:val="Normal"/>
    <w:pPr>
      <w:tabs>
        <w:tab w:val="clear" w:pos="306"/>
        <w:tab w:val="center" w:pos="4819" w:leader="none"/>
        <w:tab w:val="right" w:pos="9639" w:leader="none"/>
      </w:tabs>
    </w:pPr>
    <w:rPr/>
  </w:style>
  <w:style w:type="paragraph" w:styleId="Style30">
    <w:name w:val="Вміст таблиці"/>
    <w:basedOn w:val="Normal"/>
    <w:qFormat/>
    <w:pPr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paragraph" w:styleId="Style32">
    <w:name w:val="Обычный (веб)"/>
    <w:basedOn w:val="Normal"/>
    <w:qFormat/>
    <w:pPr>
      <w:suppressAutoHyphens w:val="false"/>
      <w:spacing w:before="280" w:after="119"/>
    </w:pPr>
    <w:rPr>
      <w:bCs w:val="false"/>
      <w:sz w:val="24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1347</TotalTime>
  <Application>LibreOffice/6.3.4.2$Windows_X86_64 LibreOffice_project/60da17e045e08f1793c57c00ba83cdfce946d0aa</Application>
  <Pages>12</Pages>
  <Words>2164</Words>
  <Characters>14364</Characters>
  <CharactersWithSpaces>16405</CharactersWithSpaces>
  <Paragraphs>728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2022-06-27T13:55:36Z</cp:lastPrinted>
  <dcterms:modified xsi:type="dcterms:W3CDTF">2022-07-21T17:16:25Z</dcterms:modified>
  <cp:revision>186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