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right="0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                                            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Додаток 1</w:t>
      </w:r>
    </w:p>
    <w:p>
      <w:pPr>
        <w:pStyle w:val="Normal"/>
        <w:ind w:right="0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                                                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Комплексної програми охорони</w:t>
      </w:r>
    </w:p>
    <w:p>
      <w:pPr>
        <w:pStyle w:val="Normal"/>
        <w:ind w:right="0" w:hanging="0"/>
        <w:jc w:val="both"/>
        <w:rPr/>
      </w:pP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                                                                    </w:t>
      </w: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довкілля Луцької міської </w:t>
      </w:r>
    </w:p>
    <w:p>
      <w:pPr>
        <w:pStyle w:val="Normal"/>
        <w:ind w:right="0" w:hanging="0"/>
        <w:jc w:val="both"/>
        <w:rPr/>
      </w:pP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                                                                    </w:t>
      </w: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>територіальної громади</w:t>
      </w:r>
    </w:p>
    <w:p>
      <w:pPr>
        <w:pStyle w:val="Normal"/>
        <w:ind w:right="0" w:hanging="0"/>
        <w:jc w:val="both"/>
        <w:rPr/>
      </w:pP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                                                                    </w:t>
      </w: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2022-2025 роки</w:t>
      </w:r>
    </w:p>
    <w:p>
      <w:pPr>
        <w:pStyle w:val="Normal"/>
        <w:ind w:right="0" w:hanging="0"/>
        <w:jc w:val="both"/>
        <w:rPr/>
      </w:pPr>
      <w:r>
        <w:rPr>
          <w:rFonts w:eastAsia="NSimSun" w:cs="Mangal;Liberation Mono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                                                                    </w:t>
      </w:r>
    </w:p>
    <w:p>
      <w:pPr>
        <w:pStyle w:val="1"/>
        <w:numPr>
          <w:ilvl w:val="0"/>
          <w:numId w:val="2"/>
        </w:numPr>
        <w:rPr>
          <w:rFonts w:ascii="Times New Roman" w:hAnsi="Times New Roman" w:cs="Times New Roman"/>
          <w:b w:val="false"/>
          <w:b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 w:val="false"/>
          <w:color w:val="000000"/>
          <w:sz w:val="28"/>
          <w:szCs w:val="28"/>
        </w:rPr>
        <w:t xml:space="preserve">Ресурсне забезпечення </w:t>
      </w:r>
    </w:p>
    <w:p>
      <w:pPr>
        <w:pStyle w:val="Normal"/>
        <w:ind w:right="0" w:hanging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Комплексної програми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охорони довкілля </w:t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Луцької міської територіальної громади на 2022–2025 роки</w:t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tbl>
      <w:tblPr>
        <w:tblW w:w="9465" w:type="dxa"/>
        <w:jc w:val="left"/>
        <w:tblInd w:w="-53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2"/>
        <w:gridCol w:w="1248"/>
        <w:gridCol w:w="1200"/>
        <w:gridCol w:w="1305"/>
        <w:gridCol w:w="1248"/>
        <w:gridCol w:w="1751"/>
      </w:tblGrid>
      <w:tr>
        <w:trPr>
          <w:trHeight w:val="751" w:hRule="atLeast"/>
          <w:cantSplit w:val="true"/>
        </w:trPr>
        <w:tc>
          <w:tcPr>
            <w:tcW w:w="2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2"/>
              <w:widowControl w:val="false"/>
              <w:numPr>
                <w:ilvl w:val="1"/>
                <w:numId w:val="2"/>
              </w:numPr>
              <w:spacing w:before="240" w:after="60"/>
              <w:jc w:val="center"/>
              <w:rPr>
                <w:rFonts w:cs="Times New Roman"/>
                <w:b w:val="false"/>
                <w:b w:val="false"/>
                <w:i w:val="false"/>
                <w:i w:val="false"/>
                <w:color w:val="000000"/>
                <w:sz w:val="28"/>
              </w:rPr>
            </w:pPr>
            <w:r>
              <w:rPr>
                <w:rFonts w:cs="Times New Roman"/>
                <w:b w:val="false"/>
                <w:i w:val="false"/>
                <w:color w:val="000000"/>
                <w:sz w:val="28"/>
              </w:rPr>
            </w:r>
          </w:p>
          <w:p>
            <w:pPr>
              <w:pStyle w:val="2"/>
              <w:widowControl w:val="false"/>
              <w:numPr>
                <w:ilvl w:val="1"/>
                <w:numId w:val="2"/>
              </w:numPr>
              <w:spacing w:before="240" w:after="60"/>
              <w:jc w:val="center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olor w:val="000000"/>
                <w:sz w:val="28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olor w:val="000000"/>
                <w:sz w:val="28"/>
              </w:rPr>
              <w:t>Обсяг коштів, які планується залучити на виконання Програми за джерелами фінансування, тис.грн</w:t>
            </w:r>
          </w:p>
        </w:tc>
        <w:tc>
          <w:tcPr>
            <w:tcW w:w="50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Роки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7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81" w:right="-81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Загальний обсяг фінансування, тис. грн</w:t>
            </w:r>
          </w:p>
        </w:tc>
      </w:tr>
      <w:tr>
        <w:trPr>
          <w:trHeight w:val="516" w:hRule="atLeast"/>
          <w:cantSplit w:val="true"/>
        </w:trPr>
        <w:tc>
          <w:tcPr>
            <w:tcW w:w="27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2022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2023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7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1675" w:hRule="atLeast"/>
          <w:cantSplit w:val="true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eastAsia="SimSun;宋体" w:cs="Times New Roman"/>
                <w:color w:val="000000"/>
                <w:sz w:val="28"/>
                <w:szCs w:val="28"/>
              </w:rPr>
            </w:pPr>
            <w:r>
              <w:rPr>
                <w:rFonts w:eastAsia="SimSun;宋体"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Обсяг фінансових ресурсів всього,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у тому числі: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imSun;宋体" w:cs="Times New Roman"/>
                <w:color w:val="000000"/>
                <w:sz w:val="28"/>
                <w:szCs w:val="28"/>
              </w:rPr>
            </w:pPr>
            <w:r>
              <w:rPr>
                <w:rFonts w:eastAsia="SimSun;宋体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left="-83" w:right="-12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20341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31246,0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19946,0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17081,0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8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8614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,0</w:t>
            </w:r>
          </w:p>
        </w:tc>
      </w:tr>
      <w:tr>
        <w:trPr>
          <w:trHeight w:val="1172" w:hRule="atLeast"/>
          <w:cantSplit w:val="true"/>
        </w:trPr>
        <w:tc>
          <w:tcPr>
            <w:tcW w:w="271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бюджету Луцької міської територіальної громади/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в т.ч. спецфонд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-12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7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6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0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8090,0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8080,0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5460,0</w:t>
            </w:r>
          </w:p>
        </w:tc>
        <w:tc>
          <w:tcPr>
            <w:tcW w:w="1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5390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,0</w:t>
            </w:r>
          </w:p>
        </w:tc>
      </w:tr>
      <w:tr>
        <w:trPr>
          <w:cantSplit w:val="true"/>
        </w:trPr>
        <w:tc>
          <w:tcPr>
            <w:tcW w:w="2712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-12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1912,0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1910,0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2100,0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2210,0</w:t>
            </w:r>
          </w:p>
        </w:tc>
        <w:tc>
          <w:tcPr>
            <w:tcW w:w="1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8132,0</w:t>
            </w:r>
          </w:p>
        </w:tc>
      </w:tr>
      <w:tr>
        <w:trPr>
          <w:cantSplit w:val="true"/>
        </w:trPr>
        <w:tc>
          <w:tcPr>
            <w:tcW w:w="27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обласного бюджету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-12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500,0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1300,0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1800,0</w:t>
            </w:r>
          </w:p>
        </w:tc>
      </w:tr>
      <w:tr>
        <w:trPr>
          <w:cantSplit w:val="true"/>
        </w:trPr>
        <w:tc>
          <w:tcPr>
            <w:tcW w:w="27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державного бюджету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-12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---</w:t>
            </w:r>
          </w:p>
        </w:tc>
      </w:tr>
      <w:tr>
        <w:trPr>
          <w:cantSplit w:val="true"/>
        </w:trPr>
        <w:tc>
          <w:tcPr>
            <w:tcW w:w="271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інших джерел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16081,0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21856,0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11866,0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11621,0</w:t>
            </w:r>
          </w:p>
        </w:tc>
        <w:tc>
          <w:tcPr>
            <w:tcW w:w="1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61424,0</w:t>
            </w:r>
          </w:p>
        </w:tc>
      </w:tr>
      <w:tr>
        <w:trPr>
          <w:cantSplit w:val="true"/>
        </w:trPr>
        <w:tc>
          <w:tcPr>
            <w:tcW w:w="7713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Всього:</w:t>
            </w:r>
          </w:p>
        </w:tc>
        <w:tc>
          <w:tcPr>
            <w:tcW w:w="1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8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8614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,0</w:t>
            </w:r>
          </w:p>
        </w:tc>
      </w:tr>
    </w:tbl>
    <w:p>
      <w:pPr>
        <w:pStyle w:val="Normal"/>
        <w:jc w:val="center"/>
        <w:rPr>
          <w:rFonts w:ascii="Times New Roman" w:hAnsi="Times New Roman" w:eastAsia="SimSun;宋体" w:cs="Times New Roman"/>
          <w:color w:val="000000"/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lear" w:pos="306"/>
          <w:tab w:val="left" w:pos="1785" w:leader="none"/>
        </w:tabs>
        <w:ind w:left="0" w:right="0" w:firstLine="7020"/>
        <w:rPr>
          <w:rFonts w:ascii="Times New Roman" w:hAnsi="Times New Roman" w:eastAsia="SimSun;宋体" w:cs="Times New Roman"/>
          <w:color w:val="000000"/>
          <w:sz w:val="26"/>
          <w:szCs w:val="28"/>
        </w:rPr>
      </w:pPr>
      <w:r>
        <w:rPr>
          <w:rFonts w:eastAsia="SimSun;宋体" w:cs="Times New Roman" w:ascii="Times New Roman" w:hAnsi="Times New Roman"/>
          <w:color w:val="000000"/>
          <w:sz w:val="26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color w:val="000000"/>
          <w:sz w:val="24"/>
        </w:rPr>
        <w:t>Лисак 724 160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985" w:right="567" w:header="709" w:top="766" w:footer="0" w:bottom="1134" w:gutter="0"/>
      <w:pgNumType w:start="2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>
        <w:rFonts w:cs="Times New Roman"/>
        <w:sz w:val="28"/>
        <w:szCs w:val="28"/>
        <w:lang w:val="uk-UA"/>
      </w:rPr>
      <w:t>3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306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Calibri" w:hAnsi="Calibri" w:eastAsia="NSimSun" w:cs="Mangal;Liberation Mono"/>
      <w:color w:val="auto"/>
      <w:kern w:val="2"/>
      <w:sz w:val="22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widowControl/>
      <w:numPr>
        <w:ilvl w:val="0"/>
        <w:numId w:val="1"/>
      </w:numPr>
      <w:jc w:val="center"/>
      <w:outlineLvl w:val="0"/>
    </w:pPr>
    <w:rPr>
      <w:rFonts w:ascii="Liberation Serif;Times New Roman" w:hAnsi="Liberation Serif;Times New Roman" w:eastAsia="SimSun;宋体" w:cs="Liberation Serif;Times New Roman"/>
      <w:b/>
      <w:sz w:val="32"/>
    </w:rPr>
  </w:style>
  <w:style w:type="paragraph" w:styleId="2">
    <w:name w:val="Heading 2"/>
    <w:basedOn w:val="Normal"/>
    <w:next w:val="Normal"/>
    <w:qFormat/>
    <w:pPr>
      <w:keepNext w:val="true"/>
      <w:widowControl/>
      <w:numPr>
        <w:ilvl w:val="1"/>
        <w:numId w:val="1"/>
      </w:numPr>
      <w:spacing w:before="240" w:after="60"/>
      <w:outlineLvl w:val="1"/>
    </w:pPr>
    <w:rPr>
      <w:rFonts w:ascii="Arial" w:hAnsi="Arial" w:eastAsia="SimSun;宋体" w:cs="Arial"/>
      <w:b/>
      <w:i/>
      <w:iCs/>
      <w:sz w:val="24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Style13">
    <w:name w:val="Верхний колонтитул Знак"/>
    <w:qFormat/>
    <w:rPr>
      <w:rFonts w:ascii="Calibri" w:hAnsi="Calibri" w:eastAsia="NSimSun" w:cs="Mangal;Liberation Mono"/>
      <w:kern w:val="2"/>
      <w:sz w:val="22"/>
      <w:szCs w:val="24"/>
      <w:lang w:eastAsia="zh-CN" w:bidi="hi-IN"/>
    </w:rPr>
  </w:style>
  <w:style w:type="character" w:styleId="Style14">
    <w:name w:val="Нижний колонтитул Знак"/>
    <w:qFormat/>
    <w:rPr>
      <w:rFonts w:ascii="Calibri" w:hAnsi="Calibri" w:eastAsia="NSimSun" w:cs="Mangal;Liberation Mono"/>
      <w:kern w:val="2"/>
      <w:sz w:val="22"/>
      <w:szCs w:val="24"/>
      <w:lang w:eastAsia="zh-CN" w:bidi="hi-IN"/>
    </w:rPr>
  </w:style>
  <w:style w:type="character" w:styleId="12">
    <w:name w:val="Заголовок 1 Знак"/>
    <w:qFormat/>
    <w:rPr>
      <w:rFonts w:ascii="Liberation Serif;Times New Roman" w:hAnsi="Liberation Serif;Times New Roman" w:eastAsia="SimSun;宋体" w:cs="Mangal;Liberation Mono"/>
      <w:b/>
      <w:kern w:val="2"/>
      <w:sz w:val="32"/>
      <w:szCs w:val="24"/>
      <w:lang w:eastAsia="zh-CN" w:bidi="hi-IN"/>
    </w:rPr>
  </w:style>
  <w:style w:type="character" w:styleId="22">
    <w:name w:val="Заголовок 2 Знак"/>
    <w:qFormat/>
    <w:rPr>
      <w:rFonts w:ascii="Arial" w:hAnsi="Arial" w:eastAsia="SimSun;宋体" w:cs="Arial"/>
      <w:b/>
      <w:i/>
      <w:iCs/>
      <w:kern w:val="2"/>
      <w:sz w:val="24"/>
      <w:szCs w:val="28"/>
      <w:lang w:eastAsia="zh-CN" w:bidi="hi-IN"/>
    </w:rPr>
  </w:style>
  <w:style w:type="character" w:styleId="Style15">
    <w:name w:val="Маркери списку"/>
    <w:qFormat/>
    <w:rPr>
      <w:rFonts w:ascii="OpenSymbol" w:hAnsi="OpenSymbol" w:eastAsia="OpenSymbol" w:cs="OpenSymbol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Mangal;Liberation Mono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Mangal;Liberation Mono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Style22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</w:rPr>
  </w:style>
  <w:style w:type="paragraph" w:styleId="Style24">
    <w:name w:val="Название объе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3">
    <w:name w:val="Указатель3"/>
    <w:basedOn w:val="Normal"/>
    <w:qFormat/>
    <w:pPr>
      <w:suppressLineNumbers/>
    </w:pPr>
    <w:rPr>
      <w:rFonts w:cs="Mangal;Liberation Mono"/>
    </w:rPr>
  </w:style>
  <w:style w:type="paragraph" w:styleId="23">
    <w:name w:val="Название объекта2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24">
    <w:name w:val="Указатель2"/>
    <w:basedOn w:val="Normal"/>
    <w:qFormat/>
    <w:pPr>
      <w:suppressLineNumbers/>
    </w:pPr>
    <w:rPr>
      <w:rFonts w:cs="Mangal;Liberation Mono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;Liberation Mono"/>
    </w:rPr>
  </w:style>
  <w:style w:type="paragraph" w:styleId="Style25">
    <w:name w:val="Содержимое таблицы"/>
    <w:basedOn w:val="Normal"/>
    <w:qFormat/>
    <w:pPr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Style27">
    <w:name w:val="Верхній і нижній колонтитули"/>
    <w:basedOn w:val="Normal"/>
    <w:qFormat/>
    <w:pPr>
      <w:suppressLineNumbers/>
      <w:tabs>
        <w:tab w:val="clear" w:pos="306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Normal"/>
    <w:qFormat/>
    <w:pPr>
      <w:tabs>
        <w:tab w:val="clear" w:pos="306"/>
        <w:tab w:val="center" w:pos="4153" w:leader="none"/>
        <w:tab w:val="right" w:pos="8306" w:leader="none"/>
      </w:tabs>
      <w:suppressAutoHyphens w:val="false"/>
    </w:pPr>
    <w:rPr>
      <w:rFonts w:ascii="Times New Roman" w:hAnsi="Times New Roman" w:eastAsia="Times New Roman" w:cs="Times New Roman"/>
      <w:kern w:val="0"/>
      <w:sz w:val="20"/>
      <w:szCs w:val="20"/>
      <w:lang w:val="ru-RU" w:bidi="ar-SA"/>
    </w:rPr>
  </w:style>
  <w:style w:type="paragraph" w:styleId="Style29">
    <w:name w:val="Footer"/>
    <w:basedOn w:val="Normal"/>
    <w:pPr>
      <w:tabs>
        <w:tab w:val="clear" w:pos="306"/>
        <w:tab w:val="center" w:pos="4819" w:leader="none"/>
        <w:tab w:val="right" w:pos="9639" w:leader="none"/>
      </w:tabs>
    </w:pPr>
    <w:rPr/>
  </w:style>
  <w:style w:type="paragraph" w:styleId="Style30">
    <w:name w:val="Вміст таблиці"/>
    <w:basedOn w:val="Normal"/>
    <w:qFormat/>
    <w:pPr>
      <w:suppressLineNumbers/>
    </w:pPr>
    <w:rPr/>
  </w:style>
  <w:style w:type="paragraph" w:styleId="Style31">
    <w:name w:val="Заголовок таблиці"/>
    <w:basedOn w:val="Style30"/>
    <w:qFormat/>
    <w:pPr>
      <w:suppressLineNumbers/>
      <w:jc w:val="center"/>
    </w:pPr>
    <w:rPr>
      <w:b/>
      <w:bCs/>
    </w:rPr>
  </w:style>
  <w:style w:type="paragraph" w:styleId="Style32">
    <w:name w:val="Обычный (веб)"/>
    <w:basedOn w:val="Normal"/>
    <w:qFormat/>
    <w:pPr>
      <w:suppressAutoHyphens w:val="false"/>
      <w:spacing w:before="280" w:after="119"/>
    </w:pPr>
    <w:rPr>
      <w:bCs w:val="false"/>
      <w:sz w:val="24"/>
      <w:lang w:val="ru-RU"/>
    </w:rPr>
  </w:style>
  <w:style w:type="paragraph" w:styleId="Style33">
    <w:name w:val="Абзац списка"/>
    <w:basedOn w:val="Normal"/>
    <w:qFormat/>
    <w:pPr>
      <w:spacing w:before="0" w:after="0"/>
      <w:ind w:left="720" w:right="0" w:hanging="0"/>
      <w:contextualSpacing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1364</TotalTime>
  <Application>LibreOffice/6.3.4.2$Windows_X86_64 LibreOffice_project/60da17e045e08f1793c57c00ba83cdfce946d0aa</Application>
  <Pages>2</Pages>
  <Words>111</Words>
  <Characters>695</Characters>
  <CharactersWithSpaces>1167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/>
  <dc:description/>
  <dc:language>uk-UA</dc:language>
  <cp:lastModifiedBy/>
  <cp:lastPrinted>2022-07-21T12:23:38Z</cp:lastPrinted>
  <dcterms:modified xsi:type="dcterms:W3CDTF">2022-07-21T15:59:51Z</dcterms:modified>
  <cp:revision>175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