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6"/>
          <w:szCs w:val="2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t" fillcolor="#FFFFFF" o:ole="">
            <v:imagedata r:id="rId3" o:title=""/>
          </v:shape>
          <o:OLEObject Type="Embed" ProgID="" ShapeID="ole_rId2" DrawAspect="Content" ObjectID="_1417269658" r:id="rId2"/>
        </w:object>
      </w:r>
    </w:p>
    <w:p>
      <w:pPr>
        <w:pStyle w:val="Normal"/>
        <w:widowControl w:val="false"/>
        <w:jc w:val="center"/>
        <w:rPr>
          <w:sz w:val="26"/>
          <w:szCs w:val="26"/>
        </w:rPr>
      </w:pPr>
      <w:r>
        <w:rPr>
          <w:sz w:val="26"/>
          <w:szCs w:val="26"/>
        </w:rPr>
      </w:r>
    </w:p>
    <w:p>
      <w:pPr>
        <w:pStyle w:val="1"/>
        <w:widowControl w:val="false"/>
        <w:rPr/>
      </w:pPr>
      <w:r>
        <w:rPr>
          <w:sz w:val="28"/>
          <w:szCs w:val="28"/>
          <w:lang w:val="ru-RU"/>
        </w:rPr>
        <w:t xml:space="preserve"> </w:t>
      </w:r>
      <w:r>
        <w:rPr>
          <w:sz w:val="28"/>
          <w:szCs w:val="28"/>
        </w:rPr>
        <w:t>ЛУЦЬКА  МІСЬКА  РАДА</w:t>
      </w:r>
    </w:p>
    <w:p>
      <w:pPr>
        <w:pStyle w:val="2"/>
        <w:widowControl w:val="false"/>
        <w:jc w:val="center"/>
        <w:rPr/>
      </w:pPr>
      <w:r>
        <w:rPr>
          <w:rFonts w:cs="Times New Roman" w:ascii="Times New Roman" w:hAnsi="Times New Roman"/>
          <w:i w:val="false"/>
          <w:sz w:val="32"/>
          <w:szCs w:val="32"/>
          <w:lang w:val="en-US"/>
        </w:rPr>
        <w:t xml:space="preserve"> </w:t>
      </w:r>
      <w:r>
        <w:rPr>
          <w:rFonts w:cs="Times New Roman" w:ascii="Times New Roman" w:hAnsi="Times New Roman"/>
          <w:i w:val="false"/>
          <w:sz w:val="32"/>
          <w:szCs w:val="32"/>
        </w:rPr>
        <w:t>Р І Ш Е Н Н Я</w:t>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8"/>
          <w:szCs w:val="28"/>
        </w:rPr>
      </w:pPr>
      <w:r>
        <w:rPr>
          <w:sz w:val="28"/>
          <w:szCs w:val="28"/>
        </w:rPr>
        <w:t xml:space="preserve">                                                 </w:t>
      </w:r>
    </w:p>
    <w:p>
      <w:pPr>
        <w:pStyle w:val="Normal"/>
        <w:widowControl w:val="false"/>
        <w:jc w:val="both"/>
        <w:rPr>
          <w:sz w:val="28"/>
          <w:szCs w:val="28"/>
        </w:rPr>
      </w:pPr>
      <w:r>
        <w:rPr>
          <w:sz w:val="28"/>
          <w:szCs w:val="28"/>
        </w:rPr>
      </w:r>
    </w:p>
    <w:p>
      <w:pPr>
        <w:pStyle w:val="Normal"/>
        <w:overflowPunct w:val="true"/>
        <w:ind w:left="0" w:right="-868" w:hanging="0"/>
        <w:jc w:val="both"/>
        <w:rPr>
          <w:spacing w:val="0"/>
        </w:rPr>
      </w:pPr>
      <w:r>
        <w:rPr>
          <w:spacing w:val="0"/>
          <w:sz w:val="28"/>
          <w:szCs w:val="28"/>
        </w:rPr>
        <w:t xml:space="preserve">Про   </w:t>
      </w:r>
      <w:r>
        <w:rPr>
          <w:rFonts w:eastAsia="Times New Roman" w:cs="Times New Roman"/>
          <w:color w:val="auto"/>
          <w:spacing w:val="0"/>
          <w:sz w:val="28"/>
          <w:szCs w:val="28"/>
          <w:lang w:val="uk-UA" w:eastAsia="zh-CN" w:bidi="ar-SA"/>
        </w:rPr>
        <w:t xml:space="preserve">надання   </w:t>
      </w:r>
      <w:r>
        <w:rPr>
          <w:spacing w:val="0"/>
          <w:sz w:val="28"/>
          <w:szCs w:val="28"/>
        </w:rPr>
        <w:t>громадян</w:t>
      </w:r>
      <w:r>
        <w:rPr>
          <w:rFonts w:eastAsia="Times New Roman" w:cs="Times New Roman"/>
          <w:color w:val="auto"/>
          <w:spacing w:val="0"/>
          <w:kern w:val="0"/>
          <w:sz w:val="28"/>
          <w:szCs w:val="28"/>
          <w:lang w:val="uk-UA" w:eastAsia="zh-CN" w:bidi="ar-SA"/>
        </w:rPr>
        <w:t>ину</w:t>
      </w:r>
      <w:r>
        <w:rPr>
          <w:rFonts w:eastAsia="Times New Roman" w:cs="Times New Roman"/>
          <w:color w:val="auto"/>
          <w:spacing w:val="0"/>
          <w:sz w:val="28"/>
          <w:szCs w:val="28"/>
          <w:lang w:val="uk-UA" w:eastAsia="zh-CN" w:bidi="ar-SA"/>
        </w:rPr>
        <w:t xml:space="preserve">  </w:t>
      </w:r>
      <w:r>
        <w:rPr>
          <w:rFonts w:eastAsia="Times New Roman" w:cs="Times New Roman"/>
          <w:color w:val="auto"/>
          <w:spacing w:val="0"/>
          <w:kern w:val="0"/>
          <w:sz w:val="28"/>
          <w:szCs w:val="28"/>
          <w:lang w:val="uk-UA" w:eastAsia="zh-CN" w:bidi="ar-SA"/>
        </w:rPr>
        <w:t>Жуку  В.В.</w:t>
      </w:r>
    </w:p>
    <w:p>
      <w:pPr>
        <w:pStyle w:val="Normal"/>
        <w:overflowPunct w:val="true"/>
        <w:ind w:left="0" w:right="-868" w:hanging="0"/>
        <w:jc w:val="both"/>
        <w:rPr>
          <w:spacing w:val="0"/>
        </w:rPr>
      </w:pPr>
      <w:r>
        <w:rPr>
          <w:rFonts w:eastAsia="Times New Roman" w:cs="Times New Roman"/>
          <w:color w:val="auto"/>
          <w:spacing w:val="0"/>
          <w:kern w:val="0"/>
          <w:sz w:val="28"/>
          <w:szCs w:val="28"/>
          <w:lang w:val="uk-UA" w:eastAsia="zh-CN" w:bidi="ar-SA"/>
        </w:rPr>
        <w:t xml:space="preserve">дозволу  </w:t>
      </w:r>
      <w:r>
        <w:rPr>
          <w:spacing w:val="0"/>
          <w:sz w:val="28"/>
          <w:szCs w:val="28"/>
          <w:lang w:val="uk-UA"/>
        </w:rPr>
        <w:t>на розроблення  проекту</w:t>
      </w:r>
      <w:r>
        <w:rPr>
          <w:spacing w:val="0"/>
          <w:sz w:val="32"/>
          <w:szCs w:val="32"/>
          <w:lang w:val="uk-UA"/>
        </w:rPr>
        <w:t xml:space="preserve"> </w:t>
      </w:r>
      <w:r>
        <w:rPr>
          <w:spacing w:val="0"/>
          <w:sz w:val="28"/>
          <w:szCs w:val="28"/>
          <w:lang w:val="uk-UA"/>
        </w:rPr>
        <w:t>земле-</w:t>
      </w:r>
    </w:p>
    <w:p>
      <w:pPr>
        <w:pStyle w:val="Normal"/>
        <w:overflowPunct w:val="true"/>
        <w:ind w:left="0" w:right="-868" w:hanging="0"/>
        <w:jc w:val="both"/>
        <w:rPr>
          <w:spacing w:val="0"/>
        </w:rPr>
      </w:pPr>
      <w:r>
        <w:rPr>
          <w:spacing w:val="-8"/>
          <w:sz w:val="28"/>
          <w:szCs w:val="28"/>
          <w:lang w:val="uk-UA"/>
        </w:rPr>
        <w:t xml:space="preserve">устрою </w:t>
      </w:r>
      <w:r>
        <w:rPr>
          <w:spacing w:val="-8"/>
          <w:sz w:val="28"/>
          <w:szCs w:val="28"/>
        </w:rPr>
        <w:t>щодо відведення земельної ділянки</w:t>
      </w:r>
    </w:p>
    <w:p>
      <w:pPr>
        <w:pStyle w:val="Normal"/>
        <w:overflowPunct w:val="true"/>
        <w:ind w:left="0" w:right="-868" w:hanging="0"/>
        <w:jc w:val="both"/>
        <w:rPr>
          <w:spacing w:val="0"/>
        </w:rPr>
      </w:pPr>
      <w:r>
        <w:rPr>
          <w:spacing w:val="0"/>
          <w:sz w:val="28"/>
          <w:szCs w:val="28"/>
        </w:rPr>
        <w:t xml:space="preserve">у власність для </w:t>
      </w:r>
      <w:r>
        <w:rPr>
          <w:spacing w:val="0"/>
          <w:sz w:val="24"/>
          <w:szCs w:val="24"/>
        </w:rPr>
        <w:t xml:space="preserve"> </w:t>
      </w:r>
      <w:r>
        <w:rPr>
          <w:rFonts w:eastAsia="Times New Roman" w:cs="Times New Roman"/>
          <w:color w:val="auto"/>
          <w:spacing w:val="0"/>
          <w:kern w:val="0"/>
          <w:sz w:val="28"/>
          <w:szCs w:val="28"/>
          <w:lang w:val="uk-UA" w:eastAsia="zh-CN" w:bidi="ar-SA"/>
        </w:rPr>
        <w:t>індивідуального дачного</w:t>
      </w:r>
    </w:p>
    <w:p>
      <w:pPr>
        <w:pStyle w:val="Normal"/>
        <w:overflowPunct w:val="true"/>
        <w:ind w:left="0" w:right="-868" w:hanging="0"/>
        <w:jc w:val="both"/>
        <w:rPr>
          <w:spacing w:val="-2"/>
        </w:rPr>
      </w:pPr>
      <w:r>
        <w:rPr>
          <w:rFonts w:eastAsia="Times New Roman" w:cs="Times New Roman"/>
          <w:color w:val="auto"/>
          <w:spacing w:val="-2"/>
          <w:kern w:val="0"/>
          <w:sz w:val="28"/>
          <w:szCs w:val="28"/>
          <w:lang w:val="uk-UA" w:eastAsia="zh-CN" w:bidi="ar-SA"/>
        </w:rPr>
        <w:t>будівництва</w:t>
      </w:r>
      <w:r>
        <w:rPr>
          <w:spacing w:val="-2"/>
          <w:sz w:val="28"/>
          <w:szCs w:val="28"/>
        </w:rPr>
        <w:t xml:space="preserve"> </w:t>
      </w:r>
      <w:r>
        <w:rPr>
          <w:rFonts w:eastAsia="Times New Roman" w:cs="Times New Roman"/>
          <w:color w:val="auto"/>
          <w:spacing w:val="-2"/>
          <w:kern w:val="0"/>
          <w:sz w:val="28"/>
          <w:szCs w:val="28"/>
          <w:lang w:val="uk-UA" w:eastAsia="zh-CN" w:bidi="ar-SA"/>
        </w:rPr>
        <w:t>у</w:t>
      </w:r>
      <w:r>
        <w:rPr>
          <w:rFonts w:eastAsia="Times New Roman" w:cs="Times New Roman"/>
          <w:color w:val="000000"/>
          <w:spacing w:val="-2"/>
          <w:sz w:val="28"/>
          <w:szCs w:val="28"/>
          <w:shd w:fill="auto" w:val="clear"/>
          <w:lang w:val="uk-UA" w:eastAsia="zh-CN" w:bidi="ar-SA"/>
        </w:rPr>
        <w:t xml:space="preserve"> с.</w:t>
      </w:r>
      <w:r>
        <w:rPr>
          <w:rFonts w:eastAsia="Times New Roman" w:cs="Times New Roman"/>
          <w:color w:val="000000"/>
          <w:spacing w:val="-2"/>
          <w:sz w:val="20"/>
          <w:szCs w:val="20"/>
          <w:shd w:fill="auto" w:val="clear"/>
          <w:lang w:val="uk-UA" w:eastAsia="zh-CN" w:bidi="ar-SA"/>
        </w:rPr>
        <w:t xml:space="preserve"> </w:t>
      </w:r>
      <w:r>
        <w:rPr>
          <w:rFonts w:eastAsia="Times New Roman" w:cs="Times New Roman"/>
          <w:color w:val="000000"/>
          <w:spacing w:val="-2"/>
          <w:kern w:val="0"/>
          <w:sz w:val="28"/>
          <w:szCs w:val="28"/>
          <w:shd w:fill="auto" w:val="clear"/>
          <w:lang w:val="uk-UA" w:eastAsia="zh-CN" w:bidi="ar-SA"/>
        </w:rPr>
        <w:t>Озерце</w:t>
      </w:r>
      <w:r>
        <w:rPr>
          <w:color w:val="000000"/>
          <w:spacing w:val="-2"/>
          <w:sz w:val="28"/>
          <w:szCs w:val="28"/>
          <w:shd w:fill="auto" w:val="clear"/>
          <w:lang w:val="en-US"/>
        </w:rPr>
        <w:t xml:space="preserve"> </w:t>
      </w:r>
      <w:r>
        <w:rPr>
          <w:rFonts w:eastAsia="Times New Roman" w:cs="Times New Roman"/>
          <w:color w:val="000000"/>
          <w:spacing w:val="-2"/>
          <w:sz w:val="28"/>
          <w:szCs w:val="28"/>
          <w:lang w:val="uk-UA" w:eastAsia="zh-CN" w:bidi="ar-SA"/>
        </w:rPr>
        <w:t>Луцького району</w:t>
      </w:r>
    </w:p>
    <w:p>
      <w:pPr>
        <w:pStyle w:val="Normal"/>
        <w:overflowPunct w:val="true"/>
        <w:ind w:left="0" w:right="-868" w:hanging="0"/>
        <w:jc w:val="both"/>
        <w:rPr>
          <w:spacing w:val="0"/>
        </w:rPr>
      </w:pPr>
      <w:r>
        <w:rPr>
          <w:rFonts w:eastAsia="Times New Roman" w:cs="Times New Roman"/>
          <w:color w:val="000000"/>
          <w:spacing w:val="0"/>
          <w:sz w:val="28"/>
          <w:szCs w:val="28"/>
          <w:lang w:val="uk-UA" w:eastAsia="zh-CN" w:bidi="ar-SA"/>
        </w:rPr>
        <w:t>Волинської області</w:t>
      </w:r>
    </w:p>
    <w:p>
      <w:pPr>
        <w:pStyle w:val="Normal"/>
        <w:widowControl/>
        <w:suppressAutoHyphens w:val="true"/>
        <w:bidi w:val="0"/>
        <w:ind w:left="0" w:right="0" w:firstLine="850"/>
        <w:jc w:val="both"/>
        <w:rPr>
          <w:spacing w:val="0"/>
        </w:rPr>
      </w:pPr>
      <w:r>
        <w:rPr>
          <w:spacing w:val="0"/>
        </w:rPr>
      </w:r>
    </w:p>
    <w:p>
      <w:pPr>
        <w:pStyle w:val="Normal"/>
        <w:widowControl/>
        <w:suppressAutoHyphens w:val="true"/>
        <w:bidi w:val="0"/>
        <w:spacing w:before="0" w:after="0"/>
        <w:ind w:left="0" w:right="0" w:firstLine="567"/>
        <w:jc w:val="both"/>
        <w:rPr>
          <w:sz w:val="28"/>
          <w:szCs w:val="28"/>
        </w:rPr>
      </w:pPr>
      <w:r>
        <w:rPr>
          <w:sz w:val="28"/>
          <w:szCs w:val="28"/>
          <w:u w:val="none"/>
        </w:rPr>
        <w:t xml:space="preserve">На виконання рішення </w:t>
      </w:r>
      <w:r>
        <w:rPr>
          <w:rFonts w:eastAsia="Times New Roman" w:cs="Times New Roman"/>
          <w:color w:val="auto"/>
          <w:kern w:val="0"/>
          <w:sz w:val="28"/>
          <w:szCs w:val="28"/>
          <w:u w:val="none"/>
          <w:lang w:val="uk-UA" w:eastAsia="zh-CN" w:bidi="ar-SA"/>
        </w:rPr>
        <w:t>Волинського окружного адміністративного суду від 03.12.2021 (справа №140/10048/21), яке набрало законної сили 05.01.2021</w:t>
      </w:r>
      <w:r>
        <w:rPr>
          <w:rFonts w:eastAsia="Times New Roman" w:cs="Times New Roman"/>
          <w:b w:val="false"/>
          <w:i w:val="false"/>
          <w:caps w:val="false"/>
          <w:smallCaps w:val="false"/>
          <w:color w:val="000000"/>
          <w:spacing w:val="0"/>
          <w:kern w:val="0"/>
          <w:sz w:val="28"/>
          <w:szCs w:val="28"/>
          <w:u w:val="none"/>
          <w:lang w:val="uk-UA" w:eastAsia="zh-CN" w:bidi="ar-SA"/>
        </w:rPr>
        <w:t>,</w:t>
      </w:r>
      <w:r>
        <w:rPr>
          <w:rFonts w:eastAsia="Times New Roman" w:cs="Times New Roman"/>
          <w:b w:val="false"/>
          <w:i w:val="false"/>
          <w:caps w:val="false"/>
          <w:smallCaps w:val="false"/>
          <w:color w:val="auto"/>
          <w:spacing w:val="0"/>
          <w:kern w:val="0"/>
          <w:sz w:val="28"/>
          <w:szCs w:val="28"/>
          <w:u w:val="none"/>
          <w:lang w:val="uk-UA" w:eastAsia="zh-CN" w:bidi="ar-SA"/>
        </w:rPr>
        <w:t xml:space="preserve"> щодо визнання </w:t>
      </w:r>
      <w:r>
        <w:rPr>
          <w:rFonts w:eastAsia="Times New Roman" w:cs="Times New Roman"/>
          <w:color w:val="auto"/>
          <w:sz w:val="28"/>
          <w:szCs w:val="28"/>
          <w:u w:val="none"/>
          <w:lang w:val="uk-UA" w:eastAsia="zh-CN" w:bidi="ar-SA"/>
        </w:rPr>
        <w:t>п</w:t>
      </w:r>
      <w:r>
        <w:rPr>
          <w:rFonts w:eastAsia="Times New Roman" w:cs="Times New Roman"/>
          <w:b w:val="false"/>
          <w:i w:val="false"/>
          <w:caps w:val="false"/>
          <w:smallCaps w:val="false"/>
          <w:color w:val="auto"/>
          <w:spacing w:val="0"/>
          <w:kern w:val="0"/>
          <w:sz w:val="28"/>
          <w:szCs w:val="28"/>
          <w:u w:val="none"/>
          <w:lang w:val="uk-UA" w:eastAsia="zh-CN" w:bidi="ar-SA"/>
        </w:rPr>
        <w:t xml:space="preserve">ротиправним та скасування рішення Луцької міської ради від 28 квітня 2021 року № 10/62 «Про відмову громадянину Жуку В.В. у наданні дозволу на розроблення проекту землеустрою щодо відведення земельної ділянки у власність для індивідуального дачного будівництва в с. Озерце Луцького району Волинської області» і </w:t>
      </w:r>
      <w:r>
        <w:rPr>
          <w:rFonts w:eastAsia="Times New Roman" w:cs="Times New Roman"/>
          <w:color w:val="auto"/>
          <w:sz w:val="28"/>
          <w:szCs w:val="28"/>
          <w:u w:val="none"/>
          <w:lang w:val="uk-UA" w:eastAsia="zh-CN" w:bidi="ar-SA"/>
        </w:rPr>
        <w:t>зобов'язання</w:t>
      </w:r>
      <w:r>
        <w:rPr>
          <w:rFonts w:eastAsia="Times New Roman" w:cs="Times New Roman"/>
          <w:b w:val="false"/>
          <w:bCs w:val="false"/>
          <w:color w:val="auto"/>
          <w:sz w:val="28"/>
          <w:szCs w:val="28"/>
          <w:u w:val="none"/>
          <w:lang w:val="uk-UA" w:eastAsia="zh-CN" w:bidi="ar-SA"/>
        </w:rPr>
        <w:t xml:space="preserve"> </w:t>
      </w:r>
      <w:r>
        <w:rPr>
          <w:rFonts w:eastAsia="Times New Roman" w:cs="Times New Roman"/>
          <w:b w:val="false"/>
          <w:bCs w:val="false"/>
          <w:color w:val="auto"/>
          <w:kern w:val="0"/>
          <w:sz w:val="28"/>
          <w:szCs w:val="28"/>
          <w:u w:val="none"/>
          <w:lang w:val="uk-UA" w:eastAsia="zh-CN" w:bidi="ar-SA"/>
        </w:rPr>
        <w:t>Луцької мі</w:t>
      </w:r>
      <w:r>
        <w:rPr>
          <w:rFonts w:eastAsia="Times New Roman" w:cs="Times New Roman"/>
          <w:color w:val="auto"/>
          <w:kern w:val="0"/>
          <w:sz w:val="28"/>
          <w:szCs w:val="28"/>
          <w:u w:val="none"/>
          <w:lang w:val="uk-UA" w:eastAsia="zh-CN" w:bidi="ar-SA"/>
        </w:rPr>
        <w:t>ської ради</w:t>
      </w:r>
      <w:r>
        <w:rPr>
          <w:rFonts w:eastAsia="Times New Roman" w:cs="Times New Roman"/>
          <w:color w:val="auto"/>
          <w:sz w:val="28"/>
          <w:szCs w:val="28"/>
          <w:u w:val="none"/>
          <w:lang w:val="uk-UA" w:eastAsia="zh-CN" w:bidi="ar-SA"/>
        </w:rPr>
        <w:t xml:space="preserve"> надати </w:t>
      </w:r>
      <w:r>
        <w:rPr>
          <w:rFonts w:eastAsia="Times New Roman" w:cs="Times New Roman"/>
          <w:color w:val="auto"/>
          <w:kern w:val="0"/>
          <w:sz w:val="28"/>
          <w:szCs w:val="28"/>
          <w:u w:val="none"/>
          <w:lang w:val="uk-UA" w:eastAsia="zh-CN" w:bidi="ar-SA"/>
        </w:rPr>
        <w:t>Жуку Володимиру Володимировичу</w:t>
      </w:r>
      <w:r>
        <w:rPr>
          <w:rFonts w:eastAsia="Times New Roman" w:cs="Times New Roman"/>
          <w:color w:val="auto"/>
          <w:sz w:val="28"/>
          <w:szCs w:val="28"/>
          <w:u w:val="none"/>
          <w:lang w:val="uk-UA" w:eastAsia="zh-CN" w:bidi="ar-SA"/>
        </w:rPr>
        <w:t xml:space="preserve"> дозвіл на розроблення документації із землеустрою, щодо відведення земельної ділянки для індивідуального дачного будівництва, орієнтовною площею </w:t>
      </w:r>
      <w:r>
        <w:rPr>
          <w:rFonts w:eastAsia="Times New Roman" w:cs="Times New Roman"/>
          <w:color w:val="auto"/>
          <w:kern w:val="0"/>
          <w:sz w:val="28"/>
          <w:szCs w:val="28"/>
          <w:u w:val="none"/>
          <w:lang w:val="uk-UA" w:eastAsia="zh-CN" w:bidi="ar-SA"/>
        </w:rPr>
        <w:t>0,10</w:t>
      </w:r>
      <w:r>
        <w:rPr>
          <w:rFonts w:eastAsia="Times New Roman" w:cs="Times New Roman"/>
          <w:color w:val="auto"/>
          <w:sz w:val="28"/>
          <w:szCs w:val="28"/>
          <w:u w:val="none"/>
          <w:lang w:val="uk-UA" w:eastAsia="zh-CN" w:bidi="ar-SA"/>
        </w:rPr>
        <w:t xml:space="preserve"> га за його заявою від 06.03.2020 року та </w:t>
      </w:r>
      <w:r>
        <w:rPr>
          <w:rFonts w:eastAsia="Times New Roman" w:cs="Times New Roman"/>
          <w:color w:val="000000"/>
          <w:kern w:val="0"/>
          <w:sz w:val="28"/>
          <w:szCs w:val="28"/>
          <w:u w:val="none"/>
          <w:lang w:val="uk-UA" w:eastAsia="zh-CN" w:bidi="ar-SA"/>
        </w:rPr>
        <w:t>п</w:t>
      </w:r>
      <w:r>
        <w:rPr>
          <w:rFonts w:eastAsia="Times New Roman" w:cs="Times New Roman"/>
          <w:color w:val="000000"/>
          <w:sz w:val="28"/>
          <w:szCs w:val="28"/>
          <w:u w:val="none"/>
          <w:lang w:val="uk-UA" w:eastAsia="zh-CN" w:bidi="ar-SA"/>
        </w:rPr>
        <w:t xml:space="preserve">останови Відділу примусового виконання рішень </w:t>
      </w:r>
      <w:r>
        <w:rPr>
          <w:rFonts w:eastAsia="Times New Roman" w:cs="Times New Roman"/>
          <w:color w:val="000000"/>
          <w:kern w:val="0"/>
          <w:sz w:val="28"/>
          <w:szCs w:val="28"/>
          <w:u w:val="none"/>
          <w:lang w:val="uk-UA" w:eastAsia="zh-CN" w:bidi="ar-SA"/>
        </w:rPr>
        <w:t>У</w:t>
      </w:r>
      <w:r>
        <w:rPr>
          <w:rFonts w:eastAsia="Times New Roman" w:cs="Times New Roman"/>
          <w:color w:val="000000"/>
          <w:sz w:val="28"/>
          <w:szCs w:val="28"/>
          <w:u w:val="none"/>
          <w:lang w:val="uk-UA" w:eastAsia="zh-CN" w:bidi="ar-SA"/>
        </w:rPr>
        <w:t xml:space="preserve">правління забезпечення примусового виконання рішень у Волинській області Західного </w:t>
      </w:r>
      <w:r>
        <w:rPr>
          <w:rFonts w:eastAsia="Times New Roman" w:cs="Times New Roman"/>
          <w:color w:val="000000"/>
          <w:kern w:val="0"/>
          <w:sz w:val="28"/>
          <w:szCs w:val="28"/>
          <w:u w:val="none"/>
          <w:lang w:val="uk-UA" w:eastAsia="zh-CN" w:bidi="ar-SA"/>
        </w:rPr>
        <w:t>м</w:t>
      </w:r>
      <w:r>
        <w:rPr>
          <w:rFonts w:eastAsia="Times New Roman" w:cs="Times New Roman"/>
          <w:color w:val="000000"/>
          <w:sz w:val="28"/>
          <w:szCs w:val="28"/>
          <w:u w:val="none"/>
          <w:lang w:val="uk-UA" w:eastAsia="zh-CN" w:bidi="ar-SA"/>
        </w:rPr>
        <w:t xml:space="preserve">іжрегіонального </w:t>
      </w:r>
      <w:r>
        <w:rPr>
          <w:rFonts w:eastAsia="Times New Roman" w:cs="Times New Roman"/>
          <w:color w:val="000000"/>
          <w:kern w:val="0"/>
          <w:sz w:val="28"/>
          <w:szCs w:val="28"/>
          <w:u w:val="none"/>
          <w:lang w:val="uk-UA" w:eastAsia="zh-CN" w:bidi="ar-SA"/>
        </w:rPr>
        <w:t>у</w:t>
      </w:r>
      <w:r>
        <w:rPr>
          <w:rFonts w:eastAsia="Times New Roman" w:cs="Times New Roman"/>
          <w:color w:val="000000"/>
          <w:sz w:val="28"/>
          <w:szCs w:val="28"/>
          <w:u w:val="none"/>
          <w:lang w:val="uk-UA" w:eastAsia="zh-CN" w:bidi="ar-SA"/>
        </w:rPr>
        <w:t xml:space="preserve">правління Міністерства </w:t>
      </w:r>
      <w:r>
        <w:rPr>
          <w:rFonts w:eastAsia="Times New Roman" w:cs="Times New Roman"/>
          <w:color w:val="000000"/>
          <w:kern w:val="0"/>
          <w:sz w:val="28"/>
          <w:szCs w:val="28"/>
          <w:u w:val="none"/>
          <w:lang w:val="uk-UA" w:eastAsia="zh-CN" w:bidi="ar-SA"/>
        </w:rPr>
        <w:t>ю</w:t>
      </w:r>
      <w:r>
        <w:rPr>
          <w:rFonts w:eastAsia="Times New Roman" w:cs="Times New Roman"/>
          <w:color w:val="000000"/>
          <w:sz w:val="28"/>
          <w:szCs w:val="28"/>
          <w:u w:val="none"/>
          <w:lang w:val="uk-UA" w:eastAsia="zh-CN" w:bidi="ar-SA"/>
        </w:rPr>
        <w:t xml:space="preserve">стиції (м. Львів) про </w:t>
      </w:r>
      <w:r>
        <w:rPr>
          <w:rFonts w:eastAsia="Times New Roman" w:cs="Times New Roman"/>
          <w:color w:val="000000"/>
          <w:kern w:val="0"/>
          <w:sz w:val="28"/>
          <w:szCs w:val="28"/>
          <w:u w:val="none"/>
          <w:lang w:val="uk-UA" w:eastAsia="zh-CN" w:bidi="ar-SA"/>
        </w:rPr>
        <w:t>відкриття</w:t>
      </w:r>
      <w:r>
        <w:rPr>
          <w:rFonts w:eastAsia="Times New Roman" w:cs="Times New Roman"/>
          <w:color w:val="000000"/>
          <w:sz w:val="28"/>
          <w:szCs w:val="28"/>
          <w:u w:val="none"/>
          <w:lang w:val="uk-UA" w:eastAsia="zh-CN" w:bidi="ar-SA"/>
        </w:rPr>
        <w:t xml:space="preserve"> виконавчого провадження від </w:t>
      </w:r>
      <w:r>
        <w:rPr>
          <w:rFonts w:eastAsia="Times New Roman" w:cs="Times New Roman"/>
          <w:color w:val="000000"/>
          <w:kern w:val="0"/>
          <w:sz w:val="28"/>
          <w:szCs w:val="28"/>
          <w:u w:val="none"/>
          <w:lang w:val="uk-UA" w:eastAsia="zh-CN" w:bidi="ar-SA"/>
        </w:rPr>
        <w:t>25.01.2022 ВП № 68362415</w:t>
      </w:r>
      <w:r>
        <w:rPr>
          <w:rFonts w:eastAsia="Times New Roman" w:cs="Times New Roman"/>
          <w:color w:val="auto"/>
          <w:sz w:val="28"/>
          <w:szCs w:val="28"/>
          <w:u w:val="none"/>
          <w:lang w:val="uk-UA" w:eastAsia="zh-CN" w:bidi="ar-SA"/>
        </w:rPr>
        <w:t>,</w:t>
      </w:r>
      <w:r>
        <w:rPr>
          <w:sz w:val="28"/>
          <w:szCs w:val="28"/>
          <w:u w:val="none"/>
        </w:rPr>
        <w:t xml:space="preserve"> розглянувши заяву громадян</w:t>
      </w:r>
      <w:r>
        <w:rPr>
          <w:rFonts w:eastAsia="Times New Roman" w:cs="Times New Roman"/>
          <w:color w:val="auto"/>
          <w:kern w:val="0"/>
          <w:sz w:val="28"/>
          <w:szCs w:val="28"/>
          <w:u w:val="none"/>
          <w:lang w:val="uk-UA" w:eastAsia="zh-CN" w:bidi="ar-SA"/>
        </w:rPr>
        <w:t>ина</w:t>
      </w:r>
      <w:r>
        <w:rPr>
          <w:sz w:val="28"/>
          <w:szCs w:val="28"/>
          <w:u w:val="none"/>
        </w:rPr>
        <w:t xml:space="preserve"> </w:t>
      </w:r>
      <w:r>
        <w:rPr>
          <w:rFonts w:eastAsia="Times New Roman" w:cs="Times New Roman"/>
          <w:color w:val="auto"/>
          <w:kern w:val="0"/>
          <w:sz w:val="28"/>
          <w:szCs w:val="28"/>
          <w:u w:val="none"/>
          <w:lang w:val="uk-UA" w:eastAsia="zh-CN" w:bidi="ar-SA"/>
        </w:rPr>
        <w:t>Жука Володимира Володимировича</w:t>
      </w:r>
      <w:r>
        <w:rPr>
          <w:sz w:val="28"/>
          <w:szCs w:val="28"/>
          <w:u w:val="none"/>
        </w:rPr>
        <w:t xml:space="preserve"> від </w:t>
      </w:r>
      <w:r>
        <w:rPr>
          <w:rFonts w:eastAsia="Times New Roman" w:cs="Times New Roman"/>
          <w:color w:val="auto"/>
          <w:kern w:val="0"/>
          <w:sz w:val="28"/>
          <w:szCs w:val="28"/>
          <w:u w:val="none"/>
          <w:lang w:val="uk-UA" w:eastAsia="zh-CN" w:bidi="ar-SA"/>
        </w:rPr>
        <w:t>06.03.2020</w:t>
      </w:r>
      <w:r>
        <w:rPr>
          <w:rFonts w:eastAsia="Times New Roman" w:cs="Times New Roman"/>
          <w:color w:val="auto"/>
          <w:sz w:val="28"/>
          <w:szCs w:val="28"/>
          <w:u w:val="none"/>
          <w:lang w:val="uk-UA" w:eastAsia="zh-CN" w:bidi="ar-SA"/>
        </w:rPr>
        <w:t xml:space="preserve"> з поданим графічним матеріалом</w:t>
      </w:r>
      <w:r>
        <w:rPr>
          <w:sz w:val="28"/>
          <w:szCs w:val="28"/>
          <w:u w:val="none"/>
          <w:lang w:val="uk-UA"/>
        </w:rPr>
        <w:t>, генеральний план села Озерце, затверджений рішенням Озерцівської сільської ради від 23.10.2017 № 17-4/2017 «</w:t>
      </w:r>
      <w:r>
        <w:rPr>
          <w:rFonts w:eastAsia="Times New Roman" w:cs="Times New Roman"/>
          <w:color w:val="auto"/>
          <w:kern w:val="0"/>
          <w:sz w:val="28"/>
          <w:szCs w:val="28"/>
          <w:u w:val="none"/>
          <w:lang w:val="uk-UA" w:eastAsia="zh-CN" w:bidi="ar-SA"/>
        </w:rPr>
        <w:t>Про затвердження містобудівної документації “Генеральний план с. Озерце”</w:t>
      </w:r>
      <w:r>
        <w:rPr>
          <w:sz w:val="28"/>
          <w:szCs w:val="28"/>
          <w:u w:val="none"/>
          <w:lang w:val="uk-UA"/>
        </w:rPr>
        <w:t xml:space="preserve">», </w:t>
      </w:r>
      <w:r>
        <w:rPr>
          <w:color w:val="000000"/>
          <w:sz w:val="28"/>
          <w:szCs w:val="28"/>
          <w:u w:val="none"/>
        </w:rPr>
        <w:t>керуючись статтями</w:t>
      </w:r>
      <w:r>
        <w:rPr>
          <w:color w:val="000000"/>
          <w:sz w:val="28"/>
          <w:szCs w:val="28"/>
          <w:u w:val="none"/>
          <w:lang w:val="ru-RU"/>
        </w:rPr>
        <w:t xml:space="preserve"> 12,</w:t>
      </w:r>
      <w:r>
        <w:rPr>
          <w:color w:val="000000"/>
          <w:sz w:val="28"/>
          <w:szCs w:val="28"/>
          <w:u w:val="none"/>
          <w:lang w:val="uk-UA"/>
        </w:rPr>
        <w:t xml:space="preserve"> 19, 50-52, </w:t>
      </w:r>
      <w:r>
        <w:rPr>
          <w:color w:val="000000"/>
          <w:sz w:val="28"/>
          <w:szCs w:val="28"/>
          <w:u w:val="none"/>
        </w:rPr>
        <w:t>81,</w:t>
      </w:r>
      <w:r>
        <w:rPr>
          <w:color w:val="000000"/>
          <w:sz w:val="28"/>
          <w:szCs w:val="28"/>
          <w:u w:val="none"/>
          <w:lang w:val="ru-RU"/>
        </w:rPr>
        <w:t xml:space="preserve"> </w:t>
      </w:r>
      <w:r>
        <w:rPr>
          <w:color w:val="000000"/>
          <w:sz w:val="28"/>
          <w:szCs w:val="28"/>
          <w:u w:val="none"/>
          <w:lang w:val="uk-UA"/>
        </w:rPr>
        <w:t>90-</w:t>
      </w:r>
      <w:r>
        <w:rPr>
          <w:color w:val="000000"/>
          <w:sz w:val="28"/>
          <w:szCs w:val="28"/>
          <w:u w:val="none"/>
          <w:lang w:val="ru-RU"/>
        </w:rPr>
        <w:t>91,</w:t>
      </w:r>
      <w:r>
        <w:rPr>
          <w:color w:val="000000"/>
          <w:sz w:val="28"/>
          <w:szCs w:val="28"/>
          <w:u w:val="none"/>
        </w:rPr>
        <w:t xml:space="preserve"> 116, 118, 121, 122, 125</w:t>
      </w:r>
      <w:r>
        <w:rPr>
          <w:color w:val="000000"/>
          <w:sz w:val="28"/>
          <w:szCs w:val="28"/>
          <w:u w:val="none"/>
          <w:lang w:val="ru-RU"/>
        </w:rPr>
        <w:t>-126</w:t>
      </w:r>
      <w:r>
        <w:rPr>
          <w:color w:val="000000"/>
          <w:sz w:val="28"/>
          <w:szCs w:val="28"/>
          <w:u w:val="none"/>
          <w:lang w:val="ru-RU"/>
        </w:rPr>
        <w:t>,</w:t>
      </w:r>
      <w:r>
        <w:rPr>
          <w:sz w:val="28"/>
          <w:szCs w:val="28"/>
          <w:u w:val="none"/>
        </w:rPr>
        <w:t xml:space="preserve"> Законом України «Про землеустрій», Законом України «Про Державний земельний кадастр», статтею 63 Закон</w:t>
      </w:r>
      <w:r>
        <w:rPr>
          <w:rFonts w:eastAsia="Times New Roman" w:cs="Times New Roman"/>
          <w:color w:val="auto"/>
          <w:kern w:val="0"/>
          <w:sz w:val="28"/>
          <w:szCs w:val="28"/>
          <w:u w:val="none"/>
          <w:lang w:val="uk-UA" w:eastAsia="zh-CN" w:bidi="ar-SA"/>
        </w:rPr>
        <w:t>у</w:t>
      </w:r>
      <w:r>
        <w:rPr>
          <w:sz w:val="28"/>
          <w:szCs w:val="28"/>
          <w:u w:val="none"/>
        </w:rPr>
        <w:t xml:space="preserve"> України «Про </w:t>
      </w:r>
      <w:r>
        <w:rPr>
          <w:rFonts w:eastAsia="Times New Roman" w:cs="Times New Roman"/>
          <w:color w:val="auto"/>
          <w:sz w:val="28"/>
          <w:szCs w:val="28"/>
          <w:u w:val="none"/>
          <w:lang w:val="uk-UA" w:eastAsia="zh-CN" w:bidi="ar-SA"/>
        </w:rPr>
        <w:t>охорону навколишнього природного середовища</w:t>
      </w:r>
      <w:r>
        <w:rPr>
          <w:sz w:val="28"/>
          <w:szCs w:val="28"/>
          <w:u w:val="none"/>
        </w:rPr>
        <w:t>», статтею 24 Закон</w:t>
      </w:r>
      <w:r>
        <w:rPr>
          <w:rFonts w:eastAsia="Times New Roman" w:cs="Times New Roman"/>
          <w:color w:val="auto"/>
          <w:sz w:val="28"/>
          <w:szCs w:val="28"/>
          <w:u w:val="none"/>
          <w:lang w:val="uk-UA" w:eastAsia="zh-CN" w:bidi="ar-SA"/>
        </w:rPr>
        <w:t>у</w:t>
      </w:r>
      <w:r>
        <w:rPr>
          <w:sz w:val="28"/>
          <w:szCs w:val="28"/>
          <w:u w:val="none"/>
        </w:rPr>
        <w:t xml:space="preserve"> України «Про регулювання містобудівної діяльності», </w:t>
      </w:r>
      <w:r>
        <w:rPr>
          <w:sz w:val="28"/>
          <w:szCs w:val="28"/>
          <w:u w:val="none"/>
          <w:lang w:val="uk-UA"/>
        </w:rPr>
        <w:t>Закон</w:t>
      </w:r>
      <w:r>
        <w:rPr>
          <w:rFonts w:eastAsia="Times New Roman" w:cs="Times New Roman"/>
          <w:color w:val="auto"/>
          <w:sz w:val="28"/>
          <w:szCs w:val="28"/>
          <w:u w:val="none"/>
          <w:lang w:val="uk-UA" w:eastAsia="zh-CN" w:bidi="ar-SA"/>
        </w:rPr>
        <w:t>ом</w:t>
      </w:r>
      <w:r>
        <w:rPr>
          <w:sz w:val="28"/>
          <w:szCs w:val="28"/>
          <w:u w:val="none"/>
          <w:lang w:val="uk-UA"/>
        </w:rPr>
        <w:t xml:space="preserve"> України </w:t>
      </w:r>
      <w:r>
        <w:rPr>
          <w:color w:val="000000"/>
          <w:sz w:val="28"/>
          <w:szCs w:val="28"/>
          <w:u w:val="none"/>
          <w:lang w:val="uk-UA"/>
        </w:rPr>
        <w:t>«</w:t>
      </w:r>
      <w:r>
        <w:rPr>
          <w:rFonts w:cs="Times New Roman"/>
          <w:color w:val="000000"/>
          <w:spacing w:val="0"/>
          <w:sz w:val="28"/>
          <w:szCs w:val="28"/>
          <w:u w:val="none"/>
          <w:lang w:val="uk-UA" w:eastAsia="uk-UA" w:bidi="ar-SA"/>
        </w:rPr>
        <w:t xml:space="preserve">Про внесення змін до деяких законів України щодо впорядкування окремих питань організації та діяльності органів місцевого самоврядування і районних державних адміністрацій», </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ДБН Б.2.2-12:2019 «Планування та забудова територій», Наказом Міністерства охорони здоров'я України від 19.06.1996 № 173 «Про затвердження Державних санітарних правил планування та забудови населених пунктів», розпорядженням Кабінету Міністрів України від 12 червня 2020 р.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w:t>
      </w:r>
      <w:r>
        <w:rPr>
          <w:sz w:val="28"/>
          <w:szCs w:val="28"/>
          <w:u w:val="none"/>
        </w:rPr>
        <w:t xml:space="preserve"> та ст</w:t>
      </w:r>
      <w:r>
        <w:rPr>
          <w:rFonts w:eastAsia="Times New Roman" w:cs="Times New Roman"/>
          <w:color w:val="auto"/>
          <w:sz w:val="28"/>
          <w:szCs w:val="28"/>
          <w:u w:val="none"/>
          <w:lang w:val="uk-UA" w:eastAsia="zh-CN" w:bidi="ar-SA"/>
        </w:rPr>
        <w:t>атт</w:t>
      </w:r>
      <w:r>
        <w:rPr>
          <w:rFonts w:eastAsia="Times New Roman" w:cs="Times New Roman"/>
          <w:color w:val="auto"/>
          <w:kern w:val="0"/>
          <w:sz w:val="28"/>
          <w:szCs w:val="28"/>
          <w:u w:val="none"/>
          <w:lang w:val="uk-UA" w:eastAsia="zh-CN" w:bidi="ar-SA"/>
        </w:rPr>
        <w:t>ями</w:t>
      </w:r>
      <w:r>
        <w:rPr>
          <w:sz w:val="28"/>
          <w:szCs w:val="28"/>
          <w:u w:val="none"/>
        </w:rPr>
        <w:t> 26, 59, пунктом 6.1 розділу</w:t>
      </w:r>
      <w:r>
        <w:rPr>
          <w:sz w:val="28"/>
          <w:szCs w:val="28"/>
          <w:u w:val="none"/>
          <w:lang w:val="en-US"/>
        </w:rPr>
        <w:t xml:space="preserve"> V</w:t>
      </w:r>
      <w:r>
        <w:rPr>
          <w:sz w:val="28"/>
          <w:szCs w:val="28"/>
          <w:u w:val="none"/>
          <w:lang w:val="uk-UA"/>
        </w:rPr>
        <w:t xml:space="preserve"> Прикінцевих та перехідних положень </w:t>
      </w:r>
      <w:r>
        <w:rPr>
          <w:sz w:val="28"/>
          <w:szCs w:val="28"/>
          <w:u w:val="none"/>
        </w:rPr>
        <w:t>Закону України «Про місцеве самоврядування в Україні», міська рада</w:t>
      </w:r>
    </w:p>
    <w:p>
      <w:pPr>
        <w:pStyle w:val="Normal"/>
        <w:widowControl/>
        <w:suppressAutoHyphens w:val="true"/>
        <w:bidi w:val="0"/>
        <w:ind w:left="0" w:right="0" w:firstLine="850"/>
        <w:jc w:val="both"/>
        <w:rPr>
          <w:sz w:val="28"/>
          <w:szCs w:val="28"/>
          <w:u w:val="none"/>
        </w:rPr>
      </w:pPr>
      <w:r>
        <w:rPr>
          <w:sz w:val="28"/>
          <w:szCs w:val="28"/>
          <w:u w:val="none"/>
        </w:rPr>
      </w:r>
    </w:p>
    <w:p>
      <w:pPr>
        <w:pStyle w:val="Normal"/>
        <w:jc w:val="both"/>
        <w:rPr>
          <w:szCs w:val="28"/>
          <w:u w:val="none"/>
          <w:lang w:val="en-US"/>
        </w:rPr>
      </w:pPr>
      <w:r>
        <w:rPr>
          <w:szCs w:val="28"/>
          <w:u w:val="none"/>
          <w:lang w:val="en-US"/>
        </w:rPr>
        <w:t>ВИРІШИЛА:</w:t>
      </w:r>
    </w:p>
    <w:p>
      <w:pPr>
        <w:pStyle w:val="Normal"/>
        <w:tabs>
          <w:tab w:val="clear" w:pos="708"/>
          <w:tab w:val="left" w:pos="1035" w:leader="none"/>
        </w:tabs>
        <w:ind w:left="0" w:right="43" w:hanging="0"/>
        <w:jc w:val="both"/>
        <w:rPr>
          <w:sz w:val="28"/>
          <w:szCs w:val="28"/>
        </w:rPr>
      </w:pPr>
      <w:r>
        <w:rPr>
          <w:sz w:val="28"/>
          <w:szCs w:val="28"/>
        </w:rPr>
      </w:r>
    </w:p>
    <w:p>
      <w:pPr>
        <w:pStyle w:val="Normal"/>
        <w:widowControl/>
        <w:tabs>
          <w:tab w:val="clear" w:pos="708"/>
          <w:tab w:val="left" w:pos="855" w:leader="none"/>
        </w:tabs>
        <w:suppressAutoHyphens w:val="true"/>
        <w:bidi w:val="0"/>
        <w:spacing w:before="0" w:after="0"/>
        <w:ind w:left="0" w:right="57" w:firstLine="567"/>
        <w:jc w:val="both"/>
        <w:rPr/>
      </w:pPr>
      <w:r>
        <w:rPr>
          <w:szCs w:val="28"/>
          <w:u w:val="none"/>
        </w:rPr>
        <w:t>1.</w:t>
      </w:r>
      <w:r>
        <w:rPr>
          <w:sz w:val="12"/>
          <w:szCs w:val="12"/>
          <w:u w:val="none"/>
        </w:rPr>
        <w:t> </w:t>
      </w:r>
      <w:r>
        <w:rPr>
          <w:rFonts w:eastAsia="Times New Roman" w:cs="Times New Roman"/>
          <w:color w:val="auto"/>
          <w:sz w:val="28"/>
          <w:szCs w:val="28"/>
          <w:u w:val="none"/>
          <w:lang w:val="uk-UA" w:eastAsia="zh-CN" w:bidi="ar-SA"/>
        </w:rPr>
        <w:t>Надати</w:t>
      </w:r>
      <w:r>
        <w:rPr>
          <w:spacing w:val="-4"/>
          <w:sz w:val="28"/>
          <w:szCs w:val="28"/>
          <w:u w:val="none"/>
        </w:rPr>
        <w:t xml:space="preserve"> </w:t>
      </w:r>
      <w:r>
        <w:rPr>
          <w:sz w:val="28"/>
          <w:szCs w:val="28"/>
          <w:u w:val="none"/>
        </w:rPr>
        <w:t>громадян</w:t>
      </w:r>
      <w:r>
        <w:rPr>
          <w:rFonts w:eastAsia="Times New Roman" w:cs="Times New Roman"/>
          <w:color w:val="auto"/>
          <w:kern w:val="0"/>
          <w:sz w:val="28"/>
          <w:szCs w:val="28"/>
          <w:u w:val="none"/>
          <w:lang w:val="uk-UA" w:eastAsia="zh-CN" w:bidi="ar-SA"/>
        </w:rPr>
        <w:t>ину Жуку Володимиру Володимировичу</w:t>
      </w:r>
      <w:r>
        <w:rPr>
          <w:sz w:val="28"/>
          <w:szCs w:val="28"/>
          <w:u w:val="none"/>
          <w:lang w:val="uk-UA"/>
        </w:rPr>
        <w:t xml:space="preserve"> </w:t>
      </w:r>
      <w:r>
        <w:rPr>
          <w:rFonts w:eastAsia="Times New Roman" w:cs="Times New Roman"/>
          <w:color w:val="auto"/>
          <w:sz w:val="28"/>
          <w:szCs w:val="28"/>
          <w:u w:val="none"/>
          <w:lang w:val="uk-UA" w:eastAsia="zh-CN" w:bidi="ar-SA"/>
        </w:rPr>
        <w:t>дозвіл</w:t>
      </w:r>
      <w:r>
        <w:rPr>
          <w:sz w:val="28"/>
          <w:szCs w:val="28"/>
          <w:u w:val="none"/>
          <w:lang w:val="uk-UA"/>
        </w:rPr>
        <w:t xml:space="preserve"> на розроблення проекту землеустрою щодо відведення </w:t>
      </w:r>
      <w:r>
        <w:rPr>
          <w:sz w:val="28"/>
          <w:szCs w:val="28"/>
          <w:u w:val="none"/>
        </w:rPr>
        <w:t xml:space="preserve">земельної ділянки у власність для </w:t>
      </w:r>
      <w:r>
        <w:rPr>
          <w:rFonts w:eastAsia="Times New Roman" w:cs="Times New Roman"/>
          <w:color w:val="auto"/>
          <w:kern w:val="0"/>
          <w:sz w:val="28"/>
          <w:szCs w:val="28"/>
          <w:u w:val="none"/>
          <w:lang w:val="uk-UA" w:eastAsia="zh-CN" w:bidi="ar-SA"/>
        </w:rPr>
        <w:t>індивідуального дачного будівництва</w:t>
      </w:r>
      <w:r>
        <w:rPr>
          <w:sz w:val="28"/>
          <w:szCs w:val="28"/>
          <w:u w:val="none"/>
        </w:rPr>
        <w:t xml:space="preserve"> </w:t>
      </w:r>
      <w:r>
        <w:rPr>
          <w:rFonts w:eastAsia="Times New Roman" w:cs="Times New Roman"/>
          <w:color w:val="auto"/>
          <w:sz w:val="28"/>
          <w:szCs w:val="28"/>
          <w:u w:val="none"/>
          <w:lang w:val="uk-UA" w:eastAsia="zh-CN" w:bidi="ar-SA"/>
        </w:rPr>
        <w:t xml:space="preserve">в с. </w:t>
      </w:r>
      <w:r>
        <w:rPr>
          <w:rFonts w:eastAsia="Times New Roman" w:cs="Times New Roman"/>
          <w:color w:val="auto"/>
          <w:kern w:val="0"/>
          <w:sz w:val="28"/>
          <w:szCs w:val="28"/>
          <w:u w:val="none"/>
          <w:lang w:val="uk-UA" w:eastAsia="zh-CN" w:bidi="ar-SA"/>
        </w:rPr>
        <w:t>Озерце</w:t>
      </w:r>
      <w:r>
        <w:rPr>
          <w:rFonts w:eastAsia="Times New Roman" w:cs="Times New Roman"/>
          <w:color w:val="auto"/>
          <w:sz w:val="28"/>
          <w:szCs w:val="28"/>
          <w:u w:val="none"/>
          <w:lang w:val="uk-UA" w:eastAsia="zh-CN" w:bidi="ar-SA"/>
        </w:rPr>
        <w:t xml:space="preserve"> Луцького району Волинської області орієнтовною площею </w:t>
      </w:r>
      <w:r>
        <w:rPr>
          <w:rFonts w:eastAsia="Times New Roman" w:cs="Times New Roman"/>
          <w:color w:val="auto"/>
          <w:kern w:val="0"/>
          <w:sz w:val="28"/>
          <w:szCs w:val="28"/>
          <w:u w:val="none"/>
          <w:lang w:val="uk-UA" w:eastAsia="zh-CN" w:bidi="ar-SA"/>
        </w:rPr>
        <w:t>0,10</w:t>
      </w:r>
      <w:r>
        <w:rPr>
          <w:rFonts w:eastAsia="Times New Roman" w:cs="Times New Roman"/>
          <w:color w:val="auto"/>
          <w:sz w:val="28"/>
          <w:szCs w:val="28"/>
          <w:u w:val="none"/>
          <w:lang w:val="uk-UA" w:eastAsia="zh-CN" w:bidi="ar-SA"/>
        </w:rPr>
        <w:t xml:space="preserve"> га, із земель комунальної власності Луцької міської територіальної громади.</w:t>
      </w:r>
    </w:p>
    <w:p>
      <w:pPr>
        <w:pStyle w:val="Normal"/>
        <w:widowControl/>
        <w:tabs>
          <w:tab w:val="clear" w:pos="708"/>
          <w:tab w:val="left" w:pos="855" w:leader="none"/>
        </w:tabs>
        <w:suppressAutoHyphens w:val="true"/>
        <w:bidi w:val="0"/>
        <w:spacing w:before="0" w:after="0"/>
        <w:ind w:left="0" w:right="57" w:firstLine="567"/>
        <w:jc w:val="both"/>
        <w:rPr/>
      </w:pPr>
      <w:r>
        <w:rPr>
          <w:rFonts w:eastAsia="Times New Roman" w:cs="Times New Roman"/>
          <w:color w:val="auto"/>
          <w:sz w:val="28"/>
          <w:szCs w:val="28"/>
          <w:u w:val="none"/>
          <w:lang w:val="uk-UA" w:eastAsia="zh-CN" w:bidi="ar-SA"/>
        </w:rPr>
        <w:t>2. </w:t>
      </w:r>
      <w:r>
        <w:rPr>
          <w:rFonts w:eastAsia="Times New Roman" w:cs="Times New Roman"/>
          <w:color w:val="auto"/>
          <w:kern w:val="0"/>
          <w:sz w:val="28"/>
          <w:szCs w:val="28"/>
          <w:u w:val="none"/>
          <w:lang w:val="uk-UA" w:eastAsia="zh-CN" w:bidi="ar-SA"/>
        </w:rPr>
        <w:t>Довести до відома</w:t>
      </w:r>
      <w:r>
        <w:rPr>
          <w:rFonts w:eastAsia="Times New Roman" w:cs="Times New Roman"/>
          <w:color w:val="auto"/>
          <w:sz w:val="28"/>
          <w:szCs w:val="28"/>
          <w:u w:val="none"/>
          <w:lang w:val="uk-UA" w:eastAsia="zh-CN" w:bidi="ar-SA"/>
        </w:rPr>
        <w:t xml:space="preserve"> громадян</w:t>
      </w:r>
      <w:r>
        <w:rPr>
          <w:rFonts w:eastAsia="Times New Roman" w:cs="Times New Roman"/>
          <w:color w:val="auto"/>
          <w:kern w:val="0"/>
          <w:sz w:val="28"/>
          <w:szCs w:val="28"/>
          <w:u w:val="none"/>
          <w:lang w:val="uk-UA" w:eastAsia="zh-CN" w:bidi="ar-SA"/>
        </w:rPr>
        <w:t>ина</w:t>
      </w:r>
      <w:r>
        <w:rPr>
          <w:rFonts w:eastAsia="Times New Roman" w:cs="Times New Roman"/>
          <w:color w:val="auto"/>
          <w:sz w:val="28"/>
          <w:szCs w:val="28"/>
          <w:u w:val="none"/>
          <w:lang w:val="uk-UA" w:eastAsia="zh-CN" w:bidi="ar-SA"/>
        </w:rPr>
        <w:t xml:space="preserve"> </w:t>
      </w:r>
      <w:r>
        <w:rPr>
          <w:rFonts w:eastAsia="Times New Roman" w:cs="Times New Roman"/>
          <w:color w:val="auto"/>
          <w:kern w:val="0"/>
          <w:sz w:val="28"/>
          <w:szCs w:val="28"/>
          <w:u w:val="none"/>
          <w:lang w:val="uk-UA" w:eastAsia="zh-CN" w:bidi="ar-SA"/>
        </w:rPr>
        <w:t xml:space="preserve">Жука Володимира Володимировича та розробника проекту землеустрою, що земельна ділянка щодо якої подана заява з графічним матеріалом в с. Озерце Луцького району Волинської області орієнтовною площею 0,10 га для індивідуального дачного будівництва, відповідно до генерального плану села Озерце, затвердженого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рішенням Озерцівської сільської ради від 23.10.2017 № 17-</w:t>
      </w:r>
      <w:r>
        <w:rPr>
          <w:rFonts w:eastAsia="Times New Roman" w:cs="Times New Roman"/>
          <w:b w:val="false"/>
          <w:bCs w:val="false"/>
          <w:i w:val="false"/>
          <w:caps w:val="false"/>
          <w:smallCaps w:val="false"/>
          <w:color w:val="000000"/>
          <w:spacing w:val="-2"/>
          <w:kern w:val="2"/>
          <w:sz w:val="10"/>
          <w:szCs w:val="10"/>
          <w:highlight w:val="white"/>
          <w:u w:val="none"/>
          <w:shd w:fill="FFFFFF" w:val="clear"/>
          <w:lang w:val="uk-UA" w:eastAsia="zh-CN" w:bidi="ar-SA"/>
        </w:rPr>
        <w:t>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4/2017 «</w:t>
      </w:r>
      <w:r>
        <w:rPr>
          <w:rFonts w:eastAsia="Times New Roman" w:cs="Times New Roman"/>
          <w:b w:val="false"/>
          <w:bCs w:val="false"/>
          <w:i w:val="false"/>
          <w:caps w:val="false"/>
          <w:smallCaps w:val="false"/>
          <w:color w:val="000000"/>
          <w:spacing w:val="-2"/>
          <w:kern w:val="0"/>
          <w:sz w:val="28"/>
          <w:szCs w:val="28"/>
          <w:highlight w:val="white"/>
          <w:u w:val="none"/>
          <w:shd w:fill="FFFFFF" w:val="clear"/>
          <w:lang w:val="uk-UA" w:eastAsia="zh-CN" w:bidi="ar-SA"/>
        </w:rPr>
        <w:t>Про затвердження містобудівної документації “Генеральний план с. Озерце”</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0"/>
          <w:sz w:val="28"/>
          <w:szCs w:val="28"/>
          <w:highlight w:val="white"/>
          <w:u w:val="none"/>
          <w:shd w:fill="FFFFFF" w:val="clear"/>
          <w:lang w:val="uk-UA" w:eastAsia="zh-CN" w:bidi="ar-SA"/>
        </w:rPr>
        <w:t xml:space="preserve"> </w:t>
      </w:r>
      <w:r>
        <w:rPr>
          <w:rFonts w:eastAsia="Times New Roman" w:cs="Times New Roman"/>
          <w:strike w:val="false"/>
          <w:dstrike w:val="false"/>
          <w:color w:val="auto"/>
          <w:kern w:val="0"/>
          <w:sz w:val="28"/>
          <w:szCs w:val="28"/>
          <w:u w:val="none"/>
          <w:lang w:val="uk-UA" w:eastAsia="zh-CN" w:bidi="ar-SA"/>
        </w:rPr>
        <w:t xml:space="preserve">знаходиться на території рекреаційного призначення де заборонена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господарська, інша діяльність, що негативно впливає на навколишнє природне середовище або може перешкодити використанню її за цільовим призначенням, зміну природного ландшафту та проведення інших дій, що суперечать використанню цих зон за прямим призначенням.</w:t>
      </w:r>
    </w:p>
    <w:p>
      <w:pPr>
        <w:pStyle w:val="Normal"/>
        <w:widowControl/>
        <w:tabs>
          <w:tab w:val="clear" w:pos="708"/>
          <w:tab w:val="left" w:pos="855" w:leader="none"/>
        </w:tabs>
        <w:suppressAutoHyphens w:val="true"/>
        <w:bidi w:val="0"/>
        <w:spacing w:before="0" w:after="0"/>
        <w:ind w:left="0" w:right="-57" w:firstLine="567"/>
        <w:jc w:val="both"/>
        <w:rPr>
          <w:sz w:val="28"/>
          <w:szCs w:val="28"/>
          <w:lang w:val="uk-UA"/>
        </w:rPr>
      </w:pPr>
      <w:r>
        <w:rPr>
          <w:rFonts w:eastAsia="Times New Roman" w:cs="Times New Roman"/>
          <w:color w:val="auto"/>
          <w:kern w:val="0"/>
          <w:sz w:val="28"/>
          <w:szCs w:val="28"/>
          <w:u w:val="none"/>
          <w:lang w:val="uk-UA" w:eastAsia="zh-CN" w:bidi="ar-SA"/>
        </w:rPr>
        <w:t>3</w:t>
      </w:r>
      <w:r>
        <w:rPr>
          <w:sz w:val="28"/>
          <w:szCs w:val="28"/>
        </w:rPr>
        <w:t>. </w:t>
      </w:r>
      <w:r>
        <w:rPr>
          <w:sz w:val="28"/>
          <w:szCs w:val="28"/>
          <w:lang w:val="uk-UA"/>
        </w:rPr>
        <w:t>К</w:t>
      </w:r>
      <w:r>
        <w:rPr>
          <w:szCs w:val="28"/>
        </w:rPr>
        <w:t>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left="0" w:right="0" w:firstLine="763"/>
        <w:jc w:val="both"/>
        <w:rPr>
          <w:sz w:val="30"/>
          <w:szCs w:val="30"/>
          <w:lang w:val="ru-RU"/>
        </w:rPr>
      </w:pPr>
      <w:r>
        <w:rPr>
          <w:sz w:val="30"/>
          <w:szCs w:val="30"/>
          <w:lang w:val="ru-RU"/>
        </w:rPr>
      </w:r>
    </w:p>
    <w:p>
      <w:pPr>
        <w:pStyle w:val="Normal"/>
        <w:bidi w:val="0"/>
        <w:ind w:left="0" w:right="0" w:firstLine="680"/>
        <w:jc w:val="both"/>
        <w:rPr>
          <w:sz w:val="28"/>
          <w:szCs w:val="28"/>
          <w:lang w:val="ru-RU"/>
        </w:rPr>
      </w:pPr>
      <w:r>
        <w:rPr>
          <w:sz w:val="28"/>
          <w:szCs w:val="28"/>
          <w:lang w:val="ru-RU"/>
        </w:rPr>
      </w:r>
    </w:p>
    <w:p>
      <w:pPr>
        <w:pStyle w:val="Normal"/>
        <w:widowControl w:val="false"/>
        <w:overflowPunct w:val="true"/>
        <w:ind w:left="0" w:right="-868" w:hanging="0"/>
        <w:jc w:val="both"/>
        <w:rPr/>
      </w:pPr>
      <w:r>
        <w:rPr>
          <w:rFonts w:eastAsia="Times New Roman" w:cs="Times New Roman"/>
          <w:color w:val="auto"/>
          <w:sz w:val="28"/>
          <w:szCs w:val="28"/>
          <w:lang w:val="uk-UA" w:eastAsia="zh-CN" w:bidi="ar-SA"/>
        </w:rPr>
        <w:t>Міський голова</w:t>
      </w:r>
      <w:r>
        <w:rPr>
          <w:sz w:val="28"/>
          <w:szCs w:val="28"/>
          <w:lang w:val="ru-RU"/>
        </w:rPr>
        <w:t xml:space="preserve">                                                                             </w:t>
      </w:r>
      <w:r>
        <w:rPr>
          <w:rFonts w:eastAsia="Times New Roman" w:cs="Times New Roman"/>
          <w:color w:val="auto"/>
          <w:sz w:val="28"/>
          <w:szCs w:val="28"/>
          <w:lang w:val="uk-UA" w:eastAsia="zh-CN" w:bidi="ar-SA"/>
        </w:rPr>
        <w:t>Ігор ПОЛІЩУК</w:t>
      </w:r>
    </w:p>
    <w:p>
      <w:pPr>
        <w:pStyle w:val="Normal"/>
        <w:widowControl w:val="false"/>
        <w:overflowPunct w:val="true"/>
        <w:ind w:left="0" w:right="-868" w:hanging="0"/>
        <w:jc w:val="both"/>
        <w:rPr/>
      </w:pPr>
      <w:r>
        <w:rPr/>
      </w:r>
    </w:p>
    <w:p>
      <w:pPr>
        <w:pStyle w:val="Normal"/>
        <w:widowControl w:val="false"/>
        <w:overflowPunct w:val="true"/>
        <w:ind w:left="0" w:right="-868" w:hanging="0"/>
        <w:jc w:val="both"/>
        <w:rPr>
          <w:rFonts w:ascii="Times New Roman" w:hAnsi="Times New Roman" w:eastAsia="Times New Roman" w:cs="Times New Roman"/>
          <w:color w:val="auto"/>
          <w:kern w:val="0"/>
          <w:sz w:val="24"/>
          <w:szCs w:val="24"/>
          <w:lang w:val="en-US" w:eastAsia="zh-CN" w:bidi="ar-SA"/>
        </w:rPr>
      </w:pPr>
      <w:r>
        <w:rPr>
          <w:rFonts w:eastAsia="Times New Roman" w:cs="Times New Roman"/>
          <w:color w:val="auto"/>
          <w:kern w:val="0"/>
          <w:sz w:val="24"/>
          <w:szCs w:val="24"/>
          <w:lang w:val="en-US" w:eastAsia="zh-CN" w:bidi="ar-SA"/>
        </w:rPr>
      </w:r>
    </w:p>
    <w:p>
      <w:pPr>
        <w:pStyle w:val="Normal"/>
        <w:widowControl w:val="false"/>
        <w:overflowPunct w:val="true"/>
        <w:ind w:left="0" w:right="-868" w:hanging="0"/>
        <w:jc w:val="both"/>
        <w:rPr>
          <w:rFonts w:ascii="Times New Roman" w:hAnsi="Times New Roman"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WWWW8Num1ztrue7111111111111111111111111111111111111">
    <w:name w:val="WW-WW8Num1ztrue7111111111111111111111111111111111111"/>
    <w:qFormat/>
    <w:rPr/>
  </w:style>
  <w:style w:type="character" w:styleId="WWWW8Num1ztrue11111111111111111111111111111111111111">
    <w:name w:val="WW-WW8Num1ztrue11111111111111111111111111111111111111"/>
    <w:qFormat/>
    <w:rPr/>
  </w:style>
  <w:style w:type="character" w:styleId="WWWW8Num1ztrue21111111111111111111111111111111111111">
    <w:name w:val="WW-WW8Num1ztrue21111111111111111111111111111111111111"/>
    <w:qFormat/>
    <w:rPr/>
  </w:style>
  <w:style w:type="character" w:styleId="WWWW8Num1ztrue31111111111111111111111111111111111111">
    <w:name w:val="WW-WW8Num1ztrue31111111111111111111111111111111111111"/>
    <w:qFormat/>
    <w:rPr/>
  </w:style>
  <w:style w:type="character" w:styleId="WWWW8Num1ztrue41111111111111111111111111111111111111">
    <w:name w:val="WW-WW8Num1ztrue41111111111111111111111111111111111111"/>
    <w:qFormat/>
    <w:rPr/>
  </w:style>
  <w:style w:type="character" w:styleId="WWWW8Num1ztrue51111111111111111111111111111111111111">
    <w:name w:val="WW-WW8Num1ztrue51111111111111111111111111111111111111"/>
    <w:qFormat/>
    <w:rPr/>
  </w:style>
  <w:style w:type="character" w:styleId="WWWW8Num1ztrue61111111111111111111111111111111111111">
    <w:name w:val="WW-WW8Num1ztrue61111111111111111111111111111111111111"/>
    <w:qFormat/>
    <w:rPr/>
  </w:style>
  <w:style w:type="character" w:styleId="WWWW8Num1ztrue71111111111111111111111111111111111111">
    <w:name w:val="WW-WW8Num1ztrue71111111111111111111111111111111111111"/>
    <w:qFormat/>
    <w:rPr/>
  </w:style>
  <w:style w:type="character" w:styleId="WWWW8Num1ztrue111111111111111111111111111111111111111">
    <w:name w:val="WW-WW8Num1ztrue111111111111111111111111111111111111111"/>
    <w:qFormat/>
    <w:rPr/>
  </w:style>
  <w:style w:type="character" w:styleId="WWWW8Num1ztrue211111111111111111111111111111111111111">
    <w:name w:val="WW-WW8Num1ztrue211111111111111111111111111111111111111"/>
    <w:qFormat/>
    <w:rPr/>
  </w:style>
  <w:style w:type="character" w:styleId="WWWW8Num1ztrue311111111111111111111111111111111111111">
    <w:name w:val="WW-WW8Num1ztrue311111111111111111111111111111111111111"/>
    <w:qFormat/>
    <w:rPr/>
  </w:style>
  <w:style w:type="character" w:styleId="WWWW8Num1ztrue411111111111111111111111111111111111111">
    <w:name w:val="WW-WW8Num1ztrue411111111111111111111111111111111111111"/>
    <w:qFormat/>
    <w:rPr/>
  </w:style>
  <w:style w:type="character" w:styleId="WWWW8Num1ztrue511111111111111111111111111111111111111">
    <w:name w:val="WW-WW8Num1ztrue511111111111111111111111111111111111111"/>
    <w:qFormat/>
    <w:rPr/>
  </w:style>
  <w:style w:type="character" w:styleId="WWWW8Num1ztrue611111111111111111111111111111111111111">
    <w:name w:val="WW-WW8Num1ztrue611111111111111111111111111111111111111"/>
    <w:qFormat/>
    <w:rPr/>
  </w:style>
  <w:style w:type="character" w:styleId="WWWW8Num1ztrue711111111111111111111111111111111111111">
    <w:name w:val="WW-WW8Num1ztrue711111111111111111111111111111111111111"/>
    <w:qFormat/>
    <w:rPr/>
  </w:style>
  <w:style w:type="character" w:styleId="WWWW8Num1ztrue1111111111111111111111111111111111111111">
    <w:name w:val="WW-WW8Num1ztrue1111111111111111111111111111111111111111"/>
    <w:qFormat/>
    <w:rPr/>
  </w:style>
  <w:style w:type="character" w:styleId="WWWW8Num1ztrue2111111111111111111111111111111111111111">
    <w:name w:val="WW-WW8Num1ztrue2111111111111111111111111111111111111111"/>
    <w:qFormat/>
    <w:rPr/>
  </w:style>
  <w:style w:type="character" w:styleId="WWWW8Num1ztrue3111111111111111111111111111111111111111">
    <w:name w:val="WW-WW8Num1ztrue3111111111111111111111111111111111111111"/>
    <w:qFormat/>
    <w:rPr/>
  </w:style>
  <w:style w:type="character" w:styleId="WWWW8Num1ztrue4111111111111111111111111111111111111111">
    <w:name w:val="WW-WW8Num1ztrue4111111111111111111111111111111111111111"/>
    <w:qFormat/>
    <w:rPr/>
  </w:style>
  <w:style w:type="character" w:styleId="WWWW8Num1ztrue5111111111111111111111111111111111111111">
    <w:name w:val="WW-WW8Num1ztrue5111111111111111111111111111111111111111"/>
    <w:qFormat/>
    <w:rPr/>
  </w:style>
  <w:style w:type="character" w:styleId="WWWW8Num1ztrue6111111111111111111111111111111111111111">
    <w:name w:val="WW-WW8Num1ztrue6111111111111111111111111111111111111111"/>
    <w:qFormat/>
    <w:rPr/>
  </w:style>
  <w:style w:type="character" w:styleId="Style12">
    <w:name w:val="Основной шрифт абзаца"/>
    <w:qFormat/>
    <w:rPr/>
  </w:style>
  <w:style w:type="character" w:styleId="Style13">
    <w:name w:val="Символ нумерации"/>
    <w:qFormat/>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character" w:styleId="WW8Num2z3">
    <w:name w:val="WW8Num2z3"/>
    <w:qFormat/>
    <w:rPr/>
  </w:style>
  <w:style w:type="character" w:styleId="WW8Num2z2">
    <w:name w:val="WW8Num2z2"/>
    <w:qFormat/>
    <w:rPr/>
  </w:style>
  <w:style w:type="character" w:styleId="WW8Num2z1">
    <w:name w:val="WW8Num2z1"/>
    <w:qFormat/>
    <w:rPr/>
  </w:style>
  <w:style w:type="character" w:styleId="WW8Num2z0">
    <w:name w:val="WW8Num2z0"/>
    <w:qFormat/>
    <w:rPr/>
  </w:style>
  <w:style w:type="paragraph" w:styleId="Style14">
    <w:name w:val="Заголовок"/>
    <w:basedOn w:val="Normal"/>
    <w:next w:val="Style15"/>
    <w:qFormat/>
    <w:pPr>
      <w:keepNext w:val="true"/>
      <w:spacing w:before="240" w:after="120"/>
    </w:pPr>
    <w:rPr>
      <w:rFonts w:ascii="Arial" w:hAnsi="Arial" w:eastAsia="Arial Unicode MS" w:cs="Mangal"/>
      <w:sz w:val="28"/>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Style19">
    <w:name w:val="Название"/>
    <w:basedOn w:val="Normal"/>
    <w:qFormat/>
    <w:pPr>
      <w:suppressLineNumbers/>
      <w:spacing w:before="120" w:after="120"/>
    </w:pPr>
    <w:rPr>
      <w:rFonts w:cs="Mangal"/>
      <w:i/>
      <w:iCs/>
      <w:sz w:val="24"/>
      <w:szCs w:val="24"/>
    </w:rPr>
  </w:style>
  <w:style w:type="paragraph" w:styleId="Style20">
    <w:name w:val="Указатель"/>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Style22">
    <w:name w:val="Цитата"/>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23">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4">
    <w:name w:val="Footer"/>
    <w:basedOn w:val="Normal"/>
    <w:pPr>
      <w:suppressLineNumbers/>
      <w:tabs>
        <w:tab w:val="clear" w:pos="708"/>
        <w:tab w:val="center" w:pos="4677" w:leader="none"/>
        <w:tab w:val="right" w:pos="9354"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1678</TotalTime>
  <Application>LibreOffice/7.1.3.2$Windows_X86_64 LibreOffice_project/47f78053abe362b9384784d31a6e56f8511eb1c1</Application>
  <AppVersion>15.0000</AppVersion>
  <Pages>2</Pages>
  <Words>519</Words>
  <Characters>3564</Characters>
  <CharactersWithSpaces>4285</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dcterms:modified xsi:type="dcterms:W3CDTF">2022-07-12T11:38:16Z</dcterms:modified>
  <cp:revision>264</cp:revision>
  <dc:subject/>
  <dc:title/>
</cp:coreProperties>
</file>

<file path=docProps/custom.xml><?xml version="1.0" encoding="utf-8"?>
<Properties xmlns="http://schemas.openxmlformats.org/officeDocument/2006/custom-properties" xmlns:vt="http://schemas.openxmlformats.org/officeDocument/2006/docPropsVTypes"/>
</file>