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40" w:before="0" w:after="0"/>
        <w:ind w:firstLine="720"/>
        <w:jc w:val="center"/>
        <w:rPr>
          <w:b w:val="false"/>
          <w:b w:val="false"/>
          <w:bCs w:val="false"/>
        </w:rPr>
      </w:pPr>
      <w:r>
        <w:rPr>
          <w:rFonts w:ascii="Times New Roman" w:hAnsi="Times New Roman"/>
          <w:b w:val="false"/>
          <w:bCs w:val="false"/>
          <w:sz w:val="28"/>
          <w:szCs w:val="28"/>
          <w:lang w:val="uk-UA" w:eastAsia="ru-RU"/>
        </w:rPr>
        <w:t xml:space="preserve">Пояснювальна записка </w:t>
      </w:r>
    </w:p>
    <w:p>
      <w:pPr>
        <w:pStyle w:val="Normal"/>
        <w:spacing w:lineRule="auto" w:line="240" w:before="0" w:after="0"/>
        <w:ind w:firstLine="720"/>
        <w:jc w:val="center"/>
        <w:rPr>
          <w:b w:val="false"/>
          <w:b w:val="false"/>
          <w:bCs w:val="false"/>
        </w:rPr>
      </w:pPr>
      <w:r>
        <w:rPr>
          <w:rFonts w:ascii="Times New Roman" w:hAnsi="Times New Roman"/>
          <w:b w:val="false"/>
          <w:bCs w:val="false"/>
          <w:sz w:val="28"/>
          <w:szCs w:val="28"/>
          <w:lang w:val="uk-UA" w:eastAsia="ru-RU"/>
        </w:rPr>
        <w:t>до  проєкту рішення виконавчого комітету</w:t>
      </w:r>
    </w:p>
    <w:p>
      <w:pPr>
        <w:pStyle w:val="Style26"/>
        <w:spacing w:before="0" w:after="0"/>
        <w:jc w:val="center"/>
        <w:textAlignment w:val="baseline"/>
        <w:rPr>
          <w:rFonts w:ascii="Times New Roman" w:hAnsi="Times New Roman"/>
        </w:rPr>
      </w:pPr>
      <w:r>
        <w:rPr>
          <w:rFonts w:ascii="Times New Roman" w:hAnsi="Times New Roman"/>
          <w:sz w:val="28"/>
          <w:szCs w:val="28"/>
        </w:rPr>
        <w:t xml:space="preserve">«Про встановлення </w:t>
      </w:r>
      <w:r>
        <w:rPr>
          <w:rFonts w:ascii="Times New Roman" w:hAnsi="Times New Roman"/>
          <w:sz w:val="28"/>
          <w:szCs w:val="28"/>
          <w:lang w:val="uk-UA"/>
        </w:rPr>
        <w:t>т</w:t>
      </w:r>
      <w:r>
        <w:rPr>
          <w:rFonts w:ascii="Times New Roman" w:hAnsi="Times New Roman"/>
          <w:sz w:val="28"/>
          <w:szCs w:val="28"/>
        </w:rPr>
        <w:t xml:space="preserve">арифів </w:t>
      </w:r>
      <w:r>
        <w:rPr>
          <w:rFonts w:ascii="Times New Roman" w:hAnsi="Times New Roman"/>
          <w:sz w:val="28"/>
          <w:lang w:val="uk-UA"/>
        </w:rPr>
        <w:t>н</w:t>
      </w:r>
      <w:r>
        <w:rPr>
          <w:rFonts w:ascii="Times New Roman" w:hAnsi="Times New Roman"/>
          <w:sz w:val="28"/>
        </w:rPr>
        <w:t>а теплову енергію та послуги</w:t>
      </w:r>
      <w:r>
        <w:rPr>
          <w:rFonts w:ascii="Times New Roman" w:hAnsi="Times New Roman"/>
          <w:sz w:val="28"/>
          <w:szCs w:val="28"/>
        </w:rPr>
        <w:t>,</w:t>
      </w:r>
      <w:r>
        <w:rPr>
          <w:rFonts w:ascii="Times New Roman" w:hAnsi="Times New Roman"/>
          <w:sz w:val="28"/>
          <w:szCs w:val="28"/>
          <w:lang w:val="uk-UA"/>
        </w:rPr>
        <w:t xml:space="preserve"> </w:t>
      </w:r>
      <w:r>
        <w:rPr>
          <w:rFonts w:ascii="Times New Roman" w:hAnsi="Times New Roman"/>
          <w:b w:val="false"/>
          <w:bCs w:val="false"/>
          <w:sz w:val="28"/>
          <w:szCs w:val="28"/>
          <w:lang w:val="uk-UA" w:eastAsia="ru-RU"/>
        </w:rPr>
        <w:t>що надаються ДКП «Луцьктепло»</w:t>
      </w:r>
    </w:p>
    <w:p>
      <w:pPr>
        <w:pStyle w:val="Normal"/>
        <w:spacing w:lineRule="auto" w:line="240" w:before="0" w:after="0"/>
        <w:ind w:firstLine="720"/>
        <w:jc w:val="center"/>
        <w:rPr>
          <w:rFonts w:ascii="Times New Roman" w:hAnsi="Times New Roman"/>
          <w:bCs/>
          <w:sz w:val="26"/>
          <w:szCs w:val="26"/>
          <w:lang w:val="uk-UA" w:eastAsia="ru-RU"/>
        </w:rPr>
      </w:pPr>
      <w:r>
        <w:rPr>
          <w:rFonts w:ascii="Times New Roman" w:hAnsi="Times New Roman"/>
          <w:bCs/>
          <w:sz w:val="26"/>
          <w:szCs w:val="26"/>
          <w:lang w:val="uk-UA" w:eastAsia="ru-RU"/>
        </w:rPr>
      </w:r>
    </w:p>
    <w:p>
      <w:pPr>
        <w:pStyle w:val="Normal"/>
        <w:spacing w:lineRule="auto" w:line="240" w:before="0" w:after="0"/>
        <w:ind w:firstLine="567"/>
        <w:jc w:val="both"/>
        <w:rPr/>
      </w:pPr>
      <w:r>
        <w:rPr>
          <w:rFonts w:ascii="Times New Roman" w:hAnsi="Times New Roman"/>
          <w:bCs/>
          <w:sz w:val="28"/>
          <w:szCs w:val="28"/>
          <w:lang w:val="uk-UA" w:eastAsia="ru-RU"/>
        </w:rPr>
        <w:t>Розрахунки тарифів на послуги з постачання теплової енергії та гарячого водопостачання здійснено ДКП “Луцьктепло” відповідно до вимог постанови Кабінету Міністрів України від 01.06.2011 № 869 «</w:t>
      </w:r>
      <w:r>
        <w:rPr>
          <w:rStyle w:val="Rvts23"/>
          <w:rFonts w:ascii="Times New Roman" w:hAnsi="Times New Roman"/>
          <w:sz w:val="28"/>
          <w:szCs w:val="28"/>
        </w:rPr>
        <w:t>Про забезпечення єдиного підходу до формування тарифів на комунальні послуги</w:t>
      </w:r>
      <w:r>
        <w:rPr>
          <w:rStyle w:val="Rvts23"/>
          <w:rFonts w:ascii="Times New Roman" w:hAnsi="Times New Roman"/>
          <w:sz w:val="28"/>
          <w:szCs w:val="28"/>
          <w:lang w:val="uk-UA"/>
        </w:rPr>
        <w:t>». Т</w:t>
      </w:r>
      <w:r>
        <w:rPr>
          <w:rFonts w:ascii="Times New Roman" w:hAnsi="Times New Roman"/>
          <w:bCs/>
          <w:sz w:val="28"/>
          <w:szCs w:val="28"/>
          <w:lang w:val="uk-UA" w:eastAsia="ru-RU"/>
        </w:rPr>
        <w:t>арифи на теплову енергію визначено як сума тарифів на:</w:t>
      </w:r>
    </w:p>
    <w:p>
      <w:pPr>
        <w:pStyle w:val="ListParagraph"/>
        <w:spacing w:lineRule="auto" w:line="240" w:before="0" w:after="0"/>
        <w:ind w:left="0" w:firstLine="567"/>
        <w:contextualSpacing/>
        <w:jc w:val="both"/>
        <w:rPr>
          <w:rFonts w:ascii="Times New Roman" w:hAnsi="Times New Roman"/>
          <w:bCs/>
          <w:sz w:val="28"/>
          <w:szCs w:val="28"/>
          <w:lang w:val="uk-UA" w:eastAsia="ru-RU"/>
        </w:rPr>
      </w:pPr>
      <w:r>
        <w:rPr>
          <w:rFonts w:ascii="Times New Roman" w:hAnsi="Times New Roman"/>
          <w:bCs/>
          <w:sz w:val="28"/>
          <w:szCs w:val="28"/>
          <w:lang w:val="uk-UA" w:eastAsia="ru-RU"/>
        </w:rPr>
        <w:t>виробництво теплової енергії, транспортування теплової енергії без урахування витрат на утримання та ремонт центральних теплових пунктів, постачання теплової енергії з урахуванням витрат на утримання індивідуальних теплових пунктів;</w:t>
      </w:r>
    </w:p>
    <w:p>
      <w:pPr>
        <w:pStyle w:val="ListParagraph"/>
        <w:spacing w:lineRule="auto" w:line="240" w:before="0" w:after="0"/>
        <w:ind w:left="0" w:firstLine="567"/>
        <w:contextualSpacing/>
        <w:jc w:val="both"/>
        <w:rPr>
          <w:rFonts w:ascii="Times New Roman" w:hAnsi="Times New Roman"/>
          <w:bCs/>
          <w:sz w:val="28"/>
          <w:szCs w:val="28"/>
          <w:lang w:val="uk-UA" w:eastAsia="ru-RU"/>
        </w:rPr>
      </w:pPr>
      <w:r>
        <w:rPr>
          <w:rFonts w:ascii="Times New Roman" w:hAnsi="Times New Roman"/>
          <w:bCs/>
          <w:sz w:val="28"/>
          <w:szCs w:val="28"/>
          <w:lang w:val="uk-UA" w:eastAsia="ru-RU"/>
        </w:rPr>
        <w:t>виробництво теплової енергії, транспортування теплової енергії з урахуванням витрат на утримання центральних теплових пунктів, постачання теплової енергії без урахування витрат на утримання індивідуальних теплових пунктів;</w:t>
      </w:r>
    </w:p>
    <w:p>
      <w:pPr>
        <w:pStyle w:val="ListParagraph"/>
        <w:spacing w:lineRule="auto" w:line="240" w:before="0" w:after="0"/>
        <w:ind w:left="0" w:firstLine="567"/>
        <w:contextualSpacing/>
        <w:jc w:val="both"/>
        <w:rPr>
          <w:rFonts w:ascii="Times New Roman" w:hAnsi="Times New Roman"/>
          <w:bCs/>
          <w:sz w:val="28"/>
          <w:szCs w:val="28"/>
          <w:lang w:val="uk-UA" w:eastAsia="ru-RU"/>
        </w:rPr>
      </w:pPr>
      <w:r>
        <w:rPr>
          <w:rFonts w:ascii="Times New Roman" w:hAnsi="Times New Roman"/>
          <w:bCs/>
          <w:sz w:val="28"/>
          <w:szCs w:val="28"/>
          <w:lang w:val="uk-UA" w:eastAsia="ru-RU"/>
        </w:rPr>
        <w:t>виробництво теплової енергії, транспортування теплової енергії без урахування витрат на утримання центральних теплових пунктів, постачання теплової енергії без урахування витрат на утримання індивідуальних теплових пунктів;</w:t>
      </w:r>
    </w:p>
    <w:p>
      <w:pPr>
        <w:pStyle w:val="ListParagraph"/>
        <w:spacing w:lineRule="auto" w:line="240" w:before="0" w:after="0"/>
        <w:ind w:left="0" w:firstLine="567"/>
        <w:contextualSpacing/>
        <w:jc w:val="both"/>
        <w:rPr/>
      </w:pPr>
      <w:r>
        <w:rPr>
          <w:rFonts w:ascii="Times New Roman" w:hAnsi="Times New Roman"/>
          <w:bCs/>
          <w:sz w:val="28"/>
          <w:szCs w:val="28"/>
          <w:lang w:val="uk-UA" w:eastAsia="ru-RU"/>
        </w:rPr>
        <w:t>виробництво теплової енергії та її постачання у будинках, обладнаних системою автономного опалення (САО). Таких систем на балансі ДКП «Луцьктепло» 7, зокрема, за адресами: вул. Гордіюк, 20, вул. Дубнівська 15, вул. Ковельська 47а, вул. Кравчука, 11б, вул. Кравчука, 11в, вул. Героїв-Добровольців, 4в, вул. Героїв-Добровольців, 4д. Відповідно, розраховано тарифи на теплову енергію та постачання теплової енергії індивідуально по кожному будинку.</w:t>
      </w:r>
    </w:p>
    <w:p>
      <w:pPr>
        <w:pStyle w:val="Normal"/>
        <w:spacing w:lineRule="auto" w:line="240" w:before="0" w:after="0"/>
        <w:ind w:firstLine="567"/>
        <w:jc w:val="both"/>
        <w:rPr/>
      </w:pPr>
      <w:r>
        <w:rPr>
          <w:rFonts w:ascii="Times New Roman" w:hAnsi="Times New Roman"/>
          <w:bCs/>
          <w:sz w:val="28"/>
          <w:szCs w:val="28"/>
          <w:lang w:val="uk-UA" w:eastAsia="ru-RU"/>
        </w:rPr>
        <w:t xml:space="preserve">Тарифи на надання послуг з постачання гарячої води сформовано окремо для систем автономного опалення, які перебувають у власності та/або користуванні ДКП «Луцьктепло». Так, на балансі ДКП «Луцьктепло» станом на 01.09.2022 перебуває 223 ІТП. </w:t>
      </w:r>
    </w:p>
    <w:p>
      <w:pPr>
        <w:pStyle w:val="Normal"/>
        <w:spacing w:lineRule="auto" w:line="240" w:before="0" w:after="0"/>
        <w:ind w:firstLine="567"/>
        <w:jc w:val="both"/>
        <w:rPr>
          <w:rFonts w:ascii="Times New Roman" w:hAnsi="Times New Roman"/>
          <w:bCs/>
          <w:sz w:val="28"/>
          <w:szCs w:val="28"/>
          <w:lang w:val="uk-UA" w:eastAsia="ru-RU"/>
        </w:rPr>
      </w:pPr>
      <w:r>
        <w:rPr>
          <w:rFonts w:ascii="Times New Roman" w:hAnsi="Times New Roman"/>
          <w:bCs/>
          <w:sz w:val="28"/>
          <w:szCs w:val="28"/>
          <w:lang w:val="uk-UA" w:eastAsia="ru-RU"/>
        </w:rPr>
        <w:t>Усі розрахунки проведено відповідно до затверджених форм до наказів Міністерства регіонального розвитку будівництва та житлово-комунального господарства України від 12.09.2018 № 239 «Про затвердження Порядку розгляду органами місцевого самоврядування розрахунків тарифів на теплову енергію, її виробництво, транспортування та постачання, а також розрахунків тарифів на комунальні послуги, поданих для їх встановлення» та від 17.07.2019 № 162 «Про затвердження Примірних форм, необхідних для розрахунку двоставкових тарифів на теплову енергію, послуги з постачання теплової енергії і постачання гарячої води», та рішення виконавчого комітету Луцької міської ради від 17.08.2020 № 418-1 «Про затвердження форм для розрахунку тарифів на послуги з постачання теплової енергії та постачання гарячої води»).</w:t>
      </w:r>
    </w:p>
    <w:p>
      <w:pPr>
        <w:pStyle w:val="Normal"/>
        <w:spacing w:lineRule="auto" w:line="240" w:before="0" w:after="0"/>
        <w:ind w:firstLine="567"/>
        <w:jc w:val="both"/>
        <w:rPr/>
      </w:pPr>
      <w:r>
        <w:rPr>
          <w:rFonts w:ascii="Times New Roman" w:hAnsi="Times New Roman"/>
          <w:bCs/>
          <w:sz w:val="28"/>
          <w:szCs w:val="28"/>
          <w:lang w:val="uk-UA" w:eastAsia="ru-RU"/>
        </w:rPr>
        <w:t xml:space="preserve">Розрахунок річного корисного відпуску теплової енергії на потреби опалення, вентиляції та гарячого водопостачання виконаний на підставі вимог постанови КМУ від 01.06.2011 № 869, з урахуванням фактичних за останні </w:t>
        <w:br/>
        <w:t>5 років та прогнозованих обсягів виробництва та споживання теплової енергії з урахуванням укладених із споживачами договорів.</w:t>
      </w:r>
    </w:p>
    <w:p>
      <w:pPr>
        <w:pStyle w:val="Normal"/>
        <w:spacing w:lineRule="auto" w:line="240" w:before="0" w:after="0"/>
        <w:ind w:firstLine="567"/>
        <w:jc w:val="both"/>
        <w:rPr/>
      </w:pPr>
      <w:r>
        <w:rPr>
          <w:rFonts w:ascii="Times New Roman" w:hAnsi="Times New Roman"/>
          <w:bCs/>
          <w:sz w:val="28"/>
          <w:szCs w:val="28"/>
          <w:lang w:val="uk-UA" w:eastAsia="ru-RU"/>
        </w:rPr>
        <w:t>Розрахунок питомих витрат палива здійснений відповідно до Міжгалузевих норм витрат палива для опалювальних котлів, які експлуатуються в Україні, затверджених Наказом Держкоменергозбереження від 07.05.2001 № 46, Галузевої методики нормування витрат палива на виробництво та відпуск теплової енергії котельнями теплового господарства КТМ 204 України 246-99; Норм та вказівок по нормуванню витрат палива та теплової енергії на опалення житлових та громадських споруд, а також на господарсько – побутові потреби в Україні» КТМ 204 України 244-94.</w:t>
      </w:r>
    </w:p>
    <w:p>
      <w:pPr>
        <w:pStyle w:val="NormalWeb"/>
        <w:spacing w:before="0" w:after="0"/>
        <w:ind w:firstLine="567"/>
        <w:jc w:val="both"/>
        <w:textAlignment w:val="baseline"/>
        <w:rPr>
          <w:lang w:val="uk-UA"/>
        </w:rPr>
      </w:pPr>
      <w:r>
        <w:rPr>
          <w:bCs/>
          <w:sz w:val="28"/>
          <w:szCs w:val="28"/>
          <w:lang w:val="uk-UA" w:eastAsia="ru-RU"/>
        </w:rPr>
        <w:t xml:space="preserve">Діючі тарифи ДКП «Луцьктепло», затверджені рішеннями виконавчого комітету Луцької міської ради від </w:t>
      </w:r>
      <w:r>
        <w:rPr>
          <w:sz w:val="28"/>
          <w:szCs w:val="28"/>
          <w:lang w:val="uk-UA"/>
        </w:rPr>
        <w:t>30.09.2021 № 775-1 «Про встановлення тарифів на теплову енергію та послуги, що надаються ДКП «Луцьктепло»</w:t>
      </w:r>
      <w:r>
        <w:rPr>
          <w:bCs/>
          <w:sz w:val="28"/>
          <w:szCs w:val="28"/>
          <w:lang w:val="uk-UA" w:eastAsia="ru-RU"/>
        </w:rPr>
        <w:t xml:space="preserve"> для категорії населення та від </w:t>
      </w:r>
      <w:r>
        <w:rPr>
          <w:sz w:val="28"/>
          <w:szCs w:val="28"/>
          <w:lang w:val="uk-UA"/>
        </w:rPr>
        <w:t>18.05.2022 № 232-1 «Про встановлення коригованих тарифів</w:t>
      </w:r>
      <w:r>
        <w:rPr>
          <w:lang w:val="uk-UA"/>
        </w:rPr>
        <w:t xml:space="preserve"> </w:t>
      </w:r>
      <w:r>
        <w:rPr>
          <w:sz w:val="28"/>
          <w:lang w:val="uk-UA"/>
        </w:rPr>
        <w:t>на теплову енергію та послуги</w:t>
      </w:r>
      <w:r>
        <w:rPr>
          <w:sz w:val="28"/>
          <w:szCs w:val="28"/>
          <w:lang w:val="uk-UA"/>
        </w:rPr>
        <w:t xml:space="preserve">, що надаються ДКП «Луцьктепло» для потреб бюджетних установ, інших споживачів та релігійних організацій» </w:t>
      </w:r>
      <w:r>
        <w:rPr>
          <w:bCs/>
          <w:sz w:val="28"/>
          <w:szCs w:val="28"/>
          <w:lang w:val="uk-UA" w:eastAsia="ru-RU"/>
        </w:rPr>
        <w:t xml:space="preserve">на основі плану виробництва, транспортування, постачання теплової енергії на 2021 рік. </w:t>
      </w:r>
    </w:p>
    <w:p>
      <w:pPr>
        <w:pStyle w:val="Normal"/>
        <w:spacing w:lineRule="auto" w:line="240" w:before="0" w:after="0"/>
        <w:ind w:firstLine="567"/>
        <w:jc w:val="both"/>
        <w:rPr>
          <w:rFonts w:ascii="Times New Roman" w:hAnsi="Times New Roman" w:eastAsia="Times New Roman"/>
          <w:sz w:val="28"/>
          <w:szCs w:val="28"/>
          <w:lang w:val="uk-UA" w:eastAsia="ru-RU"/>
        </w:rPr>
      </w:pPr>
      <w:r>
        <w:rPr>
          <w:rFonts w:eastAsia="Times New Roman" w:ascii="Times New Roman" w:hAnsi="Times New Roman"/>
          <w:sz w:val="28"/>
          <w:szCs w:val="28"/>
          <w:lang w:val="uk-UA" w:eastAsia="ru-RU"/>
        </w:rPr>
        <w:t>При плануванні корисно використаної теплоти  використані  значення приєднаного теплового навантаження на опалення та вентиляцію об’єктів теплоспоживання ДКП «Луцьктепло», реєстр приєднаного теплового навантаження погоджений рішенням виконавчого комітету Луцької міської ради від 14.09.2022 № 447-1.</w:t>
      </w:r>
    </w:p>
    <w:p>
      <w:pPr>
        <w:pStyle w:val="ListParagraph"/>
        <w:spacing w:lineRule="auto" w:line="240" w:before="0" w:after="0"/>
        <w:ind w:left="0" w:firstLine="567"/>
        <w:contextualSpacing/>
        <w:jc w:val="both"/>
        <w:rPr>
          <w:rFonts w:ascii="Times New Roman" w:hAnsi="Times New Roman" w:eastAsia="Times New Roman"/>
          <w:sz w:val="28"/>
          <w:szCs w:val="28"/>
          <w:lang w:val="uk-UA" w:eastAsia="ru-RU"/>
        </w:rPr>
      </w:pPr>
      <w:r>
        <w:rPr>
          <w:rFonts w:ascii="Times New Roman" w:hAnsi="Times New Roman"/>
          <w:sz w:val="28"/>
          <w:szCs w:val="28"/>
          <w:lang w:val="uk-UA"/>
        </w:rPr>
        <w:t xml:space="preserve">Розрахунок теплового навантаження системи опалення для житлових будинків здійснюється з урахуванням нормативних питомих витрат теплової енергії для опалення будинків м. Луцьк згідно </w:t>
      </w:r>
      <w:r>
        <w:rPr>
          <w:rFonts w:eastAsia="Times New Roman" w:ascii="Times New Roman" w:hAnsi="Times New Roman"/>
          <w:sz w:val="28"/>
          <w:szCs w:val="28"/>
          <w:lang w:val="uk-UA" w:eastAsia="ru-RU"/>
        </w:rPr>
        <w:t xml:space="preserve">КТМ 204 України 244-94. </w:t>
      </w:r>
    </w:p>
    <w:p>
      <w:pPr>
        <w:pStyle w:val="Normal"/>
        <w:spacing w:lineRule="auto" w:line="240" w:before="0" w:after="0"/>
        <w:ind w:firstLine="567"/>
        <w:jc w:val="both"/>
        <w:rPr>
          <w:rFonts w:ascii="Times New Roman" w:hAnsi="Times New Roman"/>
          <w:sz w:val="28"/>
          <w:szCs w:val="28"/>
          <w:lang w:val="uk-UA"/>
        </w:rPr>
      </w:pPr>
      <w:r>
        <w:rPr>
          <w:rFonts w:ascii="Times New Roman" w:hAnsi="Times New Roman"/>
          <w:sz w:val="28"/>
          <w:szCs w:val="28"/>
          <w:lang w:val="uk-UA"/>
        </w:rPr>
        <w:t>До розрахунку входять такі основні показники:</w:t>
      </w:r>
    </w:p>
    <w:p>
      <w:pPr>
        <w:pStyle w:val="ListParagraph"/>
        <w:spacing w:lineRule="auto" w:line="240" w:before="0" w:after="0"/>
        <w:ind w:left="0" w:firstLine="567"/>
        <w:contextualSpacing/>
        <w:jc w:val="both"/>
        <w:rPr>
          <w:rFonts w:ascii="Times New Roman" w:hAnsi="Times New Roman"/>
          <w:sz w:val="28"/>
          <w:szCs w:val="28"/>
          <w:lang w:val="uk-UA"/>
        </w:rPr>
      </w:pPr>
      <w:r>
        <w:rPr>
          <w:rFonts w:ascii="Times New Roman" w:hAnsi="Times New Roman"/>
          <w:sz w:val="28"/>
          <w:szCs w:val="28"/>
          <w:lang w:val="uk-UA"/>
        </w:rPr>
        <w:t>опалювальна площа будівлі, яка опалюється від централізованого опалення;</w:t>
      </w:r>
    </w:p>
    <w:p>
      <w:pPr>
        <w:pStyle w:val="ListParagraph"/>
        <w:spacing w:lineRule="auto" w:line="240" w:before="0" w:after="0"/>
        <w:ind w:left="0" w:firstLine="567"/>
        <w:contextualSpacing/>
        <w:jc w:val="both"/>
        <w:rPr>
          <w:rFonts w:ascii="Times New Roman" w:hAnsi="Times New Roman"/>
          <w:sz w:val="28"/>
          <w:szCs w:val="28"/>
          <w:lang w:val="uk-UA"/>
        </w:rPr>
      </w:pPr>
      <w:r>
        <w:rPr>
          <w:rFonts w:ascii="Times New Roman" w:hAnsi="Times New Roman"/>
          <w:sz w:val="28"/>
          <w:szCs w:val="28"/>
          <w:lang w:val="uk-UA"/>
        </w:rPr>
        <w:t>норма витрати теплоти для будівель – Гкал/м</w:t>
      </w:r>
      <w:r>
        <w:rPr>
          <w:rFonts w:ascii="Times New Roman" w:hAnsi="Times New Roman"/>
          <w:sz w:val="28"/>
          <w:szCs w:val="28"/>
          <w:vertAlign w:val="superscript"/>
          <w:lang w:val="uk-UA"/>
        </w:rPr>
        <w:t>2</w:t>
      </w:r>
      <w:r>
        <w:rPr>
          <w:rFonts w:ascii="Times New Roman" w:hAnsi="Times New Roman"/>
          <w:sz w:val="28"/>
          <w:szCs w:val="28"/>
          <w:lang w:val="uk-UA"/>
        </w:rPr>
        <w:t>, в залежності від поверховості будівель;</w:t>
      </w:r>
    </w:p>
    <w:p>
      <w:pPr>
        <w:pStyle w:val="ListParagraph"/>
        <w:spacing w:lineRule="auto" w:line="240" w:before="0" w:after="0"/>
        <w:ind w:left="0" w:firstLine="567"/>
        <w:contextualSpacing/>
        <w:jc w:val="both"/>
        <w:rPr>
          <w:rFonts w:ascii="Times New Roman" w:hAnsi="Times New Roman"/>
          <w:sz w:val="28"/>
          <w:szCs w:val="28"/>
          <w:lang w:val="uk-UA"/>
        </w:rPr>
      </w:pPr>
      <w:r>
        <w:rPr>
          <w:rFonts w:eastAsia="Times New Roman" w:ascii="Times New Roman" w:hAnsi="Times New Roman"/>
          <w:sz w:val="28"/>
          <w:szCs w:val="28"/>
          <w:lang w:val="uk-UA" w:eastAsia="ru-RU"/>
        </w:rPr>
        <w:t xml:space="preserve">середня температура зовнішнього повітря в опалювальний період визначена на підставі даних Волинського обласного центру з гідрометеорології про фактичну температуру за період 2017-2021 та становить +1,7 </w:t>
      </w:r>
      <w:r>
        <w:rPr>
          <w:rFonts w:eastAsia="Times New Roman" w:ascii="Times New Roman" w:hAnsi="Times New Roman"/>
          <w:sz w:val="28"/>
          <w:szCs w:val="28"/>
          <w:vertAlign w:val="superscript"/>
          <w:lang w:val="uk-UA" w:eastAsia="ru-RU"/>
        </w:rPr>
        <w:t>о</w:t>
      </w:r>
      <w:r>
        <w:rPr>
          <w:rFonts w:eastAsia="Times New Roman" w:ascii="Times New Roman" w:hAnsi="Times New Roman"/>
          <w:sz w:val="28"/>
          <w:szCs w:val="28"/>
          <w:lang w:val="uk-UA" w:eastAsia="ru-RU"/>
        </w:rPr>
        <w:t>С;</w:t>
      </w:r>
    </w:p>
    <w:p>
      <w:pPr>
        <w:pStyle w:val="ListParagraph"/>
        <w:spacing w:lineRule="auto" w:line="240" w:before="0" w:after="0"/>
        <w:ind w:left="0" w:firstLine="567"/>
        <w:contextualSpacing/>
        <w:jc w:val="both"/>
        <w:rPr>
          <w:rFonts w:ascii="Times New Roman" w:hAnsi="Times New Roman"/>
          <w:sz w:val="28"/>
          <w:szCs w:val="28"/>
          <w:lang w:val="uk-UA"/>
        </w:rPr>
      </w:pPr>
      <w:r>
        <w:rPr>
          <w:rFonts w:eastAsia="Times New Roman" w:ascii="Times New Roman" w:hAnsi="Times New Roman"/>
          <w:sz w:val="28"/>
          <w:szCs w:val="28"/>
          <w:lang w:val="uk-UA" w:eastAsia="ru-RU"/>
        </w:rPr>
        <w:t xml:space="preserve">розрахункова температура зовнішнього повітря для проєктування опалення tр.о. = - 20 </w:t>
      </w:r>
      <w:r>
        <w:rPr>
          <w:rFonts w:eastAsia="Times New Roman" w:ascii="Times New Roman" w:hAnsi="Times New Roman"/>
          <w:sz w:val="28"/>
          <w:szCs w:val="28"/>
          <w:vertAlign w:val="superscript"/>
          <w:lang w:val="uk-UA" w:eastAsia="ru-RU"/>
        </w:rPr>
        <w:t>о</w:t>
      </w:r>
      <w:r>
        <w:rPr>
          <w:rFonts w:eastAsia="Times New Roman" w:ascii="Times New Roman" w:hAnsi="Times New Roman"/>
          <w:sz w:val="28"/>
          <w:szCs w:val="28"/>
          <w:lang w:val="uk-UA" w:eastAsia="ru-RU"/>
        </w:rPr>
        <w:t>С;</w:t>
      </w:r>
    </w:p>
    <w:p>
      <w:pPr>
        <w:pStyle w:val="ListParagraph"/>
        <w:spacing w:lineRule="auto" w:line="240" w:before="0" w:after="0"/>
        <w:ind w:left="0" w:firstLine="567"/>
        <w:contextualSpacing/>
        <w:jc w:val="both"/>
        <w:rPr>
          <w:rFonts w:ascii="Times New Roman" w:hAnsi="Times New Roman"/>
          <w:sz w:val="28"/>
          <w:szCs w:val="28"/>
          <w:lang w:val="uk-UA"/>
        </w:rPr>
      </w:pPr>
      <w:r>
        <w:rPr>
          <w:rFonts w:ascii="Times New Roman" w:hAnsi="Times New Roman"/>
          <w:sz w:val="28"/>
          <w:szCs w:val="28"/>
          <w:lang w:val="uk-UA"/>
        </w:rPr>
        <w:t>усереднена р</w:t>
      </w:r>
      <w:r>
        <w:rPr>
          <w:rFonts w:eastAsia="Times New Roman" w:ascii="Times New Roman" w:hAnsi="Times New Roman"/>
          <w:sz w:val="28"/>
          <w:szCs w:val="28"/>
          <w:lang w:val="uk-UA" w:eastAsia="ru-RU"/>
        </w:rPr>
        <w:t xml:space="preserve">озрахункова температура внутрішнього повітря опалювальних будинків tвн. = 18 </w:t>
      </w:r>
      <w:r>
        <w:rPr>
          <w:rFonts w:eastAsia="Times New Roman" w:ascii="Times New Roman" w:hAnsi="Times New Roman"/>
          <w:sz w:val="28"/>
          <w:szCs w:val="28"/>
          <w:vertAlign w:val="superscript"/>
          <w:lang w:val="uk-UA" w:eastAsia="ru-RU"/>
        </w:rPr>
        <w:t>о</w:t>
      </w:r>
      <w:r>
        <w:rPr>
          <w:rFonts w:eastAsia="Times New Roman" w:ascii="Times New Roman" w:hAnsi="Times New Roman"/>
          <w:sz w:val="28"/>
          <w:szCs w:val="28"/>
          <w:lang w:val="uk-UA" w:eastAsia="ru-RU"/>
        </w:rPr>
        <w:t>С;</w:t>
      </w:r>
    </w:p>
    <w:p>
      <w:pPr>
        <w:pStyle w:val="ListParagraph"/>
        <w:spacing w:lineRule="auto" w:line="240" w:before="0" w:after="0"/>
        <w:ind w:left="0" w:firstLine="567"/>
        <w:contextualSpacing/>
        <w:jc w:val="both"/>
        <w:rPr>
          <w:rFonts w:ascii="Times New Roman" w:hAnsi="Times New Roman"/>
          <w:sz w:val="28"/>
          <w:szCs w:val="28"/>
          <w:lang w:val="uk-UA"/>
        </w:rPr>
      </w:pPr>
      <w:r>
        <w:rPr>
          <w:rFonts w:ascii="Times New Roman" w:hAnsi="Times New Roman"/>
          <w:sz w:val="28"/>
          <w:szCs w:val="28"/>
          <w:lang w:val="uk-UA"/>
        </w:rPr>
        <w:t>тривалість опалювального періоду з кількістю днів зі стійкою середньою добовою температурою зовнішнього повітря 8</w:t>
      </w:r>
      <w:r>
        <w:rPr>
          <w:rFonts w:eastAsia="Times New Roman" w:ascii="Times New Roman" w:hAnsi="Times New Roman"/>
          <w:sz w:val="28"/>
          <w:szCs w:val="28"/>
          <w:vertAlign w:val="superscript"/>
          <w:lang w:val="uk-UA" w:eastAsia="ru-RU"/>
        </w:rPr>
        <w:t>о</w:t>
      </w:r>
      <w:r>
        <w:rPr>
          <w:rFonts w:eastAsia="Times New Roman" w:ascii="Times New Roman" w:hAnsi="Times New Roman"/>
          <w:sz w:val="28"/>
          <w:szCs w:val="28"/>
          <w:lang w:val="uk-UA" w:eastAsia="ru-RU"/>
        </w:rPr>
        <w:t>С</w:t>
      </w:r>
      <w:r>
        <w:rPr>
          <w:rFonts w:ascii="Times New Roman" w:hAnsi="Times New Roman"/>
          <w:sz w:val="28"/>
          <w:szCs w:val="28"/>
          <w:lang w:val="uk-UA"/>
        </w:rPr>
        <w:t xml:space="preserve"> та нижче розрахована по середній тривалості опалювальних періодів останніх 5-ти років та рівна </w:t>
      </w:r>
      <w:r>
        <w:rPr>
          <w:rFonts w:eastAsia="Times New Roman" w:ascii="Times New Roman" w:hAnsi="Times New Roman"/>
          <w:sz w:val="28"/>
          <w:szCs w:val="28"/>
          <w:lang w:val="uk-UA" w:eastAsia="ru-RU"/>
        </w:rPr>
        <w:t>170 доби</w:t>
      </w:r>
      <w:r>
        <w:rPr>
          <w:rFonts w:ascii="Times New Roman" w:hAnsi="Times New Roman"/>
          <w:sz w:val="28"/>
          <w:szCs w:val="28"/>
          <w:lang w:val="uk-UA"/>
        </w:rPr>
        <w:t>.</w:t>
      </w:r>
    </w:p>
    <w:p>
      <w:pPr>
        <w:pStyle w:val="ListParagraph"/>
        <w:spacing w:lineRule="auto" w:line="240" w:before="0" w:after="0"/>
        <w:ind w:left="0" w:firstLine="567"/>
        <w:contextualSpacing/>
        <w:jc w:val="both"/>
        <w:rPr>
          <w:rFonts w:ascii="Times New Roman" w:hAnsi="Times New Roman"/>
          <w:sz w:val="28"/>
          <w:szCs w:val="28"/>
          <w:lang w:val="uk-UA"/>
        </w:rPr>
      </w:pPr>
      <w:r>
        <w:rPr>
          <w:rFonts w:ascii="Times New Roman" w:hAnsi="Times New Roman"/>
          <w:sz w:val="28"/>
          <w:szCs w:val="28"/>
          <w:lang w:val="uk-UA"/>
        </w:rPr>
        <w:t>Відповідно до постанови КМУ від 01.06.2011 № 869 теплове навантаження об’єктів теплоспоживання визначається за показами типових або індивідуальних проектів, за якими збудовані такі об’єкти (у разі зміни вихідних даних проектів на об’єкти, зокрема під час переходу частини споживачів на автономне опалення, зміни призначення приміщень навантаження повинні бути підтверджені уповноваженою установою).</w:t>
      </w:r>
    </w:p>
    <w:p>
      <w:pPr>
        <w:pStyle w:val="Normal"/>
        <w:spacing w:lineRule="auto" w:line="240" w:before="0" w:after="0"/>
        <w:ind w:firstLine="567"/>
        <w:jc w:val="both"/>
        <w:rPr/>
      </w:pPr>
      <w:r>
        <w:rPr>
          <w:rFonts w:eastAsia="Times New Roman" w:ascii="Times New Roman" w:hAnsi="Times New Roman"/>
          <w:sz w:val="28"/>
          <w:szCs w:val="28"/>
          <w:lang w:val="uk-UA" w:eastAsia="zh-CN"/>
        </w:rPr>
        <w:t>Витрати на природний газ враховано відповідно до укладеного договору постачання природного газу з ТзОВ ГК «Нафтогаз Трейдинг» від 30.08.2022 № 3440-ПСО(ТКЕ)-2.</w:t>
      </w:r>
    </w:p>
    <w:p>
      <w:pPr>
        <w:pStyle w:val="Normal"/>
        <w:spacing w:lineRule="auto" w:line="240" w:before="0" w:after="0"/>
        <w:ind w:firstLine="567"/>
        <w:jc w:val="both"/>
        <w:rPr>
          <w:rFonts w:ascii="Times New Roman" w:hAnsi="Times New Roman" w:eastAsia="Times New Roman"/>
          <w:sz w:val="28"/>
          <w:szCs w:val="28"/>
          <w:lang w:val="uk-UA" w:eastAsia="zh-CN"/>
        </w:rPr>
      </w:pPr>
      <w:r>
        <w:rPr>
          <w:rFonts w:eastAsia="Times New Roman" w:ascii="Times New Roman" w:hAnsi="Times New Roman"/>
          <w:sz w:val="28"/>
          <w:szCs w:val="28"/>
          <w:lang w:val="uk-UA" w:eastAsia="zh-CN"/>
        </w:rPr>
        <w:t>Порівняльна таблиця ціни природного газу у діючих тарифах, у тарифах станом на 20.02.2022 та у проєкті тарифів на теплову енергію та послуги з постачання теплової енергії та гарячої води:</w:t>
      </w:r>
    </w:p>
    <w:p>
      <w:pPr>
        <w:pStyle w:val="Normal"/>
        <w:spacing w:lineRule="auto" w:line="240" w:before="0" w:after="0"/>
        <w:jc w:val="both"/>
        <w:rPr>
          <w:rFonts w:ascii="Times New Roman" w:hAnsi="Times New Roman"/>
          <w:bCs/>
          <w:sz w:val="28"/>
          <w:szCs w:val="28"/>
          <w:lang w:val="uk-UA" w:eastAsia="ru-RU"/>
        </w:rPr>
      </w:pPr>
      <w:r>
        <w:rPr/>
        <w:drawing>
          <wp:inline distT="0" distB="0" distL="0" distR="0">
            <wp:extent cx="6120130" cy="2353945"/>
            <wp:effectExtent l="0" t="0" r="0" b="0"/>
            <wp:docPr id="1" name="Рисунок 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5" descr=""/>
                    <pic:cNvPicPr>
                      <a:picLocks noChangeAspect="1" noChangeArrowheads="1"/>
                    </pic:cNvPicPr>
                  </pic:nvPicPr>
                  <pic:blipFill>
                    <a:blip r:embed="rId2"/>
                    <a:stretch>
                      <a:fillRect/>
                    </a:stretch>
                  </pic:blipFill>
                  <pic:spPr bwMode="auto">
                    <a:xfrm>
                      <a:off x="0" y="0"/>
                      <a:ext cx="6120130" cy="2353945"/>
                    </a:xfrm>
                    <a:prstGeom prst="rect">
                      <a:avLst/>
                    </a:prstGeom>
                  </pic:spPr>
                </pic:pic>
              </a:graphicData>
            </a:graphic>
          </wp:inline>
        </w:drawing>
      </w:r>
    </w:p>
    <w:p>
      <w:pPr>
        <w:pStyle w:val="Normal"/>
        <w:spacing w:lineRule="auto" w:line="240" w:before="0" w:after="0"/>
        <w:ind w:firstLine="567"/>
        <w:jc w:val="both"/>
        <w:rPr>
          <w:rFonts w:ascii="Times New Roman" w:hAnsi="Times New Roman"/>
          <w:bCs/>
          <w:sz w:val="28"/>
          <w:szCs w:val="28"/>
          <w:lang w:val="uk-UA" w:eastAsia="ru-RU"/>
        </w:rPr>
      </w:pPr>
      <w:r>
        <w:rPr>
          <w:rFonts w:ascii="Times New Roman" w:hAnsi="Times New Roman"/>
          <w:bCs/>
          <w:sz w:val="28"/>
          <w:szCs w:val="28"/>
          <w:lang w:val="uk-UA" w:eastAsia="ru-RU"/>
        </w:rPr>
      </w:r>
    </w:p>
    <w:p>
      <w:pPr>
        <w:pStyle w:val="Normal"/>
        <w:spacing w:lineRule="auto" w:line="240" w:before="0" w:after="0"/>
        <w:ind w:firstLine="567"/>
        <w:jc w:val="both"/>
        <w:rPr>
          <w:rFonts w:ascii="Times New Roman" w:hAnsi="Times New Roman"/>
          <w:bCs/>
          <w:sz w:val="28"/>
          <w:szCs w:val="28"/>
          <w:lang w:val="uk-UA" w:eastAsia="ru-RU"/>
        </w:rPr>
      </w:pPr>
      <w:r>
        <w:rPr>
          <w:rFonts w:ascii="Times New Roman" w:hAnsi="Times New Roman"/>
          <w:bCs/>
          <w:sz w:val="28"/>
          <w:szCs w:val="28"/>
          <w:lang w:val="uk-UA" w:eastAsia="ru-RU"/>
        </w:rPr>
        <w:t xml:space="preserve">У вищезгаданих договорах тариф на послуги транспортування природного газу для внутрішньої точки виходу з газотранспортної системи – 124,16 грн без ПДВ, коефіцієнт, який застосовується при замовленні потужності на добу наперед у відповідному періоді на рівні 1,1 умовних одиниць, всього з коефіцієнтом – 136,58 грн, за 1000 куб.м. </w:t>
      </w:r>
    </w:p>
    <w:p>
      <w:pPr>
        <w:pStyle w:val="Normal"/>
        <w:spacing w:lineRule="auto" w:line="240" w:before="0" w:after="0"/>
        <w:ind w:firstLine="567"/>
        <w:jc w:val="both"/>
        <w:rPr/>
      </w:pPr>
      <w:r>
        <w:rPr>
          <w:rFonts w:eastAsia="Times New Roman" w:ascii="Times New Roman" w:hAnsi="Times New Roman"/>
          <w:sz w:val="28"/>
          <w:szCs w:val="28"/>
          <w:lang w:val="uk-UA" w:eastAsia="zh-CN"/>
        </w:rPr>
        <w:t xml:space="preserve">Витрати на послуги з розподілу природного газу </w:t>
        <w:br/>
        <w:t>АТ «Волиньгаз» зменшились майже на 10 % через врахування нижчих планових обсягів</w:t>
      </w:r>
      <w:r>
        <w:rPr>
          <w:rFonts w:ascii="Times New Roman" w:hAnsi="Times New Roman"/>
          <w:sz w:val="28"/>
          <w:szCs w:val="28"/>
          <w:lang w:val="uk-UA"/>
        </w:rPr>
        <w:t xml:space="preserve"> величини річної замовленої потужності об’єктів</w:t>
      </w:r>
      <w:r>
        <w:rPr>
          <w:rFonts w:eastAsia="Times New Roman" w:ascii="Times New Roman" w:hAnsi="Times New Roman"/>
          <w:sz w:val="28"/>
          <w:szCs w:val="28"/>
          <w:lang w:val="uk-UA" w:eastAsia="zh-CN"/>
        </w:rPr>
        <w:t xml:space="preserve"> на «газовий рік»  природного газу. У діючому тарифі ці витрати складають 98,58 млн грн, у прогнозованому – 91,06 млн грн.</w:t>
      </w:r>
    </w:p>
    <w:p>
      <w:pPr>
        <w:pStyle w:val="Rvps2"/>
        <w:spacing w:beforeAutospacing="0" w:before="0" w:afterAutospacing="0" w:after="0"/>
        <w:ind w:firstLine="567"/>
        <w:jc w:val="both"/>
        <w:rPr/>
      </w:pPr>
      <w:r>
        <w:rPr>
          <w:sz w:val="28"/>
          <w:szCs w:val="28"/>
          <w:lang w:val="uk-UA"/>
        </w:rPr>
        <w:t>Планування витрат на придбання електричної енергії для технологічних потреб з метою включення їх до тарифів здійснюється виходячи із</w:t>
      </w:r>
      <w:bookmarkStart w:id="0" w:name="n1884"/>
      <w:bookmarkEnd w:id="0"/>
      <w:r>
        <w:rPr>
          <w:sz w:val="28"/>
          <w:szCs w:val="28"/>
          <w:lang w:val="uk-UA"/>
        </w:rPr>
        <w:t xml:space="preserve"> планованих обсягів електричної енергії та </w:t>
      </w:r>
      <w:bookmarkStart w:id="1" w:name="n1885"/>
      <w:bookmarkEnd w:id="1"/>
      <w:r>
        <w:rPr>
          <w:sz w:val="28"/>
          <w:szCs w:val="28"/>
          <w:lang w:val="uk-UA"/>
        </w:rPr>
        <w:t>середньої ціни електричної енергії, що склалася у ліцензіата за останні шість календарних місяців</w:t>
      </w:r>
      <w:bookmarkStart w:id="2" w:name="n1886"/>
      <w:bookmarkEnd w:id="2"/>
      <w:r>
        <w:rPr>
          <w:sz w:val="28"/>
          <w:szCs w:val="28"/>
          <w:lang w:val="uk-UA"/>
        </w:rPr>
        <w:t>. Ріст вартості електроенергії склав 43 %, з 2,848 до 4,073 грн/кВт*год.</w:t>
      </w:r>
    </w:p>
    <w:p>
      <w:pPr>
        <w:pStyle w:val="Normal"/>
        <w:spacing w:lineRule="auto" w:line="240" w:before="0" w:after="0"/>
        <w:ind w:firstLine="567"/>
        <w:jc w:val="both"/>
        <w:rPr/>
      </w:pPr>
      <w:r>
        <w:rPr>
          <w:rFonts w:ascii="Times New Roman" w:hAnsi="Times New Roman"/>
          <w:sz w:val="28"/>
          <w:szCs w:val="28"/>
          <w:lang w:val="uk-UA"/>
        </w:rPr>
        <w:t>Крім того, зросла стаття «Витрати на водопостачання та водовідведення», що пов’язано із ростом ціни на ці послуги КП «Луцькводоканал».</w:t>
      </w:r>
    </w:p>
    <w:p>
      <w:pPr>
        <w:pStyle w:val="Normal"/>
        <w:spacing w:lineRule="auto" w:line="240" w:before="0" w:after="0"/>
        <w:ind w:firstLine="567"/>
        <w:jc w:val="both"/>
        <w:rPr/>
      </w:pPr>
      <w:r>
        <w:rPr>
          <w:rFonts w:ascii="Times New Roman" w:hAnsi="Times New Roman"/>
          <w:bCs/>
          <w:sz w:val="28"/>
          <w:szCs w:val="28"/>
          <w:lang w:val="uk-UA" w:eastAsia="ru-RU"/>
        </w:rPr>
        <w:t>Екологічний податок у проєкті тарифу склав 5293,9 тис. грн, у діючих тарифах він становив 2 213,7 тис. грн. Таке збільшення відбулось із виходом закону України від 30.11.2021 № 1914-ІХ «Про внесення змін до постанов КМУ та інших законодавчих актів України щодо забезпечення збалансованості бюджетних надходжень», яким  встановлено нові ставки податку за викиди в атмосферне повітря окремих забруднюючих речовин стаціонарними джерелами забруднення та ставки податку за розміщення відходів.</w:t>
      </w:r>
    </w:p>
    <w:p>
      <w:pPr>
        <w:pStyle w:val="Normal"/>
        <w:spacing w:lineRule="auto" w:line="240" w:before="0" w:after="0"/>
        <w:ind w:firstLine="567"/>
        <w:jc w:val="both"/>
        <w:rPr/>
      </w:pPr>
      <w:r>
        <w:rPr>
          <w:rFonts w:ascii="Times New Roman" w:hAnsi="Times New Roman"/>
          <w:bCs/>
          <w:sz w:val="28"/>
          <w:szCs w:val="28"/>
          <w:lang w:val="uk-UA" w:eastAsia="ru-RU"/>
        </w:rPr>
        <w:t>Планування витрат на оплату праці здійснюється відповідно механізму визначення витрат на оплату праці, які враховуються в тарифах на виробництво, транспортування, постачання теплової енергії, затвердженого постановою НКРКП від 18.05.2012 № 181 в установленому законодавством порядку, із забезпеченням мінімальної заробітної та інших гарантій з оплати праці. У розрахунку цих витрат враховано розмір прожиткового мінімуму для працездатних осіб у розмірі - 2481 грн. Розмір премії в проєкті тарифів та  передбаченим в діючому тарифі у розмірі 10 %. Штатна чисельність, врахована у розрахунку фонду оплати праці, становить - 769 од. Фонд оплати праці складає 124 371,42 тис. грн, середня заробітна плата становить – 13 450 грн в місяць (середня по промисловості у Волинській області за січень 2022 року склала 13 540 грн). Ріст фонду оплати праці та середньої заробітної плати порівняно з цими позиціями діючого тарифу відповідно на 316,1 тис. грн(0,25 %) і 94 грн ( 0,7 %).</w:t>
      </w:r>
    </w:p>
    <w:p>
      <w:pPr>
        <w:pStyle w:val="Normal"/>
        <w:spacing w:lineRule="auto" w:line="240" w:before="0" w:after="0"/>
        <w:ind w:firstLine="567"/>
        <w:jc w:val="both"/>
        <w:rPr/>
      </w:pPr>
      <w:r>
        <w:rPr>
          <w:rFonts w:ascii="Times New Roman" w:hAnsi="Times New Roman"/>
          <w:bCs/>
          <w:sz w:val="28"/>
          <w:szCs w:val="28"/>
          <w:lang w:val="uk-UA" w:eastAsia="ru-RU"/>
        </w:rPr>
        <w:t>Витрати на повірку приладів обліку та зразкової вимірювальної техніки, експертне обстеження будівель, димових труб та обладнання розраховані з врахуванням періодичності повірки та нових цін на послуги ДП «Волинський експерно-технічний центр Держпраці» та ДП «Волиньстандартметрологія» значно зросли у порівнянні з витратами врахованими у діючих тарифах.</w:t>
      </w:r>
    </w:p>
    <w:p>
      <w:pPr>
        <w:pStyle w:val="Normal"/>
        <w:widowControl/>
        <w:suppressAutoHyphens w:val="true"/>
        <w:bidi w:val="0"/>
        <w:spacing w:lineRule="auto" w:line="240" w:before="0" w:after="0"/>
        <w:ind w:left="0" w:right="0" w:firstLine="567"/>
        <w:jc w:val="both"/>
        <w:rPr/>
      </w:pPr>
      <w:r>
        <w:rPr>
          <w:rFonts w:eastAsia="Calibri" w:ascii="Times New Roman" w:hAnsi="Times New Roman" w:eastAsiaTheme="minorHAnsi"/>
          <w:sz w:val="28"/>
          <w:szCs w:val="28"/>
          <w:lang w:val="uk-UA"/>
        </w:rPr>
        <w:t>Інвестиційна програма розроблена відповідно до наказу Міністерства розвитку громад та територій України від 19.09.2020 №</w:t>
      </w:r>
      <w:r>
        <w:rPr>
          <w:rFonts w:eastAsia="Calibri" w:ascii="Times New Roman" w:hAnsi="Times New Roman" w:eastAsiaTheme="minorHAnsi"/>
          <w:sz w:val="28"/>
          <w:szCs w:val="28"/>
          <w:lang w:val="en-US"/>
        </w:rPr>
        <w:t> </w:t>
      </w:r>
      <w:r>
        <w:rPr>
          <w:rFonts w:eastAsia="Calibri" w:ascii="Times New Roman" w:hAnsi="Times New Roman" w:eastAsiaTheme="minorHAnsi"/>
          <w:sz w:val="28"/>
          <w:szCs w:val="28"/>
          <w:lang w:val="uk-UA"/>
        </w:rPr>
        <w:t>191, виходячи з річного обсягу фінансування в розмірі 20 887,44 тис. грн (без ПДВ), в тому числі:</w:t>
        <w:br/>
        <w:t>20 202,53 тис. грн (без ПДВ) – амортизаційні відрахування та 274,33 тис. грн(без ПДВ) – інші залучені кошти, які не підлягають поверненню (власні кошти), виробничі інвестиції з прибутку 410,58 тис. грн та включає в себе: реконструкцію, капітальний ремонт котелень, реконструкцію теплових тощо.</w:t>
      </w:r>
    </w:p>
    <w:p>
      <w:pPr>
        <w:pStyle w:val="Normal"/>
        <w:widowControl/>
        <w:suppressAutoHyphens w:val="true"/>
        <w:bidi w:val="0"/>
        <w:spacing w:lineRule="auto" w:line="240" w:before="0" w:after="0"/>
        <w:ind w:left="0" w:right="0" w:firstLine="567"/>
        <w:jc w:val="both"/>
        <w:rPr/>
      </w:pPr>
      <w:r>
        <w:rPr>
          <w:rStyle w:val="Rvts0"/>
          <w:rFonts w:ascii="Times New Roman" w:hAnsi="Times New Roman"/>
          <w:sz w:val="28"/>
          <w:szCs w:val="28"/>
          <w:lang w:val="uk-UA"/>
        </w:rPr>
        <w:t xml:space="preserve">У проєкті тарифів на теплову енергію, її виробництво, транспортування та постачання враховані обігові кошти за рахунок планованого прибутку в обсязі  3 % повної планованої собівартості теплової енергії. Ці кошти спрямовуватимуться підприємством на фінансування витрат, пов’язаних з придбанням природного газу, електричної енергії, а також на інші витрати, пов’язані з виробництвом, транспортуванням та постачанням теплової енергії, у разі, коли такі витрати не відшкодовуватимуться діючими тарифами. </w:t>
      </w:r>
    </w:p>
    <w:p>
      <w:pPr>
        <w:pStyle w:val="Normal"/>
        <w:widowControl/>
        <w:suppressAutoHyphens w:val="true"/>
        <w:bidi w:val="0"/>
        <w:spacing w:lineRule="auto" w:line="240" w:before="0" w:after="0"/>
        <w:ind w:left="0" w:right="0" w:firstLine="567"/>
        <w:jc w:val="both"/>
        <w:rPr/>
      </w:pPr>
      <w:r>
        <w:rPr>
          <w:rFonts w:ascii="Times New Roman" w:hAnsi="Times New Roman"/>
          <w:bCs/>
          <w:sz w:val="28"/>
          <w:szCs w:val="28"/>
          <w:lang w:val="uk-UA"/>
        </w:rPr>
        <w:t xml:space="preserve">Відповідно до вимог Закону України «Про теплопостачання» тарифи на теплову енергію повинні забезпечувати відшкодування всіх економічно обґрунтованих витрат на виробництво, транспортування та постачання теплової енергії. Встановлення тарифів на теплову енергію нижче від розміру економічно обґрунтованих витрат на її виробництво, транспортування та постачання не допускається. </w:t>
      </w:r>
      <w:r>
        <w:rPr>
          <w:rFonts w:ascii="Times New Roman" w:hAnsi="Times New Roman"/>
          <w:bCs/>
          <w:sz w:val="28"/>
          <w:szCs w:val="28"/>
        </w:rPr>
        <w:t>Аналогічні за змістом норми щодо тарифоутворення містяться і в Законі України «Про житлово-комунальні послуги».</w:t>
      </w:r>
    </w:p>
    <w:p>
      <w:pPr>
        <w:pStyle w:val="Normal"/>
        <w:spacing w:lineRule="auto" w:line="240" w:before="0" w:after="0"/>
        <w:ind w:firstLine="567"/>
        <w:jc w:val="both"/>
        <w:rPr/>
      </w:pPr>
      <w:r>
        <w:rPr>
          <w:rFonts w:ascii="Times New Roman" w:hAnsi="Times New Roman"/>
          <w:bCs/>
          <w:sz w:val="28"/>
          <w:szCs w:val="28"/>
          <w:lang w:val="uk-UA"/>
        </w:rPr>
        <w:t xml:space="preserve">Таким чином, економічно обгрунтовані тарифи на теплову енергію </w:t>
      </w:r>
      <w:r>
        <w:rPr>
          <w:rFonts w:ascii="Times New Roman" w:hAnsi="Times New Roman"/>
          <w:bCs/>
          <w:sz w:val="28"/>
          <w:szCs w:val="28"/>
          <w:lang w:val="uk-UA" w:eastAsia="ru-RU"/>
        </w:rPr>
        <w:t>на 2022/2023</w:t>
      </w:r>
      <w:r>
        <w:rPr>
          <w:rFonts w:ascii="Times New Roman" w:hAnsi="Times New Roman"/>
          <w:bCs/>
          <w:sz w:val="28"/>
          <w:szCs w:val="28"/>
          <w:lang w:val="uk-UA"/>
        </w:rPr>
        <w:t xml:space="preserve"> зростають  </w:t>
      </w:r>
      <w:r>
        <w:rPr>
          <w:rFonts w:ascii="Times New Roman" w:hAnsi="Times New Roman"/>
          <w:bCs/>
          <w:sz w:val="28"/>
          <w:szCs w:val="28"/>
          <w:u w:val="single"/>
          <w:lang w:val="uk-UA"/>
        </w:rPr>
        <w:t>для населення на від 0,02 до 4,6 %</w:t>
      </w:r>
      <w:r>
        <w:rPr>
          <w:rFonts w:ascii="Times New Roman" w:hAnsi="Times New Roman"/>
          <w:bCs/>
          <w:sz w:val="28"/>
          <w:szCs w:val="28"/>
          <w:lang w:val="uk-UA"/>
        </w:rPr>
        <w:t xml:space="preserve">,  </w:t>
      </w:r>
      <w:r>
        <w:rPr>
          <w:rFonts w:ascii="Times New Roman" w:hAnsi="Times New Roman"/>
          <w:bCs/>
          <w:sz w:val="28"/>
          <w:szCs w:val="28"/>
          <w:u w:val="single"/>
          <w:lang w:val="uk-UA"/>
        </w:rPr>
        <w:t>для інших споживачів на 39,07-46,7%</w:t>
      </w:r>
      <w:r>
        <w:rPr>
          <w:rFonts w:ascii="Times New Roman" w:hAnsi="Times New Roman"/>
          <w:bCs/>
          <w:sz w:val="28"/>
          <w:szCs w:val="28"/>
          <w:lang w:val="uk-UA"/>
        </w:rPr>
        <w:t xml:space="preserve">, </w:t>
      </w:r>
      <w:r>
        <w:rPr>
          <w:rFonts w:ascii="Times New Roman" w:hAnsi="Times New Roman"/>
          <w:bCs/>
          <w:sz w:val="28"/>
          <w:szCs w:val="28"/>
          <w:lang w:val="uk-UA" w:eastAsia="ru-RU"/>
        </w:rPr>
        <w:t>у порівнянні з діючими станом на 24.02.2022 на що вплинуло здорожчання ціни природного газу на 54 % (для інших споживачів)</w:t>
      </w:r>
      <w:r>
        <w:rPr>
          <w:rFonts w:ascii="Times New Roman" w:hAnsi="Times New Roman"/>
          <w:bCs/>
          <w:sz w:val="28"/>
          <w:szCs w:val="28"/>
          <w:lang w:val="uk-UA"/>
        </w:rPr>
        <w:t>.</w:t>
      </w:r>
    </w:p>
    <w:p>
      <w:pPr>
        <w:pStyle w:val="Normal"/>
        <w:spacing w:lineRule="auto" w:line="240" w:before="0" w:after="0"/>
        <w:ind w:firstLine="567"/>
        <w:jc w:val="both"/>
        <w:rPr/>
      </w:pPr>
      <w:r>
        <w:rPr>
          <w:rFonts w:ascii="Times New Roman" w:hAnsi="Times New Roman"/>
          <w:b w:val="false"/>
          <w:bCs w:val="false"/>
          <w:sz w:val="28"/>
          <w:szCs w:val="28"/>
          <w:u w:val="single"/>
          <w:lang w:val="uk-UA" w:eastAsia="ru-RU"/>
        </w:rPr>
        <w:t>Для категорій бюджетні установи</w:t>
      </w:r>
      <w:r>
        <w:rPr>
          <w:rFonts w:ascii="Times New Roman" w:hAnsi="Times New Roman"/>
          <w:bCs/>
          <w:sz w:val="28"/>
          <w:szCs w:val="28"/>
          <w:u w:val="single"/>
          <w:lang w:val="uk-UA" w:eastAsia="ru-RU"/>
        </w:rPr>
        <w:t xml:space="preserve"> відбулося зниження</w:t>
      </w:r>
      <w:r>
        <w:rPr>
          <w:rFonts w:ascii="Times New Roman" w:hAnsi="Times New Roman"/>
          <w:bCs/>
          <w:sz w:val="28"/>
          <w:szCs w:val="28"/>
          <w:lang w:val="uk-UA" w:eastAsia="ru-RU"/>
        </w:rPr>
        <w:t xml:space="preserve"> тарифів у порівнянні з діючими </w:t>
      </w:r>
      <w:r>
        <w:rPr>
          <w:rFonts w:ascii="Times New Roman" w:hAnsi="Times New Roman"/>
          <w:bCs/>
          <w:sz w:val="28"/>
          <w:szCs w:val="28"/>
          <w:u w:val="none"/>
          <w:lang w:val="uk-UA" w:eastAsia="ru-RU"/>
        </w:rPr>
        <w:t>станом</w:t>
      </w:r>
      <w:r>
        <w:rPr>
          <w:rFonts w:ascii="Times New Roman" w:hAnsi="Times New Roman"/>
          <w:bCs/>
          <w:sz w:val="28"/>
          <w:szCs w:val="28"/>
          <w:lang w:val="uk-UA" w:eastAsia="ru-RU"/>
        </w:rPr>
        <w:t xml:space="preserve"> на 24.02.2022 для цих категорій споживачів і відповідно складає </w:t>
      </w:r>
      <w:r>
        <w:rPr>
          <w:rFonts w:ascii="Times New Roman" w:hAnsi="Times New Roman"/>
          <w:bCs/>
          <w:sz w:val="28"/>
          <w:szCs w:val="28"/>
          <w:u w:val="single"/>
          <w:lang w:val="uk-UA" w:eastAsia="ru-RU"/>
        </w:rPr>
        <w:t>в еквіваленті одноставкового 12,7-14,4 %</w:t>
      </w:r>
      <w:r>
        <w:rPr>
          <w:rFonts w:ascii="Times New Roman" w:hAnsi="Times New Roman"/>
          <w:bCs/>
          <w:sz w:val="28"/>
          <w:szCs w:val="28"/>
          <w:lang w:val="uk-UA" w:eastAsia="ru-RU"/>
        </w:rPr>
        <w:t xml:space="preserve"> (з врахуванням повернення різниці в ціні на природний газ).</w:t>
      </w:r>
    </w:p>
    <w:p>
      <w:pPr>
        <w:pStyle w:val="Normal"/>
        <w:shd w:val="clear" w:fill="FFFFFF"/>
        <w:spacing w:lineRule="auto" w:line="240" w:before="0" w:after="0"/>
        <w:ind w:firstLine="708"/>
        <w:jc w:val="both"/>
        <w:rPr>
          <w:rFonts w:ascii="Times New Roman" w:hAnsi="Times New Roman"/>
        </w:rPr>
      </w:pPr>
      <w:r>
        <w:rPr>
          <w:rFonts w:ascii="Times New Roman" w:hAnsi="Times New Roman"/>
          <w:color w:val="000000"/>
          <w:sz w:val="28"/>
          <w:szCs w:val="28"/>
          <w:lang w:val="uk-UA"/>
        </w:rPr>
        <w:t xml:space="preserve">Тарифи встановлюються на період з </w:t>
      </w:r>
      <w:r>
        <w:rPr>
          <w:rFonts w:eastAsia="Times New Roman" w:cs="Times New Roman" w:ascii="Times New Roman" w:hAnsi="Times New Roman"/>
          <w:color w:val="auto"/>
          <w:kern w:val="0"/>
          <w:sz w:val="28"/>
          <w:szCs w:val="28"/>
          <w:lang w:val="uk-UA" w:eastAsia="zh-CN" w:bidi="ar-SA"/>
        </w:rPr>
        <w:t>01</w:t>
      </w:r>
      <w:r>
        <w:rPr>
          <w:rFonts w:ascii="Times New Roman" w:hAnsi="Times New Roman"/>
          <w:color w:val="000000"/>
          <w:sz w:val="28"/>
          <w:szCs w:val="28"/>
          <w:lang w:val="uk-UA"/>
        </w:rPr>
        <w:t xml:space="preserve"> жовт</w:t>
      </w:r>
      <w:r>
        <w:rPr>
          <w:rFonts w:eastAsia="Times New Roman" w:cs="Times New Roman" w:ascii="Times New Roman" w:hAnsi="Times New Roman"/>
          <w:color w:val="auto"/>
          <w:kern w:val="0"/>
          <w:sz w:val="28"/>
          <w:szCs w:val="28"/>
          <w:lang w:val="uk-UA" w:eastAsia="zh-CN" w:bidi="ar-SA"/>
        </w:rPr>
        <w:t>ня</w:t>
      </w:r>
      <w:r>
        <w:rPr>
          <w:rFonts w:ascii="Times New Roman" w:hAnsi="Times New Roman"/>
          <w:color w:val="000000"/>
          <w:sz w:val="28"/>
          <w:szCs w:val="28"/>
          <w:lang w:val="uk-UA"/>
        </w:rPr>
        <w:t xml:space="preserve"> 2022 року по 30 вересня 2023 року. Для категорій споживачів “бюджетні установи” та “релігійні організації”  тарифи застосовуватимуться запропоновані, оскільки відбулось зниження їх рівня у порівнянні з діючими на 24 лютого. Для категорій “населення” та “інші споживачі”, оскільки відбулось підвищення економічно обгрунтованих тарифів, </w:t>
      </w:r>
      <w:r>
        <w:rPr>
          <w:rFonts w:ascii="Times New Roman" w:hAnsi="Times New Roman"/>
          <w:color w:val="000000"/>
          <w:sz w:val="28"/>
          <w:szCs w:val="28"/>
          <w:lang w:val="uk-UA"/>
        </w:rPr>
        <w:t>передбачено</w:t>
      </w:r>
      <w:r>
        <w:rPr>
          <w:rFonts w:ascii="Times New Roman" w:hAnsi="Times New Roman"/>
          <w:color w:val="000000"/>
          <w:sz w:val="28"/>
          <w:szCs w:val="28"/>
          <w:lang w:val="uk-UA"/>
        </w:rPr>
        <w:t xml:space="preserve"> відшкодування різниці в тарифах з Державного бюджету згідно умов чинного законодавства.</w:t>
      </w:r>
    </w:p>
    <w:p>
      <w:pPr>
        <w:pStyle w:val="Default"/>
        <w:widowControl/>
        <w:numPr>
          <w:ilvl w:val="0"/>
          <w:numId w:val="1"/>
        </w:numPr>
        <w:shd w:val="clear" w:fill="FFFFFF"/>
        <w:suppressAutoHyphens w:val="true"/>
        <w:bidi w:val="0"/>
        <w:spacing w:lineRule="auto" w:line="240" w:before="0" w:after="0"/>
        <w:ind w:left="0" w:right="0" w:firstLine="907"/>
        <w:jc w:val="both"/>
        <w:rPr/>
      </w:pPr>
      <w:r>
        <w:rPr>
          <w:bCs/>
          <w:color w:val="000000"/>
          <w:sz w:val="28"/>
          <w:szCs w:val="28"/>
          <w:lang w:val="uk-UA" w:eastAsia="ru-RU"/>
        </w:rPr>
        <w:t xml:space="preserve">Гарантії, що надаються суб’єктам господарювання, які здійснюють виробництво теплової енергії, щодо яких запроваджено мораторій на підвищення цін (тарифів) у сфері теплопостачання та механізм фінансування гарантій і компенсацій визначені Законом України від 29.07.2022 № 2479 «Про особливості регулювання відносин на ринку природного газу та у сфері теплопостачання під час дії воєнного стану та подальшого відновлення їх функціонування». </w:t>
      </w:r>
    </w:p>
    <w:p>
      <w:pPr>
        <w:pStyle w:val="Normal"/>
        <w:spacing w:lineRule="auto" w:line="240" w:before="0" w:after="0"/>
        <w:ind w:firstLine="567"/>
        <w:jc w:val="both"/>
        <w:rPr>
          <w:rFonts w:ascii="Times New Roman" w:hAnsi="Times New Roman"/>
          <w:bCs/>
          <w:sz w:val="28"/>
          <w:szCs w:val="28"/>
          <w:lang w:val="uk-UA" w:eastAsia="ru-RU"/>
        </w:rPr>
      </w:pPr>
      <w:r>
        <w:rPr>
          <w:rFonts w:ascii="Times New Roman" w:hAnsi="Times New Roman"/>
          <w:bCs/>
          <w:sz w:val="28"/>
          <w:szCs w:val="28"/>
          <w:lang w:val="uk-UA" w:eastAsia="ru-RU"/>
        </w:rPr>
      </w:r>
    </w:p>
    <w:p>
      <w:pPr>
        <w:pStyle w:val="Normal"/>
        <w:spacing w:lineRule="auto" w:line="240" w:before="0" w:after="0"/>
        <w:ind w:firstLine="567"/>
        <w:jc w:val="both"/>
        <w:rPr>
          <w:rFonts w:ascii="Times New Roman" w:hAnsi="Times New Roman"/>
          <w:bCs/>
          <w:sz w:val="28"/>
          <w:szCs w:val="28"/>
          <w:lang w:val="uk-UA" w:eastAsia="ru-RU"/>
        </w:rPr>
      </w:pPr>
      <w:r>
        <w:rPr>
          <w:rFonts w:ascii="Times New Roman" w:hAnsi="Times New Roman"/>
          <w:bCs/>
          <w:sz w:val="28"/>
          <w:szCs w:val="28"/>
          <w:lang w:val="uk-UA" w:eastAsia="ru-RU"/>
        </w:rPr>
      </w:r>
    </w:p>
    <w:p>
      <w:pPr>
        <w:pStyle w:val="Normal"/>
        <w:widowControl w:val="false"/>
        <w:spacing w:lineRule="auto" w:line="240" w:before="0" w:after="0"/>
        <w:rPr/>
      </w:pPr>
      <w:r>
        <w:rPr>
          <w:rFonts w:eastAsia="Times New Roman" w:ascii="Times New Roman" w:hAnsi="Times New Roman"/>
          <w:sz w:val="28"/>
          <w:szCs w:val="28"/>
          <w:lang w:val="uk-UA" w:eastAsia="uk-UA"/>
        </w:rPr>
        <w:t>Директор департаменту</w:t>
      </w:r>
    </w:p>
    <w:p>
      <w:pPr>
        <w:pStyle w:val="Normal"/>
        <w:widowControl w:val="false"/>
        <w:spacing w:lineRule="auto" w:line="240" w:before="0" w:after="0"/>
        <w:rPr/>
      </w:pPr>
      <w:r>
        <w:rPr>
          <w:rFonts w:eastAsia="Times New Roman" w:ascii="Times New Roman" w:hAnsi="Times New Roman"/>
          <w:sz w:val="28"/>
          <w:szCs w:val="28"/>
          <w:lang w:val="uk-UA" w:eastAsia="uk-UA"/>
        </w:rPr>
        <w:t xml:space="preserve">економічної політики        </w:t>
        <w:tab/>
        <w:tab/>
        <w:tab/>
        <w:tab/>
        <w:t xml:space="preserve">            </w:t>
        <w:tab/>
        <w:tab/>
        <w:t>Борис СМАЛЬ</w:t>
      </w:r>
    </w:p>
    <w:sectPr>
      <w:type w:val="nextPage"/>
      <w:pgSz w:w="11906" w:h="16838"/>
      <w:pgMar w:left="1701" w:right="567" w:header="0" w:top="1134" w:footer="0" w:bottom="1701"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Segoe UI">
    <w:charset w:val="cc"/>
    <w:family w:val="roman"/>
    <w:pitch w:val="variable"/>
  </w:font>
  <w:font w:name="Liberation Sans">
    <w:altName w:val="Arial"/>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rPr>
        <w:sz w:val="28"/>
      </w:rPr>
    </w:lvl>
    <w:lvl w:ilvl="1">
      <w:start w:val="1"/>
      <w:numFmt w:val="none"/>
      <w:suff w:val="nothing"/>
      <w:lvlText w:val=""/>
      <w:lvlJc w:val="left"/>
      <w:pPr>
        <w:ind w:left="0" w:hanging="0"/>
      </w:pPr>
      <w:rPr>
        <w:sz w:val="32"/>
      </w:r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fals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ru-RU" w:eastAsia="en-US"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8d6484"/>
    <w:pPr>
      <w:widowControl/>
      <w:suppressAutoHyphens w:val="true"/>
      <w:bidi w:val="0"/>
      <w:spacing w:lineRule="auto" w:line="276" w:before="0" w:after="200"/>
      <w:jc w:val="left"/>
    </w:pPr>
    <w:rPr>
      <w:rFonts w:ascii="Calibri" w:hAnsi="Calibri" w:eastAsia="Calibri" w:cs="Times New Roman" w:asciiTheme="minorHAnsi" w:eastAsiaTheme="minorHAnsi" w:hAnsiTheme="minorHAnsi"/>
      <w:color w:val="auto"/>
      <w:kern w:val="0"/>
      <w:sz w:val="22"/>
      <w:szCs w:val="22"/>
      <w:lang w:val="ru-RU" w:eastAsia="en-US" w:bidi="ar-SA"/>
    </w:rPr>
  </w:style>
  <w:style w:type="character" w:styleId="DefaultParagraphFont" w:default="1">
    <w:name w:val="Default Paragraph Font"/>
    <w:uiPriority w:val="1"/>
    <w:semiHidden/>
    <w:unhideWhenUsed/>
    <w:qFormat/>
    <w:rPr/>
  </w:style>
  <w:style w:type="character" w:styleId="Style14">
    <w:name w:val="Гіперпосилання"/>
    <w:basedOn w:val="DefaultParagraphFont"/>
    <w:uiPriority w:val="99"/>
    <w:semiHidden/>
    <w:unhideWhenUsed/>
    <w:rsid w:val="008d6484"/>
    <w:rPr>
      <w:rFonts w:ascii="Times New Roman" w:hAnsi="Times New Roman" w:cs="Times New Roman"/>
      <w:color w:val="0000FF"/>
      <w:u w:val="single"/>
    </w:rPr>
  </w:style>
  <w:style w:type="character" w:styleId="Style15" w:customStyle="1">
    <w:name w:val="Текст выноски Знак"/>
    <w:basedOn w:val="DefaultParagraphFont"/>
    <w:link w:val="BalloonText"/>
    <w:uiPriority w:val="99"/>
    <w:semiHidden/>
    <w:qFormat/>
    <w:rsid w:val="00004ada"/>
    <w:rPr>
      <w:rFonts w:ascii="Segoe UI" w:hAnsi="Segoe UI" w:eastAsia="Calibri" w:cs="Segoe UI"/>
      <w:sz w:val="18"/>
      <w:szCs w:val="18"/>
    </w:rPr>
  </w:style>
  <w:style w:type="character" w:styleId="Style16" w:customStyle="1">
    <w:name w:val="Верхний колонтитул Знак"/>
    <w:basedOn w:val="DefaultParagraphFont"/>
    <w:uiPriority w:val="99"/>
    <w:qFormat/>
    <w:rsid w:val="00387534"/>
    <w:rPr>
      <w:rFonts w:ascii="Calibri" w:hAnsi="Calibri" w:eastAsia="Calibri" w:cs="Times New Roman"/>
    </w:rPr>
  </w:style>
  <w:style w:type="character" w:styleId="Style17" w:customStyle="1">
    <w:name w:val="Нижний колонтитул Знак"/>
    <w:basedOn w:val="DefaultParagraphFont"/>
    <w:uiPriority w:val="99"/>
    <w:qFormat/>
    <w:rsid w:val="00387534"/>
    <w:rPr>
      <w:rFonts w:ascii="Calibri" w:hAnsi="Calibri" w:eastAsia="Calibri" w:cs="Times New Roman"/>
    </w:rPr>
  </w:style>
  <w:style w:type="character" w:styleId="Rvts23" w:customStyle="1">
    <w:name w:val="rvts23"/>
    <w:basedOn w:val="DefaultParagraphFont"/>
    <w:qFormat/>
    <w:rsid w:val="006836c3"/>
    <w:rPr/>
  </w:style>
  <w:style w:type="character" w:styleId="Rvts0" w:customStyle="1">
    <w:name w:val="rvts0"/>
    <w:basedOn w:val="DefaultParagraphFont"/>
    <w:qFormat/>
    <w:rsid w:val="00bc5341"/>
    <w:rPr/>
  </w:style>
  <w:style w:type="character" w:styleId="ListLabel1">
    <w:name w:val="ListLabel 1"/>
    <w:qFormat/>
    <w:rPr>
      <w:sz w:val="28"/>
    </w:rPr>
  </w:style>
  <w:style w:type="character" w:styleId="ListLabel2">
    <w:name w:val="ListLabel 2"/>
    <w:qFormat/>
    <w:rPr>
      <w:sz w:val="32"/>
    </w:rPr>
  </w:style>
  <w:style w:type="character" w:styleId="ListLabel3">
    <w:name w:val="ListLabel 3"/>
    <w:qFormat/>
    <w:rPr>
      <w:sz w:val="28"/>
    </w:rPr>
  </w:style>
  <w:style w:type="character" w:styleId="ListLabel4">
    <w:name w:val="ListLabel 4"/>
    <w:qFormat/>
    <w:rPr>
      <w:sz w:val="32"/>
    </w:rPr>
  </w:style>
  <w:style w:type="character" w:styleId="ListLabel5">
    <w:name w:val="ListLabel 5"/>
    <w:qFormat/>
    <w:rPr>
      <w:sz w:val="28"/>
    </w:rPr>
  </w:style>
  <w:style w:type="character" w:styleId="ListLabel6">
    <w:name w:val="ListLabel 6"/>
    <w:qFormat/>
    <w:rPr>
      <w:sz w:val="32"/>
    </w:rPr>
  </w:style>
  <w:style w:type="paragraph" w:styleId="Style18">
    <w:name w:val="Заголовок"/>
    <w:basedOn w:val="Normal"/>
    <w:next w:val="Style19"/>
    <w:qFormat/>
    <w:pPr>
      <w:keepNext w:val="true"/>
      <w:spacing w:before="240" w:after="120"/>
    </w:pPr>
    <w:rPr>
      <w:rFonts w:ascii="Liberation Sans" w:hAnsi="Liberation Sans" w:eastAsia="Microsoft YaHei" w:cs="Arial"/>
      <w:sz w:val="28"/>
      <w:szCs w:val="28"/>
    </w:rPr>
  </w:style>
  <w:style w:type="paragraph" w:styleId="Style19">
    <w:name w:val="Body Text"/>
    <w:basedOn w:val="Normal"/>
    <w:pPr>
      <w:spacing w:lineRule="auto" w:line="276" w:before="0" w:after="140"/>
    </w:pPr>
    <w:rPr/>
  </w:style>
  <w:style w:type="paragraph" w:styleId="Style20">
    <w:name w:val="List"/>
    <w:basedOn w:val="Style19"/>
    <w:pPr/>
    <w:rPr>
      <w:rFonts w:cs="Arial"/>
    </w:rPr>
  </w:style>
  <w:style w:type="paragraph" w:styleId="Style21">
    <w:name w:val="Caption"/>
    <w:basedOn w:val="Normal"/>
    <w:qFormat/>
    <w:pPr>
      <w:suppressLineNumbers/>
      <w:spacing w:before="120" w:after="120"/>
    </w:pPr>
    <w:rPr>
      <w:rFonts w:cs="Arial"/>
      <w:i/>
      <w:iCs/>
      <w:sz w:val="24"/>
      <w:szCs w:val="24"/>
    </w:rPr>
  </w:style>
  <w:style w:type="paragraph" w:styleId="Style22">
    <w:name w:val="Покажчик"/>
    <w:basedOn w:val="Normal"/>
    <w:qFormat/>
    <w:pPr>
      <w:suppressLineNumbers/>
    </w:pPr>
    <w:rPr>
      <w:rFonts w:cs="Arial"/>
      <w:lang w:val="zxx" w:eastAsia="zxx" w:bidi="zxx"/>
    </w:rPr>
  </w:style>
  <w:style w:type="paragraph" w:styleId="ListParagraph">
    <w:name w:val="List Paragraph"/>
    <w:basedOn w:val="Normal"/>
    <w:uiPriority w:val="34"/>
    <w:qFormat/>
    <w:rsid w:val="008d6484"/>
    <w:pPr>
      <w:spacing w:before="0" w:after="200"/>
      <w:ind w:left="720" w:hanging="0"/>
      <w:contextualSpacing/>
    </w:pPr>
    <w:rPr/>
  </w:style>
  <w:style w:type="paragraph" w:styleId="BalloonText">
    <w:name w:val="Balloon Text"/>
    <w:basedOn w:val="Normal"/>
    <w:link w:val="Style15"/>
    <w:uiPriority w:val="99"/>
    <w:semiHidden/>
    <w:unhideWhenUsed/>
    <w:qFormat/>
    <w:rsid w:val="00004ada"/>
    <w:pPr>
      <w:spacing w:lineRule="auto" w:line="240" w:before="0" w:after="0"/>
    </w:pPr>
    <w:rPr>
      <w:rFonts w:ascii="Segoe UI" w:hAnsi="Segoe UI" w:cs="Segoe UI"/>
      <w:sz w:val="18"/>
      <w:szCs w:val="18"/>
    </w:rPr>
  </w:style>
  <w:style w:type="paragraph" w:styleId="Style23">
    <w:name w:val="Верхній і нижній колонтитули"/>
    <w:basedOn w:val="Normal"/>
    <w:qFormat/>
    <w:pPr/>
    <w:rPr/>
  </w:style>
  <w:style w:type="paragraph" w:styleId="Style24">
    <w:name w:val="Header"/>
    <w:basedOn w:val="Normal"/>
    <w:link w:val="Style16"/>
    <w:uiPriority w:val="99"/>
    <w:unhideWhenUsed/>
    <w:rsid w:val="00387534"/>
    <w:pPr>
      <w:tabs>
        <w:tab w:val="clear" w:pos="708"/>
        <w:tab w:val="center" w:pos="4677" w:leader="none"/>
        <w:tab w:val="right" w:pos="9355" w:leader="none"/>
      </w:tabs>
      <w:spacing w:lineRule="auto" w:line="240" w:before="0" w:after="0"/>
    </w:pPr>
    <w:rPr/>
  </w:style>
  <w:style w:type="paragraph" w:styleId="Style25">
    <w:name w:val="Footer"/>
    <w:basedOn w:val="Normal"/>
    <w:link w:val="Style17"/>
    <w:uiPriority w:val="99"/>
    <w:unhideWhenUsed/>
    <w:rsid w:val="00387534"/>
    <w:pPr>
      <w:tabs>
        <w:tab w:val="clear" w:pos="708"/>
        <w:tab w:val="center" w:pos="4677" w:leader="none"/>
        <w:tab w:val="right" w:pos="9355" w:leader="none"/>
      </w:tabs>
      <w:spacing w:lineRule="auto" w:line="240" w:before="0" w:after="0"/>
    </w:pPr>
    <w:rPr/>
  </w:style>
  <w:style w:type="paragraph" w:styleId="Rvps2" w:customStyle="1">
    <w:name w:val="rvps2"/>
    <w:basedOn w:val="Normal"/>
    <w:qFormat/>
    <w:rsid w:val="00fa6202"/>
    <w:pPr>
      <w:spacing w:lineRule="auto" w:line="240" w:beforeAutospacing="1" w:afterAutospacing="1"/>
    </w:pPr>
    <w:rPr>
      <w:rFonts w:ascii="Times New Roman" w:hAnsi="Times New Roman" w:eastAsia="Times New Roman"/>
      <w:sz w:val="24"/>
      <w:szCs w:val="24"/>
      <w:lang w:eastAsia="ru-RU"/>
    </w:rPr>
  </w:style>
  <w:style w:type="paragraph" w:styleId="NormalWeb">
    <w:name w:val="Normal (Web)"/>
    <w:basedOn w:val="Normal"/>
    <w:qFormat/>
    <w:rsid w:val="00d66f6e"/>
    <w:pPr>
      <w:suppressAutoHyphens w:val="true"/>
      <w:spacing w:lineRule="auto" w:line="240" w:before="280" w:after="280"/>
    </w:pPr>
    <w:rPr>
      <w:rFonts w:ascii="Times New Roman" w:hAnsi="Times New Roman" w:eastAsia="Times New Roman"/>
      <w:sz w:val="24"/>
      <w:szCs w:val="20"/>
      <w:lang w:eastAsia="zh-CN"/>
    </w:rPr>
  </w:style>
  <w:style w:type="paragraph" w:styleId="Style26">
    <w:name w:val="Обычный (веб)"/>
    <w:basedOn w:val="Normal"/>
    <w:qFormat/>
    <w:pPr>
      <w:spacing w:before="280" w:after="280"/>
    </w:pPr>
    <w:rPr>
      <w:bCs w:val="false"/>
      <w:sz w:val="24"/>
      <w:lang w:val="ru-RU"/>
    </w:rPr>
  </w:style>
  <w:style w:type="paragraph" w:styleId="Default">
    <w:name w:val="Default"/>
    <w:qFormat/>
    <w:pPr>
      <w:widowControl/>
      <w:suppressAutoHyphens w:val="true"/>
      <w:bidi w:val="0"/>
      <w:spacing w:lineRule="auto" w:line="240" w:before="0" w:after="0"/>
      <w:jc w:val="left"/>
    </w:pPr>
    <w:rPr>
      <w:rFonts w:ascii="Times New Roman" w:hAnsi="Times New Roman" w:eastAsia="NSimSun" w:cs="Times New Roman"/>
      <w:color w:val="000000"/>
      <w:kern w:val="0"/>
      <w:sz w:val="24"/>
      <w:szCs w:val="24"/>
      <w:lang w:val="uk-UA" w:eastAsia="zh-CN" w:bidi="hi-IN"/>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C36D63-5943-40BB-B432-8BAF6D2C06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3514</TotalTime>
  <Application>LibreOffice/6.2.1.2$Windows_X86_64 LibreOffice_project/7bcb35dc3024a62dea0caee87020152d1ee96e71</Application>
  <Pages>5</Pages>
  <Words>1581</Words>
  <Characters>10443</Characters>
  <CharactersWithSpaces>12035</CharactersWithSpaces>
  <Paragraphs>42</Paragraphs>
  <Company>Microsoft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2017-10-05T21:08:00Z</dcterms:created>
  <dc:creator>User</dc:creator>
  <dc:description/>
  <dc:language>uk-UA</dc:language>
  <cp:lastModifiedBy/>
  <cp:lastPrinted>2022-09-12T05:59:00Z</cp:lastPrinted>
  <dcterms:modified xsi:type="dcterms:W3CDTF">2022-10-07T15:22:56Z</dcterms:modified>
  <cp:revision>98</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Microsoft</vt:lpwstr>
  </property>
</Properties>
</file>