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2137813814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2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 заяви</w:t>
      </w:r>
      <w:r>
        <w:rPr>
          <w:szCs w:val="28"/>
        </w:rPr>
        <w:t xml:space="preserve"> громадянки Плисюк О.В.</w:t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про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надання  </w:t>
      </w:r>
      <w:r>
        <w:rPr>
          <w:spacing w:val="-6"/>
          <w:szCs w:val="28"/>
        </w:rPr>
        <w:t>дозволу на розроблення проекту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12"/>
          <w:szCs w:val="12"/>
        </w:rPr>
        <w:t xml:space="preserve"> </w:t>
      </w:r>
      <w:r>
        <w:rPr>
          <w:szCs w:val="28"/>
        </w:rPr>
        <w:t>землеустрою    щодо  відведення   земельної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ділянки  для</w:t>
      </w:r>
      <w:r>
        <w:rPr>
          <w:sz w:val="20"/>
          <w:szCs w:val="20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індивідуального дачного будів-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ництва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 xml:space="preserve">у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auto" w:val="clear"/>
          <w:lang w:val="uk-UA" w:eastAsia="zh-CN" w:bidi="ar-SA"/>
        </w:rPr>
        <w:t>с. Озерце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auto" w:val="clear"/>
          <w:lang w:val="en-US" w:eastAsia="zh-CN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Луцького району  Волин-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ської області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ind w:right="-868" w:hanging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На виконання рішення Волинського окружного адміністративного суду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22.08</w:t>
      </w:r>
      <w:r>
        <w:rPr>
          <w:szCs w:val="28"/>
        </w:rPr>
        <w:t>.2022 (справа № 140/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1705</w:t>
      </w:r>
      <w:r>
        <w:rPr>
          <w:szCs w:val="28"/>
        </w:rPr>
        <w:t>/2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</w:rPr>
        <w:t xml:space="preserve">) про зобов'язання Луцької міської ради повторно розглянути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Плисюк Ольги Валентинівни</w:t>
      </w:r>
      <w:r>
        <w:rPr>
          <w:szCs w:val="28"/>
        </w:rPr>
        <w:t xml:space="preserve"> </w:t>
      </w:r>
      <w:r>
        <w:rPr>
          <w:szCs w:val="28"/>
        </w:rPr>
        <w:t xml:space="preserve">від 14.12.2021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у власність для індивідуального дачного будівництва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10</w:t>
      </w:r>
      <w:r>
        <w:rPr>
          <w:szCs w:val="28"/>
        </w:rPr>
        <w:t>га, яка розташована у с.</w:t>
      </w:r>
      <w:r>
        <w:rPr>
          <w:szCs w:val="28"/>
          <w:highlight w:val="white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Озерце</w:t>
      </w:r>
      <w:r>
        <w:rPr>
          <w:szCs w:val="28"/>
        </w:rPr>
        <w:t xml:space="preserve"> Луцького району Волинської області, 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Плисюк Ольги Валентинівни</w:t>
      </w:r>
      <w:r>
        <w:rPr>
          <w:szCs w:val="28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14.12.2021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для індивідуального дачного будівництва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0,10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 із графічним матеріалом з позначенням орієнтовного місця розташування земельної ділянки (схема розташування земельної ділянки),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генеральний план села Озерце, затверджений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Озерцівської сільської ради від 23.10.2017 № 17-4/2017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Про затвердження містобудівної документації “Генеральний план с. Озерце”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», </w:t>
      </w:r>
      <w:r>
        <w:rPr>
          <w:szCs w:val="28"/>
        </w:rPr>
        <w:t xml:space="preserve">рішення Луцької міської ради від 22.12.2021 №24/52 «Про розроблення Комплексного плану просторового розвитку території Луцької міської територіальної громади», керуючись статтями </w:t>
      </w:r>
      <w:r>
        <w:rPr>
          <w:color w:val="000000"/>
          <w:sz w:val="28"/>
          <w:szCs w:val="28"/>
          <w:u w:val="none"/>
          <w:lang w:val="ru-RU"/>
        </w:rPr>
        <w:t>12,</w:t>
      </w:r>
      <w:r>
        <w:rPr>
          <w:color w:val="000000"/>
          <w:sz w:val="28"/>
          <w:szCs w:val="28"/>
          <w:u w:val="none"/>
          <w:lang w:val="uk-UA"/>
        </w:rPr>
        <w:t xml:space="preserve"> 19, 50-52,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szCs w:val="28"/>
        </w:rPr>
        <w:t xml:space="preserve"> та </w:t>
      </w:r>
      <w:r>
        <w:rPr>
          <w:color w:val="000000"/>
          <w:szCs w:val="28"/>
          <w:lang w:eastAsia="uk-UA"/>
        </w:rPr>
        <w:t>пунктом 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7</w:t>
      </w:r>
      <w:r>
        <w:rPr>
          <w:color w:val="000000"/>
          <w:szCs w:val="28"/>
          <w:lang w:eastAsia="uk-UA"/>
        </w:rPr>
        <w:t xml:space="preserve">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</w:t>
      </w:r>
      <w:r>
        <w:rPr>
          <w:sz w:val="28"/>
          <w:szCs w:val="28"/>
          <w:u w:val="none"/>
        </w:rPr>
        <w:t>статтею 63 Закон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</w:t>
      </w:r>
      <w:r>
        <w:rPr>
          <w:szCs w:val="28"/>
        </w:rPr>
        <w:t xml:space="preserve"> статтею 24 Закону України «Про регулювання містобудівної діяльності», </w:t>
      </w:r>
      <w:r>
        <w:rPr>
          <w:color w:val="000000"/>
          <w:kern w:val="2"/>
          <w:szCs w:val="28"/>
          <w:shd w:fill="FFFFFF" w:val="clear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стану», </w:t>
      </w:r>
      <w:r>
        <w:rPr>
          <w:color w:val="000000"/>
          <w:kern w:val="2"/>
          <w:szCs w:val="28"/>
          <w:shd w:fill="FFFFFF" w:val="clear"/>
        </w:rPr>
        <w:t xml:space="preserve">ДБН Б.2.2-12:2019 «Планування та забудова територій»,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Наказом Міністерства охорони здоров'я України від 19.06.1996 № 173 «Про затвердження Державних санітарних правил планування та забудови населених пунктів»,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kern w:val="2"/>
          <w:sz w:val="28"/>
          <w:szCs w:val="28"/>
          <w:u w:val="none"/>
          <w:shd w:fill="FFFFFF" w:val="clear"/>
        </w:rPr>
        <w:t xml:space="preserve"> та ст</w:t>
      </w:r>
      <w:r>
        <w:rPr>
          <w:rFonts w:eastAsia="Times New Roman" w:cs="Times New Roman"/>
          <w:color w:val="000000"/>
          <w:kern w:val="2"/>
          <w:sz w:val="28"/>
          <w:szCs w:val="28"/>
          <w:u w:val="none"/>
          <w:shd w:fill="FFFFFF" w:val="clear"/>
          <w:lang w:val="uk-UA" w:eastAsia="zh-CN" w:bidi="ar-SA"/>
        </w:rPr>
        <w:t>аттею</w:t>
      </w:r>
      <w:r>
        <w:rPr>
          <w:color w:val="000000"/>
          <w:kern w:val="2"/>
          <w:sz w:val="28"/>
          <w:szCs w:val="28"/>
          <w:u w:val="none"/>
          <w:shd w:fill="FFFFFF" w:val="clear"/>
        </w:rPr>
        <w:t> 26, пунктом 6.1 розділу</w:t>
      </w:r>
      <w:r>
        <w:rPr>
          <w:color w:val="000000"/>
          <w:kern w:val="2"/>
          <w:sz w:val="28"/>
          <w:szCs w:val="28"/>
          <w:u w:val="none"/>
          <w:shd w:fill="FFFFFF" w:val="clear"/>
          <w:lang w:val="en-US"/>
        </w:rPr>
        <w:t xml:space="preserve"> V</w:t>
      </w:r>
      <w:r>
        <w:rPr>
          <w:color w:val="000000"/>
          <w:kern w:val="2"/>
          <w:sz w:val="28"/>
          <w:szCs w:val="28"/>
          <w:u w:val="none"/>
          <w:shd w:fill="FFFFFF" w:val="clear"/>
          <w:lang w:val="uk-UA"/>
        </w:rPr>
        <w:t xml:space="preserve"> Прикінцевих та перехідних положень </w:t>
      </w:r>
      <w:r>
        <w:rPr>
          <w:color w:val="000000"/>
          <w:kern w:val="2"/>
          <w:sz w:val="28"/>
          <w:szCs w:val="28"/>
          <w:u w:val="none"/>
          <w:shd w:fill="FFFFFF" w:val="clear"/>
        </w:rPr>
        <w:t>Закону України «Про місцеве самоврядування в Україні»,</w:t>
      </w:r>
      <w:r>
        <w:rPr>
          <w:szCs w:val="28"/>
        </w:rPr>
        <w:t xml:space="preserve">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170" w:firstLine="567"/>
        <w:jc w:val="both"/>
        <w:rPr>
          <w:szCs w:val="28"/>
        </w:rPr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ці Плисюк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Ользі Валентинівні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наданні дозволу на розроблення проекту землеустрою щодо відведення земельної ділянки у власність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для індивідуального дачного будівництва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Озерце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Луцького району Волинської області,</w:t>
      </w:r>
      <w:r>
        <w:rPr>
          <w:szCs w:val="28"/>
        </w:rPr>
        <w:t xml:space="preserve"> орієнтовною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14.12.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2021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</w:t>
      </w:r>
      <w:r>
        <w:rPr>
          <w:spacing w:val="0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Ірину Чебелюк</w:t>
      </w:r>
      <w:r>
        <w:rPr>
          <w:spacing w:val="0"/>
          <w:szCs w:val="28"/>
        </w:rPr>
        <w:t xml:space="preserve"> та постійну комісію міської ради з питань земельних відносин та земельного кадастру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>
          <w:sz w:val="24"/>
        </w:rPr>
        <w:t xml:space="preserve">Туз 777 863 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WWWW8Num1ztrue7111111111111111111111111111111111111" w:customStyle="1">
    <w:name w:val="WW-WW8Num1ztrue7111111111111111111111111111111111111"/>
    <w:qFormat/>
    <w:rPr/>
  </w:style>
  <w:style w:type="character" w:styleId="WWWW8Num1ztrue11111111111111111111111111111111111111" w:customStyle="1">
    <w:name w:val="WW-WW8Num1ztrue11111111111111111111111111111111111111"/>
    <w:qFormat/>
    <w:rPr/>
  </w:style>
  <w:style w:type="character" w:styleId="WWWW8Num1ztrue21111111111111111111111111111111111111" w:customStyle="1">
    <w:name w:val="WW-WW8Num1ztrue21111111111111111111111111111111111111"/>
    <w:qFormat/>
    <w:rPr/>
  </w:style>
  <w:style w:type="character" w:styleId="WWWW8Num1ztrue31111111111111111111111111111111111111" w:customStyle="1">
    <w:name w:val="WW-WW8Num1ztrue31111111111111111111111111111111111111"/>
    <w:qFormat/>
    <w:rPr/>
  </w:style>
  <w:style w:type="character" w:styleId="WWWW8Num1ztrue41111111111111111111111111111111111111" w:customStyle="1">
    <w:name w:val="WW-WW8Num1ztrue41111111111111111111111111111111111111"/>
    <w:qFormat/>
    <w:rPr/>
  </w:style>
  <w:style w:type="character" w:styleId="WWWW8Num1ztrue51111111111111111111111111111111111111" w:customStyle="1">
    <w:name w:val="WW-WW8Num1ztrue51111111111111111111111111111111111111"/>
    <w:qFormat/>
    <w:rPr/>
  </w:style>
  <w:style w:type="character" w:styleId="WWWW8Num1ztrue61111111111111111111111111111111111111" w:customStyle="1">
    <w:name w:val="WW-WW8Num1ztrue61111111111111111111111111111111111111"/>
    <w:qFormat/>
    <w:rPr/>
  </w:style>
  <w:style w:type="character" w:styleId="WWWW8Num1ztrue71111111111111111111111111111111111111" w:customStyle="1">
    <w:name w:val="WW-WW8Num1ztrue71111111111111111111111111111111111111"/>
    <w:qFormat/>
    <w:rPr/>
  </w:style>
  <w:style w:type="character" w:styleId="WWWW8Num1ztrue111111111111111111111111111111111111111" w:customStyle="1">
    <w:name w:val="WW-WW8Num1ztrue111111111111111111111111111111111111111"/>
    <w:qFormat/>
    <w:rPr/>
  </w:style>
  <w:style w:type="character" w:styleId="WWWW8Num1ztrue211111111111111111111111111111111111111" w:customStyle="1">
    <w:name w:val="WW-WW8Num1ztrue211111111111111111111111111111111111111"/>
    <w:qFormat/>
    <w:rPr/>
  </w:style>
  <w:style w:type="character" w:styleId="WWWW8Num1ztrue311111111111111111111111111111111111111" w:customStyle="1">
    <w:name w:val="WW-WW8Num1ztrue311111111111111111111111111111111111111"/>
    <w:qFormat/>
    <w:rPr/>
  </w:style>
  <w:style w:type="character" w:styleId="WWWW8Num1ztrue411111111111111111111111111111111111111" w:customStyle="1">
    <w:name w:val="WW-WW8Num1ztrue411111111111111111111111111111111111111"/>
    <w:qFormat/>
    <w:rPr/>
  </w:style>
  <w:style w:type="character" w:styleId="WWWW8Num1ztrue511111111111111111111111111111111111111" w:customStyle="1">
    <w:name w:val="WW-WW8Num1ztrue511111111111111111111111111111111111111"/>
    <w:qFormat/>
    <w:rPr/>
  </w:style>
  <w:style w:type="character" w:styleId="WWWW8Num1ztrue611111111111111111111111111111111111111" w:customStyle="1">
    <w:name w:val="WW-WW8Num1ztrue611111111111111111111111111111111111111"/>
    <w:qFormat/>
    <w:rPr/>
  </w:style>
  <w:style w:type="character" w:styleId="WWWW8Num1ztrue711111111111111111111111111111111111111" w:customStyle="1">
    <w:name w:val="WW-WW8Num1ztrue711111111111111111111111111111111111111"/>
    <w:qFormat/>
    <w:rPr/>
  </w:style>
  <w:style w:type="character" w:styleId="WWWW8Num1ztrue1111111111111111111111111111111111111111" w:customStyle="1">
    <w:name w:val="WW-WW8Num1ztrue1111111111111111111111111111111111111111"/>
    <w:qFormat/>
    <w:rPr/>
  </w:style>
  <w:style w:type="character" w:styleId="WWWW8Num1ztrue2111111111111111111111111111111111111111" w:customStyle="1">
    <w:name w:val="WW-WW8Num1ztrue2111111111111111111111111111111111111111"/>
    <w:qFormat/>
    <w:rPr/>
  </w:style>
  <w:style w:type="character" w:styleId="WWWW8Num1ztrue3111111111111111111111111111111111111111" w:customStyle="1">
    <w:name w:val="WW-WW8Num1ztrue3111111111111111111111111111111111111111"/>
    <w:qFormat/>
    <w:rPr/>
  </w:style>
  <w:style w:type="character" w:styleId="WWWW8Num1ztrue4111111111111111111111111111111111111111" w:customStyle="1">
    <w:name w:val="WW-WW8Num1ztrue4111111111111111111111111111111111111111"/>
    <w:qFormat/>
    <w:rPr/>
  </w:style>
  <w:style w:type="character" w:styleId="WWWW8Num1ztrue5111111111111111111111111111111111111111" w:customStyle="1">
    <w:name w:val="WW-WW8Num1ztrue5111111111111111111111111111111111111111"/>
    <w:qFormat/>
    <w:rPr/>
  </w:style>
  <w:style w:type="character" w:styleId="WWWW8Num1ztrue6111111111111111111111111111111111111111" w:customStyle="1">
    <w:name w:val="WW-WW8Num1ztrue6111111111111111111111111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Application>LibreOffice/7.1.3.2$Windows_X86_64 LibreOffice_project/47f78053abe362b9384784d31a6e56f8511eb1c1</Application>
  <AppVersion>15.0000</AppVersion>
  <Pages>2</Pages>
  <Words>436</Words>
  <Characters>2970</Characters>
  <CharactersWithSpaces>3613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2022-09-06T11:12:40Z</cp:lastPrinted>
  <dcterms:modified xsi:type="dcterms:W3CDTF">2022-09-08T10:09:55Z</dcterms:modified>
  <cp:revision>392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