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Cs w:val="28"/>
        </w:rPr>
      </w:pPr>
      <w:r>
        <w:rPr>
          <w:szCs w:val="28"/>
        </w:rPr>
        <w:t>Пояснювальна записка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до проєкту рішення виконавчого комітету Луцької міської ради</w:t>
      </w:r>
    </w:p>
    <w:p>
      <w:pPr>
        <w:pStyle w:val="Normal"/>
        <w:jc w:val="center"/>
        <w:rPr/>
      </w:pPr>
      <w:r>
        <w:rPr>
          <w:szCs w:val="28"/>
        </w:rPr>
        <w:t xml:space="preserve">«Про </w:t>
      </w:r>
      <w:r>
        <w:rPr>
          <w:szCs w:val="28"/>
          <w:lang w:val="ru-RU"/>
        </w:rPr>
        <w:t>встановлення тарифів на теплову енергію, що виробляється</w:t>
      </w:r>
      <w:r>
        <w:rPr>
          <w:szCs w:val="28"/>
        </w:rPr>
        <w:t xml:space="preserve">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ТзОВ “Енергозбереження Волинь”»</w:t>
      </w:r>
    </w:p>
    <w:p>
      <w:pPr>
        <w:pStyle w:val="Normal"/>
        <w:jc w:val="center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2"/>
        <w:spacing w:before="0" w:after="0"/>
        <w:ind w:firstLine="567"/>
        <w:jc w:val="both"/>
        <w:rPr/>
      </w:pPr>
      <w:r>
        <w:rPr>
          <w:rFonts w:cs="Times New Roman" w:ascii="Times New Roman" w:hAnsi="Times New Roman"/>
          <w:b w:val="false"/>
          <w:i w:val="false"/>
          <w:color w:val="000000"/>
        </w:rPr>
        <w:t>Законом України 29.07.2022 № 2479-IX «Про особливості регулювання відносин на ринку природного газу та у сфері теплопостачання під час дії воєнного стану та подальшого відновлення їх функціонування» введено мораторій на підвищення цін (тарифів) на ринку природного газу та у сфері теплопостачання та передбачено механізм фінансування гарантій і компенсацій для виробників теплової енергії з державного бюджету.</w:t>
      </w:r>
    </w:p>
    <w:p>
      <w:pPr>
        <w:pStyle w:val="Normal"/>
        <w:ind w:firstLine="567"/>
        <w:jc w:val="both"/>
        <w:rPr/>
      </w:pPr>
      <w:r>
        <w:rPr>
          <w:szCs w:val="28"/>
        </w:rPr>
        <w:t>Для нарахування плати за теплову енергію п</w:t>
      </w:r>
      <w:r>
        <w:rPr>
          <w:color w:val="000000"/>
          <w:szCs w:val="28"/>
        </w:rPr>
        <w:t>ротягом дії воєнного стану в Україні та шести місяців після місяця, в якому воєнний стан буде припинено або скасовано, будуть застосовуватись тарифи, які діяли станом на 24 лю</w:t>
      </w:r>
      <w:r>
        <w:rPr/>
        <w:t>того 2022 року.</w:t>
      </w:r>
    </w:p>
    <w:p>
      <w:pPr>
        <w:pStyle w:val="Normal"/>
        <w:ind w:firstLine="567"/>
        <w:jc w:val="both"/>
        <w:rPr/>
      </w:pPr>
      <w:r>
        <w:rPr>
          <w:szCs w:val="28"/>
        </w:rPr>
        <w:t>Товариство з обмеженою відповідальністю «Енергозбереження Волинь» виробляє теплову енергію з використанням твердого палива (пелети) та постачає її для потреб опалення Луцького ВПУ будівництва і архітектури на вул. Потебні, 52 (у т. ч. гуртожиток), Головного управління національної поліції у Волинській області, що знаходиться на вул. Винниченка, 11.</w:t>
      </w:r>
    </w:p>
    <w:p>
      <w:pPr>
        <w:pStyle w:val="Normal"/>
        <w:ind w:firstLine="567"/>
        <w:jc w:val="both"/>
        <w:rPr/>
      </w:pPr>
      <w:r>
        <w:rPr>
          <w:szCs w:val="28"/>
        </w:rPr>
        <w:t>Відповідно до ст.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20 Закону України «Про теплопостачання», тариф на виробництво теплової енергії з альтернативних джерел енергії </w:t>
      </w:r>
      <w:r>
        <w:rPr>
          <w:bCs w:val="false"/>
          <w:szCs w:val="28"/>
        </w:rPr>
        <w:t>встановлюється на рівні 90</w:t>
      </w:r>
      <w:r>
        <w:rPr>
          <w:bCs w:val="false"/>
          <w:szCs w:val="28"/>
          <w:lang w:val="en-US"/>
        </w:rPr>
        <w:t> </w:t>
      </w:r>
      <w:r>
        <w:rPr>
          <w:bCs w:val="false"/>
          <w:szCs w:val="28"/>
        </w:rPr>
        <w:t xml:space="preserve">% від середньозваженого тарифу на теплову енергію, вироблену з використанням природного газу для потреб визначеної категорії споживачів у Волинській області, який визначається Державним агентством з енергоефективності та енергозбереження України на кожний квартал. </w:t>
      </w:r>
    </w:p>
    <w:p>
      <w:pPr>
        <w:pStyle w:val="Normal"/>
        <w:ind w:firstLine="567"/>
        <w:jc w:val="both"/>
        <w:rPr/>
      </w:pPr>
      <w:r>
        <w:rPr>
          <w:bCs w:val="false"/>
          <w:szCs w:val="28"/>
        </w:rPr>
        <w:t>Так, середньозважений тариф на теплову енергію, вироблену з використанням природного газу у Волинській області станом на 23 вересня 2022 року для потреб</w:t>
      </w:r>
      <w:r>
        <w:rPr>
          <w:bCs w:val="false"/>
          <w:color w:val="CE181E"/>
          <w:szCs w:val="28"/>
        </w:rPr>
        <w:t xml:space="preserve"> </w:t>
      </w:r>
      <w:r>
        <w:rPr>
          <w:bCs w:val="false"/>
          <w:color w:val="000000"/>
          <w:szCs w:val="28"/>
        </w:rPr>
        <w:t>населення становить 1822,65 грн за 1 Гкал (без ПДВ), для установ та організацій, що фінансуються з державного чи місцевого бюджету відповідно 333</w:t>
      </w:r>
      <w:r>
        <w:rPr>
          <w:bCs w:val="false"/>
          <w:color w:val="000000"/>
          <w:szCs w:val="28"/>
        </w:rPr>
        <w:t>8</w:t>
      </w:r>
      <w:r>
        <w:rPr>
          <w:bCs w:val="false"/>
          <w:color w:val="000000"/>
          <w:szCs w:val="28"/>
        </w:rPr>
        <w:t>,33 грн за 1 Гкал (без ПДВ).</w:t>
      </w:r>
    </w:p>
    <w:p>
      <w:pPr>
        <w:pStyle w:val="Normal"/>
        <w:ind w:firstLine="567"/>
        <w:jc w:val="both"/>
        <w:rPr>
          <w:bCs w:val="false"/>
          <w:color w:val="000000"/>
          <w:szCs w:val="28"/>
        </w:rPr>
      </w:pPr>
      <w:r>
        <w:rPr>
          <w:bCs w:val="false"/>
          <w:color w:val="000000"/>
          <w:szCs w:val="28"/>
        </w:rPr>
        <w:t>Відповідно, тариф на теплову енергію, вироблену з альтернативних джерел енергії, що включає виробництво, транспортування та постачання становить:</w:t>
      </w:r>
    </w:p>
    <w:p>
      <w:pPr>
        <w:pStyle w:val="Normal"/>
        <w:ind w:firstLine="567"/>
        <w:jc w:val="both"/>
        <w:rPr/>
      </w:pPr>
      <w:r>
        <w:rPr>
          <w:bCs w:val="false"/>
          <w:color w:val="000000"/>
          <w:szCs w:val="28"/>
        </w:rPr>
        <w:t>для потреб населення – 1640,39 грн (без ПДВ) ;</w:t>
      </w:r>
    </w:p>
    <w:p>
      <w:pPr>
        <w:pStyle w:val="Normal"/>
        <w:ind w:firstLine="567"/>
        <w:jc w:val="both"/>
        <w:rPr/>
      </w:pPr>
      <w:r>
        <w:rPr>
          <w:color w:val="000000"/>
          <w:szCs w:val="28"/>
        </w:rPr>
        <w:t xml:space="preserve">для </w:t>
      </w:r>
      <w:r>
        <w:rPr>
          <w:color w:val="000000"/>
        </w:rPr>
        <w:t xml:space="preserve">потреб установ та організацій, </w:t>
      </w:r>
      <w:r>
        <w:rPr/>
        <w:t xml:space="preserve">що фінансуються з державного та місцевого бюджету, </w:t>
      </w:r>
      <w:r>
        <w:rPr>
          <w:color w:val="000000"/>
        </w:rPr>
        <w:t>становить 3004,5 грн за 1 Гкал (без ПДВ) .</w:t>
      </w:r>
    </w:p>
    <w:p>
      <w:pPr>
        <w:pStyle w:val="Normal"/>
        <w:ind w:firstLine="708"/>
        <w:jc w:val="both"/>
        <w:rPr>
          <w:bCs w:val="false"/>
          <w:color w:val="CE181E"/>
          <w:szCs w:val="28"/>
        </w:rPr>
      </w:pPr>
      <w:r>
        <w:rPr>
          <w:bCs w:val="false"/>
          <w:color w:val="CE181E"/>
          <w:szCs w:val="28"/>
        </w:rPr>
        <w:t xml:space="preserve"> </w:t>
      </w:r>
    </w:p>
    <w:p>
      <w:pPr>
        <w:pStyle w:val="Normal"/>
        <w:jc w:val="both"/>
        <w:rPr>
          <w:bCs w:val="false"/>
          <w:szCs w:val="28"/>
          <w:lang w:val="ru-RU"/>
        </w:rPr>
      </w:pPr>
      <w:r>
        <w:rPr>
          <w:bCs w:val="false"/>
          <w:szCs w:val="28"/>
          <w:lang w:val="ru-RU"/>
        </w:rPr>
      </w:r>
    </w:p>
    <w:p>
      <w:pPr>
        <w:pStyle w:val="Normal"/>
        <w:rPr/>
      </w:pPr>
      <w:r>
        <w:rPr>
          <w:bCs w:val="false"/>
          <w:szCs w:val="28"/>
        </w:rPr>
        <w:t>Д</w:t>
      </w:r>
      <w:r>
        <w:rPr>
          <w:szCs w:val="28"/>
        </w:rPr>
        <w:t xml:space="preserve">иректор департаменту </w:t>
      </w:r>
    </w:p>
    <w:p>
      <w:pPr>
        <w:pStyle w:val="Normal"/>
        <w:rPr>
          <w:szCs w:val="28"/>
        </w:rPr>
      </w:pPr>
      <w:r>
        <w:rPr>
          <w:szCs w:val="28"/>
        </w:rPr>
        <w:t xml:space="preserve">економічної політики                                                                  Борис СМАЛЬ    </w:t>
      </w:r>
    </w:p>
    <w:sectPr>
      <w:headerReference w:type="default" r:id="rId2"/>
      <w:headerReference w:type="first" r:id="rId3"/>
      <w:type w:val="nextPage"/>
      <w:pgSz w:w="11906" w:h="16838"/>
      <w:pgMar w:left="1985" w:right="851" w:gutter="0" w:header="709" w:top="766" w:footer="0" w:bottom="567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ind w:right="360" w:hanging="0"/>
      <w:rPr/>
    </w:pPr>
    <w:r>
      <w:rPr/>
      <mc:AlternateContent>
        <mc:Choice Requires="wps">
          <w:drawing>
            <wp:anchor behindDoc="1" distT="0" distB="0" distL="114300" distR="114300" simplePos="0" locked="0" layoutInCell="0" allowOverlap="1" relativeHeight="2" wp14:anchorId="030F9E66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3030" cy="686435"/>
              <wp:effectExtent l="5080" t="5715" r="5080" b="4445"/>
              <wp:wrapSquare wrapText="largest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3040" cy="6865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path="m0,0l-2147483645,0l-2147483645,-2147483646l0,-2147483646xe" fillcolor="white" stroked="t" o:allowincell="f" style="position:absolute;margin-left:0pt;margin-top:0.05pt;width:8.85pt;height:54pt;mso-wrap-style:none;v-text-anchor:middle" wp14:anchorId="030F9E66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0"/>
      <w:lang w:bidi="ar-SA" w:val="uk-UA" w:eastAsia="zh-CN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Основной шрифт абзаца"/>
    <w:qFormat/>
    <w:rPr/>
  </w:style>
  <w:style w:type="character" w:styleId="3" w:customStyle="1">
    <w:name w:val="Основной шрифт абзаца3"/>
    <w:qFormat/>
    <w:rPr/>
  </w:style>
  <w:style w:type="character" w:styleId="21" w:customStyle="1">
    <w:name w:val="Основной шрифт абзаца2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Times New Roman" w:hAnsi="Times New Roman" w:eastAsia="Times New Roman" w:cs="Times New Roman"/>
      <w:color w:val="000000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Times New Roman" w:hAnsi="Times New Roman" w:eastAsia="Times New Roman" w:cs="Times New Roman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Rvts0" w:customStyle="1">
    <w:name w:val="rvts0"/>
    <w:basedOn w:val="1"/>
    <w:qFormat/>
    <w:rPr/>
  </w:style>
  <w:style w:type="character" w:styleId="Style14">
    <w:name w:val="Гіперпосилання"/>
    <w:basedOn w:val="1"/>
    <w:qFormat/>
    <w:rPr>
      <w:color w:val="0000FF"/>
      <w:u w:val="single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Указатель"/>
    <w:basedOn w:val="Normal"/>
    <w:qFormat/>
    <w:pPr>
      <w:suppressLineNumbers/>
    </w:pPr>
    <w:rPr>
      <w:rFonts w:cs="Arial"/>
    </w:rPr>
  </w:style>
  <w:style w:type="paragraph" w:styleId="Style21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 w:customStyle="1">
    <w:name w:val="Колонтитул"/>
    <w:basedOn w:val="Normal"/>
    <w:qFormat/>
    <w:pPr/>
    <w:rPr/>
  </w:style>
  <w:style w:type="paragraph" w:styleId="Style24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Application>LibreOffice/7.3.4.2$Windows_X86_64 LibreOffice_project/728fec16bd5f605073805c3c9e7c4212a0120dc5</Application>
  <AppVersion>15.0000</AppVersion>
  <Pages>1</Pages>
  <Words>313</Words>
  <Characters>1983</Characters>
  <CharactersWithSpaces>2356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Vasilkovska</dc:creator>
  <dc:description/>
  <dc:language>uk-UA</dc:language>
  <cp:lastModifiedBy/>
  <cp:lastPrinted>2022-11-04T09:48:00Z</cp:lastPrinted>
  <dcterms:modified xsi:type="dcterms:W3CDTF">2022-11-10T09:55:05Z</dcterms:modified>
  <cp:revision>16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