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/>
          <w:color w:val="000000"/>
          <w:kern w:val="2"/>
          <w:sz w:val="28"/>
          <w:szCs w:val="28"/>
        </w:rPr>
        <w:t xml:space="preserve"> </w:t>
      </w:r>
      <w:r>
        <w:rPr>
          <w:b/>
          <w:bCs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b w:val="false"/>
          <w:bCs w:val="false"/>
          <w:color w:val="000000"/>
          <w:kern w:val="2"/>
          <w:sz w:val="28"/>
          <w:szCs w:val="28"/>
        </w:rPr>
        <w:t>Додаток 2</w:t>
      </w:r>
    </w:p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 w:val="false"/>
          <w:bCs w:val="false"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туризму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Луцької міської територіальної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громади на 2021-2023 роки</w:t>
      </w:r>
    </w:p>
    <w:p>
      <w:pPr>
        <w:pStyle w:val="Normal"/>
        <w:jc w:val="righ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Напрями діяльності, завдання та заходи  </w:t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>на 2021-2023 роки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tbl>
      <w:tblPr>
        <w:tblW w:w="15461" w:type="dxa"/>
        <w:jc w:val="left"/>
        <w:tblInd w:w="-72" w:type="dxa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505"/>
        <w:gridCol w:w="2090"/>
        <w:gridCol w:w="2378"/>
        <w:gridCol w:w="1532"/>
        <w:gridCol w:w="2137"/>
        <w:gridCol w:w="1968"/>
        <w:gridCol w:w="1863"/>
        <w:gridCol w:w="2986"/>
      </w:tblGrid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№ </w:t>
            </w: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з/п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Напрями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діяльності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Перелік заходів </w:t>
            </w:r>
          </w:p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Програми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Терміни </w:t>
            </w:r>
          </w:p>
          <w:p>
            <w:pPr>
              <w:pStyle w:val="Normal"/>
              <w:widowControl w:val="false"/>
              <w:suppressAutoHyphens w:val="false"/>
              <w:ind w:left="0" w:right="-115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виконання 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Виконавці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ind w:left="-108" w:right="-131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Джерела фінансування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Орієнтовні обсяги фінансування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(тис. грн)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ind w:left="-46" w:right="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Очікуваний результат</w:t>
            </w:r>
          </w:p>
        </w:tc>
      </w:tr>
      <w:tr>
        <w:trPr>
          <w:trHeight w:val="761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0" w:right="0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бюджет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Отримання статистичних даних, які відображають стан галузі у Луцьку: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</w:tr>
      <w:tr>
        <w:trPr>
          <w:trHeight w:val="80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1.2. Створення Стратегії туристичного розвитку Луцька на 202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-2033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250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Визначеність шляху розвитку Луцька як туристичної дестинації, забезпечення системного розвитку туризму як важливої стратегічної галузі 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20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12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Маркетинг та промоція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2.1. Впровадження шкільної програми курсу «Луцькознавство»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д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епартамент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освіти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Виховання у школярів любові й поваги до рідного міста, підвищення поінформованості про його історичну роль, місце і значення в українській та європейській історії різних періодів; поширення знань про культуру, архітектуру,  мистецтво, видатних особистостей, причетних до його становлення; виховання особистості лучанина/лучанки</w:t>
            </w:r>
          </w:p>
        </w:tc>
      </w:tr>
      <w:tr>
        <w:trPr>
          <w:trHeight w:val="6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2.2. Створення фото та відеоконтенту як ефективного способу промоції міста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Поширення промоційних роликів з позитивною інформацією про місто, події, особистостей, пов'язаних з ним</w:t>
            </w:r>
          </w:p>
        </w:tc>
      </w:tr>
      <w:tr>
        <w:trPr>
          <w:trHeight w:val="7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2.3. Проведення в Луцьку літературної  резиденції  за участю популярних авторів. Забезпечення їх комфортного перебування в місті (проживання, харчування)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eastAsia="Times New Roman" w:cs="Times New Roman"/>
                <w:bCs/>
                <w:color w:val="000000"/>
                <w:kern w:val="2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низки творів різних жанрів про Луцьк та видання книги з подальшою презентацією на загальноукраїнських літературних подіях і розповсюдження у роздрібних мережах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5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9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2.4. Організація та проведення прес-турів,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управління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 КП «Центр туристичної інформації та послуг», музеї міста, 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Розміщення промоційних статей про Луцьку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міську територіальну громаду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у спеціалізованих друкованих та електронних ЗМІ.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Ознайомлення широкої аудиторії в Україні із туристичним та культурно-мистецьким потенціалом Луцька, поширення інформації про місто у вітчизняних та закордонних ЗМІ, в Інтернет ресурсах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2.5. Промоція З'їзду європейських монархів 1429 року у Луцьку як брендоутворюючої події для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міської територіальної громади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Використання знакової історичної події міста Луцька для посилення його видимості на міжнародному та національному туристичному ринках, монетизація цієї події. За сприятливих обставин та відміни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воєнного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стану - проведення фестивалю «Князівський бенкет»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50,00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15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2.6. Підтримка і розвиток проєкту «Луцький кликун» 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Популяризація образу міського героя – Луцького кликуна. Оплата праці луцького кликуна. 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74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2.7. Презентація туристичного потенціалу міста на міжнародних та національних туристичних виставках, форумах, конференціях, семінарах тощо (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відрядні витрати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доїзд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80,00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Формування позитивного іміджу міста у туристів,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туропер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аторів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та турагентів, а також поширення інформації про його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51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8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 Організація та проведення туристичних форумів, презентацій, конференцій, круглих столів, майстер-класів, лекцій тощо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сприятливого простору для пошуку партнерів, обміну досвідом та налагодження співпраці у туристичній сфері. Сприяння формуванню нових напрямів розвитку туристичної галузі та обговорення плану дій щодо розвитку туризму як на місцевому рівні, так і на загальнодержавному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7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9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. Відкриття туристичного сезону та проведення заходу «Арт-променд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“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Так звучить Луцьк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”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 xml:space="preserve">управління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Волинська обласна філармонія, Волинський коледж культури і мистецтв імені І.Ф.Стравінського (за згодою)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Популяризація туристичного потенціалу міста,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206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2.10. Відзначення Дня туризму (проведення інтелектуальних ігор для вузів, представників туристичного активу, проведення театралізованих екскурсій та інших тематичних заходів)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ГС «Туристичний альянс Луцька»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Консолідація гравців туристичного ринку Луцька, популяризація туристичного потенціалу міста, поширення знань про місто</w:t>
            </w:r>
          </w:p>
        </w:tc>
      </w:tr>
      <w:tr>
        <w:trPr>
          <w:trHeight w:val="67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2.11. Розробка, дизайн та виготовлення промоційної поліграфічної та сувенірної продукції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Підтримка єдиного стилю сувенірної та поліграфічної продукції, що сприятиме популяризації та впізнаваності бренду міста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Розвиток туристичної інфраструктури</w:t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3.1. Розширення та вдосконалення системи туристичного ознакування. Сканування пам’яток архітектури.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Створення для туристів сприятливих умов для орієнтування  в межах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 xml:space="preserve">міської територіальної громади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(встановлення туристичних знаків, вказівників, інформаційних таблиць)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99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професійного рівня працівників туристичної галузі та працівників управління</w:t>
            </w:r>
          </w:p>
          <w:p>
            <w:pPr>
              <w:pStyle w:val="Normal"/>
              <w:widowControl w:val="false"/>
              <w:suppressLineNumbers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4.1. Проведення заходів з підготовки, перепідготовки та підвищення кваліфікації екскурсоводів і гідів-перекладачів. Забезпечення функціонування школи гідів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вищі навчальні заклади міста, Луцький центр зайнятості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Підготовка висококваліфікованих екскурсоводів, підвищення якості надання екскурсійних послуг</w:t>
            </w:r>
          </w:p>
        </w:tc>
      </w:tr>
      <w:tr>
        <w:trPr>
          <w:trHeight w:val="11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4.2. Затвердження єдиних правил ведення екскурсійної діяльності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08" w:right="-131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-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Регламентоване ведення екскурсійної діяльності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938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4.3. Проведення зустрічей, семінарів, майстер-класів для представників готельного та ресторанного бізнесу із залученням експертів національного та міжнародного рівня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КП «Центр туристичної інформації та послуг»,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департамент економічної політики,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ГС «Туристичний альянс Луцька»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Забезпечення належного рівня обслуговування туристів у закладах харчування, проживання тощо; створення нових туристичних продуктів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527" w:hRule="atLeast"/>
        </w:trPr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5.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Співпраця з громадою Луцької міської територіальної громади, бізнесом, Адміністрацією державного історико-культурного заповідника у м. Луцьку, музеями та навчальними закладами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5.1. Проведення спільних заходів та акцій, реалізація проєктів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Налагодження діалогу з гравцями туристичного ринку, підвищення якості обслуговування туристів, створення нових туристичних продуктів; залучення науковців та студентів ВНЗ до розвитку туристичної галузі міста Луцька, збільшення асортименту туристичних послуг; створення у громади міста почуття співучасті та відповідальності за розвиток міста, участь громадськості у формуванні туристичної галузі міста, а також її залучення до творення образу міста як туристичної дестинації</w:t>
            </w:r>
          </w:p>
        </w:tc>
      </w:tr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проєкти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міста Луцька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5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туристичної привабливості дестинації; залучення грантових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Теліпська 777 924</w:t>
      </w:r>
    </w:p>
    <w:sectPr>
      <w:headerReference w:type="default" r:id="rId2"/>
      <w:type w:val="nextPage"/>
      <w:pgSz w:orient="landscape" w:w="16838" w:h="11906"/>
      <w:pgMar w:left="1134" w:right="674" w:header="567" w:top="624" w:footer="0" w:bottom="1984" w:gutter="0"/>
      <w:pgNumType w:start="2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  <w:p>
    <w:pPr>
      <w:pStyle w:val="Style27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  <w:textAlignment w:val="top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color w:val="000000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cs="Times New Roman"/>
      <w:color w:val="000000"/>
    </w:rPr>
  </w:style>
  <w:style w:type="character" w:styleId="Style11">
    <w:name w:val="Основной шрифт абзаца"/>
    <w:qFormat/>
    <w:rPr/>
  </w:style>
  <w:style w:type="character" w:styleId="9">
    <w:name w:val="Основной шрифт абзаца9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WW8Num4z0">
    <w:name w:val="WW8Num4z0"/>
    <w:qFormat/>
    <w:rPr>
      <w:rFonts w:ascii="Wingdings" w:hAnsi="Wingdings" w:cs="Wingdings"/>
      <w:color w:val="000000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Style15">
    <w:name w:val="Гіперпосилання"/>
    <w:rPr>
      <w:color w:val="0000FF"/>
      <w:u w:val="single"/>
    </w:rPr>
  </w:style>
  <w:style w:type="character" w:styleId="32">
    <w:name w:val="Заголовок 3 Знак"/>
    <w:qFormat/>
    <w:rPr>
      <w:rFonts w:ascii="Cambria" w:hAnsi="Cambria" w:cs="Cambria"/>
      <w:b/>
      <w:bCs/>
      <w:sz w:val="26"/>
      <w:szCs w:val="26"/>
      <w:lang w:val="uk-UA" w:eastAsia="zh-CN" w:bidi="ar-SA"/>
    </w:rPr>
  </w:style>
  <w:style w:type="character" w:styleId="Style16">
    <w:name w:val="Виділення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17">
    <w:name w:val="Нижний колонтитул Знак"/>
    <w:qFormat/>
    <w:rPr>
      <w:bCs/>
      <w:sz w:val="28"/>
      <w:szCs w:val="24"/>
      <w:lang w:eastAsia="zh-CN"/>
    </w:rPr>
  </w:style>
  <w:style w:type="character" w:styleId="Style18">
    <w:name w:val="Текст выноски Знак"/>
    <w:qFormat/>
    <w:rPr>
      <w:rFonts w:ascii="Tahoma" w:hAnsi="Tahoma" w:cs="Tahoma"/>
      <w:bCs/>
      <w:sz w:val="16"/>
      <w:szCs w:val="16"/>
      <w:lang w:eastAsia="zh-CN"/>
    </w:rPr>
  </w:style>
  <w:style w:type="character" w:styleId="Style19">
    <w:name w:val="Верхний колонтитул Знак"/>
    <w:qFormat/>
    <w:rPr>
      <w:bCs/>
      <w:sz w:val="28"/>
      <w:szCs w:val="24"/>
      <w:lang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Droid Sans Fallback" w:cs="FreeSans;Calibri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FreeSans;Calibri"/>
    </w:rPr>
  </w:style>
  <w:style w:type="paragraph" w:styleId="Style25">
    <w:name w:val="Название объекта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81">
    <w:name w:val="Название объекта8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22">
    <w:name w:val="Название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4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Mangal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16">
    <w:name w:val="Обычны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2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7">
    <w:name w:val="Абзац списка1"/>
    <w:basedOn w:val="Normal"/>
    <w:qFormat/>
    <w:pPr>
      <w:ind w:left="720" w:right="0" w:hanging="0"/>
    </w:pPr>
    <w:rPr>
      <w:rFonts w:eastAsia="Calibri"/>
      <w:bCs w:val="false"/>
      <w:szCs w:val="28"/>
      <w:lang w:val="ru-RU"/>
    </w:rPr>
  </w:style>
  <w:style w:type="paragraph" w:styleId="HTML1">
    <w:name w:val="Стандартный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Style30">
    <w:name w:val="Содержимое врезки"/>
    <w:basedOn w:val="Style21"/>
    <w:qFormat/>
    <w:pPr/>
    <w:rPr/>
  </w:style>
  <w:style w:type="paragraph" w:styleId="Style31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2">
    <w:name w:val="Содержимое таблицы"/>
    <w:basedOn w:val="Normal"/>
    <w:qFormat/>
    <w:pPr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paragraph" w:styleId="Style34">
    <w:name w:val="Вміст таблиці"/>
    <w:basedOn w:val="Normal"/>
    <w:qFormat/>
    <w:pPr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кадру"/>
    <w:basedOn w:val="Normal"/>
    <w:qFormat/>
    <w:pPr/>
    <w:rPr/>
  </w:style>
  <w:style w:type="paragraph" w:styleId="Style37">
    <w:name w:val="Вміст рамки"/>
    <w:basedOn w:val="Normal"/>
    <w:qFormat/>
    <w:pPr/>
    <w:rPr/>
  </w:style>
  <w:style w:type="paragraph" w:styleId="18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Application>LibreOffice/6.4.1.2$Windows_X86_64 LibreOffice_project/4d224e95b98b138af42a64d84056446d09082932</Application>
  <Pages>9</Pages>
  <Words>1216</Words>
  <Characters>8701</Characters>
  <CharactersWithSpaces>9865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nkhmel</dc:creator>
  <dc:description/>
  <dc:language>uk-UA</dc:language>
  <cp:lastModifiedBy/>
  <dcterms:modified xsi:type="dcterms:W3CDTF">2022-11-16T09:36:38Z</dcterms:modified>
  <cp:revision>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