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4F02F6" w14:textId="77777777" w:rsidR="00C97F49" w:rsidRPr="00C97F49" w:rsidRDefault="00C97F49">
      <w:pPr>
        <w:ind w:left="5220"/>
        <w:rPr>
          <w:sz w:val="16"/>
          <w:szCs w:val="16"/>
        </w:rPr>
      </w:pPr>
      <w:bookmarkStart w:id="0" w:name="_Hlk83133441"/>
    </w:p>
    <w:p w14:paraId="00317482" w14:textId="77777777" w:rsidR="00185841" w:rsidRDefault="00185841">
      <w:pPr>
        <w:ind w:left="5220"/>
      </w:pPr>
      <w:r>
        <w:rPr>
          <w:szCs w:val="28"/>
        </w:rPr>
        <w:t>Додаток</w:t>
      </w:r>
    </w:p>
    <w:p w14:paraId="70DFC3AD" w14:textId="230170E4" w:rsidR="00185841" w:rsidRDefault="00185841" w:rsidP="00A919C5">
      <w:pPr>
        <w:ind w:left="5220"/>
      </w:pPr>
      <w:r>
        <w:rPr>
          <w:szCs w:val="28"/>
        </w:rPr>
        <w:t>до рішення міської ради</w:t>
      </w:r>
    </w:p>
    <w:p w14:paraId="5362B0EE" w14:textId="77777777" w:rsidR="00185841" w:rsidRDefault="00185841">
      <w:pPr>
        <w:ind w:left="5220"/>
      </w:pPr>
      <w:r>
        <w:rPr>
          <w:szCs w:val="28"/>
        </w:rPr>
        <w:t>________________№_________</w:t>
      </w:r>
    </w:p>
    <w:p w14:paraId="0C2A6F82" w14:textId="77777777" w:rsidR="00185841" w:rsidRDefault="00185841">
      <w:pPr>
        <w:ind w:left="5220"/>
        <w:rPr>
          <w:szCs w:val="28"/>
        </w:rPr>
      </w:pPr>
    </w:p>
    <w:p w14:paraId="530487EC" w14:textId="77777777" w:rsidR="00F109EE" w:rsidRDefault="00F109EE">
      <w:pPr>
        <w:ind w:left="5220"/>
        <w:rPr>
          <w:szCs w:val="28"/>
        </w:rPr>
      </w:pPr>
    </w:p>
    <w:p w14:paraId="6FDF3D53" w14:textId="77777777" w:rsidR="00185841" w:rsidRDefault="00185841">
      <w:pPr>
        <w:jc w:val="center"/>
      </w:pPr>
      <w:r>
        <w:rPr>
          <w:b/>
          <w:szCs w:val="28"/>
        </w:rPr>
        <w:t xml:space="preserve">Програма </w:t>
      </w:r>
    </w:p>
    <w:p w14:paraId="62409C20" w14:textId="77777777" w:rsidR="00DE0303" w:rsidRDefault="008D4266">
      <w:pPr>
        <w:jc w:val="center"/>
        <w:rPr>
          <w:b/>
          <w:szCs w:val="28"/>
        </w:rPr>
      </w:pPr>
      <w:r>
        <w:rPr>
          <w:b/>
          <w:szCs w:val="28"/>
        </w:rPr>
        <w:t>підтримки КП «Луцькводоканал»</w:t>
      </w:r>
      <w:r w:rsidR="00DE0303">
        <w:rPr>
          <w:b/>
          <w:szCs w:val="28"/>
        </w:rPr>
        <w:t xml:space="preserve"> </w:t>
      </w:r>
    </w:p>
    <w:p w14:paraId="63B264F2" w14:textId="77777777" w:rsidR="00185841" w:rsidRDefault="00DE0303">
      <w:pPr>
        <w:jc w:val="center"/>
      </w:pPr>
      <w:r>
        <w:rPr>
          <w:b/>
          <w:szCs w:val="28"/>
        </w:rPr>
        <w:t xml:space="preserve">на </w:t>
      </w:r>
      <w:r w:rsidR="002C0C42">
        <w:rPr>
          <w:b/>
          <w:szCs w:val="28"/>
        </w:rPr>
        <w:t>20</w:t>
      </w:r>
      <w:r w:rsidR="006D7678">
        <w:rPr>
          <w:b/>
          <w:szCs w:val="28"/>
        </w:rPr>
        <w:t>2</w:t>
      </w:r>
      <w:r w:rsidR="00677C73">
        <w:rPr>
          <w:b/>
          <w:szCs w:val="28"/>
          <w:lang w:val="ru-RU"/>
        </w:rPr>
        <w:t>3</w:t>
      </w:r>
      <w:r>
        <w:rPr>
          <w:b/>
          <w:szCs w:val="28"/>
        </w:rPr>
        <w:t xml:space="preserve"> р</w:t>
      </w:r>
      <w:r w:rsidR="008D4266">
        <w:rPr>
          <w:b/>
          <w:szCs w:val="28"/>
        </w:rPr>
        <w:t>і</w:t>
      </w:r>
      <w:r>
        <w:rPr>
          <w:b/>
          <w:szCs w:val="28"/>
        </w:rPr>
        <w:t>к</w:t>
      </w:r>
    </w:p>
    <w:p w14:paraId="5D47E9E1" w14:textId="77777777" w:rsidR="00185841" w:rsidRDefault="00185841">
      <w:pPr>
        <w:jc w:val="center"/>
        <w:rPr>
          <w:b/>
          <w:szCs w:val="28"/>
        </w:rPr>
      </w:pPr>
    </w:p>
    <w:p w14:paraId="2AE43FA5" w14:textId="77777777" w:rsidR="00185841" w:rsidRDefault="00185841" w:rsidP="00802C96">
      <w:pPr>
        <w:numPr>
          <w:ilvl w:val="0"/>
          <w:numId w:val="7"/>
        </w:numPr>
        <w:jc w:val="center"/>
      </w:pPr>
      <w:r>
        <w:rPr>
          <w:b/>
          <w:szCs w:val="28"/>
        </w:rPr>
        <w:t>ПАСПОРТ ПРОГ</w:t>
      </w:r>
      <w:r w:rsidR="00F109EE">
        <w:rPr>
          <w:b/>
          <w:szCs w:val="28"/>
        </w:rPr>
        <w:t>Р</w:t>
      </w:r>
      <w:r>
        <w:rPr>
          <w:b/>
          <w:szCs w:val="28"/>
        </w:rPr>
        <w:t>АМИ</w:t>
      </w:r>
    </w:p>
    <w:p w14:paraId="116A6DCB" w14:textId="77777777" w:rsidR="00185841" w:rsidRDefault="00185841">
      <w:pPr>
        <w:jc w:val="center"/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4847"/>
        <w:gridCol w:w="3864"/>
      </w:tblGrid>
      <w:tr w:rsidR="00185841" w14:paraId="0FA4CBB4" w14:textId="77777777" w:rsidTr="00FB2D3C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2B7D9" w14:textId="77777777" w:rsidR="00185841" w:rsidRDefault="00185841" w:rsidP="00FB2D3C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3D506" w14:textId="77777777" w:rsidR="00185841" w:rsidRDefault="00185841" w:rsidP="00FB2D3C">
            <w:pPr>
              <w:jc w:val="both"/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352D" w14:textId="77777777" w:rsidR="00185841" w:rsidRDefault="005463B0" w:rsidP="002C3A7F">
            <w:pPr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E24708" w14:paraId="4E348077" w14:textId="77777777" w:rsidTr="00FB2D3C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76F63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2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90F3E" w14:textId="77777777" w:rsidR="00E24708" w:rsidRDefault="00E24708" w:rsidP="00FB2D3C">
            <w:pPr>
              <w:jc w:val="both"/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950A" w14:textId="77777777" w:rsidR="00E24708" w:rsidRPr="00FB2D3C" w:rsidRDefault="00E24708" w:rsidP="002C3A7F">
            <w:pPr>
              <w:pStyle w:val="Standard"/>
              <w:snapToGrid w:val="0"/>
              <w:rPr>
                <w:rFonts w:cs="Times New Roman"/>
                <w:color w:val="008000"/>
                <w:sz w:val="28"/>
                <w:szCs w:val="28"/>
              </w:rPr>
            </w:pPr>
            <w:r w:rsidRPr="00FB2D3C">
              <w:rPr>
                <w:sz w:val="28"/>
                <w:szCs w:val="28"/>
              </w:rPr>
              <w:t>КП «Луцькводоканал»</w:t>
            </w:r>
          </w:p>
        </w:tc>
      </w:tr>
      <w:tr w:rsidR="00E24708" w14:paraId="0C564802" w14:textId="77777777" w:rsidTr="00FB2D3C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3B48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3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2222" w14:textId="77777777" w:rsidR="00E24708" w:rsidRDefault="00E24708" w:rsidP="00FB2D3C">
            <w:pPr>
              <w:jc w:val="both"/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3830" w14:textId="77777777" w:rsidR="00E24708" w:rsidRPr="00FB2D3C" w:rsidRDefault="0019384F" w:rsidP="002C3A7F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E24708" w14:paraId="6D21CDAB" w14:textId="77777777" w:rsidTr="00FB2D3C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1B8A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4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E7169" w14:textId="77777777" w:rsidR="00E24708" w:rsidRDefault="00E24708" w:rsidP="00FB2D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B678" w14:textId="77777777" w:rsidR="00E24708" w:rsidRDefault="00E24708" w:rsidP="002C3A7F"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E24708" w14:paraId="3F428720" w14:textId="77777777" w:rsidTr="00FB2D3C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BFC2D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5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2948" w14:textId="77777777" w:rsidR="00E24708" w:rsidRDefault="00E24708" w:rsidP="00FB2D3C">
            <w:pPr>
              <w:jc w:val="both"/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8E50" w14:textId="77777777" w:rsidR="00E24708" w:rsidRDefault="00E24708" w:rsidP="002C3A7F">
            <w:pPr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 та КП «Луцькводоканал»</w:t>
            </w:r>
          </w:p>
        </w:tc>
      </w:tr>
      <w:tr w:rsidR="00E24708" w14:paraId="47A97B4F" w14:textId="77777777" w:rsidTr="00FB2D3C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BE53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6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5EFB" w14:textId="77777777" w:rsidR="00E24708" w:rsidRDefault="00E24708" w:rsidP="00FB2D3C">
            <w:pPr>
              <w:jc w:val="both"/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7B29" w14:textId="77777777" w:rsidR="00E24708" w:rsidRDefault="00E24708" w:rsidP="00FB2D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ru-RU"/>
              </w:rPr>
              <w:t>3</w:t>
            </w:r>
            <w:r>
              <w:rPr>
                <w:szCs w:val="28"/>
              </w:rPr>
              <w:t xml:space="preserve"> рік</w:t>
            </w:r>
          </w:p>
        </w:tc>
      </w:tr>
      <w:tr w:rsidR="00E24708" w14:paraId="2F6B99D9" w14:textId="77777777" w:rsidTr="00FB2D3C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EC4E01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7</w:t>
            </w:r>
            <w:r w:rsidR="00E24708" w:rsidRPr="002C0C42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6111" w14:textId="77777777" w:rsidR="00E24708" w:rsidRPr="00FB2D3C" w:rsidRDefault="00E24708" w:rsidP="00FB2D3C">
            <w:pPr>
              <w:jc w:val="both"/>
              <w:rPr>
                <w:szCs w:val="28"/>
              </w:rPr>
            </w:pPr>
            <w:r w:rsidRPr="002C0C42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  <w:r w:rsidR="00FB2D3C">
              <w:rPr>
                <w:szCs w:val="28"/>
              </w:rPr>
              <w:t>, в томі числі: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A7D0" w14:textId="77777777" w:rsidR="00E24708" w:rsidRPr="00FB2D3C" w:rsidRDefault="00E24708" w:rsidP="00FB2D3C">
            <w:pPr>
              <w:jc w:val="center"/>
              <w:rPr>
                <w:bCs w:val="0"/>
                <w:szCs w:val="28"/>
              </w:rPr>
            </w:pPr>
            <w:r w:rsidRPr="00FB2D3C">
              <w:rPr>
                <w:rFonts w:eastAsia="Calibri"/>
                <w:bCs w:val="0"/>
                <w:szCs w:val="28"/>
                <w:lang w:val="ru-RU"/>
              </w:rPr>
              <w:t>90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> </w:t>
            </w:r>
            <w:r w:rsidRPr="00FB2D3C">
              <w:rPr>
                <w:rFonts w:eastAsia="Calibri"/>
                <w:bCs w:val="0"/>
                <w:szCs w:val="28"/>
                <w:lang w:val="ru-RU"/>
              </w:rPr>
              <w:t>000,0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 xml:space="preserve"> тис. </w:t>
            </w:r>
            <w:proofErr w:type="spellStart"/>
            <w:r w:rsidR="00FB2D3C">
              <w:rPr>
                <w:rFonts w:eastAsia="Calibri"/>
                <w:bCs w:val="0"/>
                <w:szCs w:val="28"/>
                <w:lang w:val="ru-RU"/>
              </w:rPr>
              <w:t>грн</w:t>
            </w:r>
            <w:proofErr w:type="spellEnd"/>
          </w:p>
        </w:tc>
      </w:tr>
      <w:tr w:rsidR="00E24708" w14:paraId="487B89B8" w14:textId="77777777" w:rsidTr="00FB2D3C">
        <w:trPr>
          <w:trHeight w:val="738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9F804" w14:textId="77777777" w:rsidR="00E24708" w:rsidRPr="002C0C42" w:rsidRDefault="00FB2D3C" w:rsidP="00FB2D3C">
            <w:pPr>
              <w:jc w:val="center"/>
            </w:pPr>
            <w:r>
              <w:rPr>
                <w:szCs w:val="28"/>
              </w:rPr>
              <w:t>7.1</w:t>
            </w:r>
            <w:r w:rsidR="00E24708" w:rsidRPr="002C0C42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C97A9" w14:textId="77777777" w:rsidR="00E24708" w:rsidRPr="002C0C42" w:rsidRDefault="00E24708" w:rsidP="00FB2D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кошт</w:t>
            </w:r>
            <w:r w:rsidR="00FB2D3C">
              <w:rPr>
                <w:szCs w:val="28"/>
              </w:rPr>
              <w:t>ів</w:t>
            </w:r>
            <w:r>
              <w:rPr>
                <w:szCs w:val="28"/>
              </w:rPr>
              <w:t xml:space="preserve"> </w:t>
            </w:r>
            <w:r>
              <w:t>бюджету Луцької міської територіальної громади</w:t>
            </w:r>
            <w:r w:rsidRPr="00CD36AE"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D894" w14:textId="77777777" w:rsidR="00E24708" w:rsidRPr="00FB2D3C" w:rsidRDefault="00E24708" w:rsidP="00FB2D3C">
            <w:pPr>
              <w:jc w:val="center"/>
              <w:rPr>
                <w:bCs w:val="0"/>
                <w:szCs w:val="28"/>
              </w:rPr>
            </w:pPr>
            <w:r w:rsidRPr="00FB2D3C">
              <w:rPr>
                <w:rFonts w:eastAsia="Calibri"/>
                <w:bCs w:val="0"/>
                <w:szCs w:val="28"/>
                <w:lang w:val="ru-RU"/>
              </w:rPr>
              <w:t>90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> </w:t>
            </w:r>
            <w:r w:rsidRPr="00FB2D3C">
              <w:rPr>
                <w:rFonts w:eastAsia="Calibri"/>
                <w:bCs w:val="0"/>
                <w:szCs w:val="28"/>
                <w:lang w:val="ru-RU"/>
              </w:rPr>
              <w:t>000,0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 xml:space="preserve"> тис. </w:t>
            </w:r>
            <w:proofErr w:type="spellStart"/>
            <w:r w:rsidR="00FB2D3C">
              <w:rPr>
                <w:rFonts w:eastAsia="Calibri"/>
                <w:bCs w:val="0"/>
                <w:szCs w:val="28"/>
                <w:lang w:val="ru-RU"/>
              </w:rPr>
              <w:t>грн</w:t>
            </w:r>
            <w:proofErr w:type="spellEnd"/>
          </w:p>
        </w:tc>
      </w:tr>
    </w:tbl>
    <w:p w14:paraId="465F3D85" w14:textId="77777777" w:rsidR="00E24708" w:rsidRDefault="00E24708">
      <w:pPr>
        <w:rPr>
          <w:lang w:val="ru-RU"/>
        </w:rPr>
      </w:pPr>
    </w:p>
    <w:p w14:paraId="4EC803D0" w14:textId="77777777" w:rsidR="00185841" w:rsidRPr="00E24708" w:rsidRDefault="00FB2D3C" w:rsidP="00FB2D3C">
      <w:pPr>
        <w:jc w:val="center"/>
        <w:rPr>
          <w:lang w:val="ru-RU"/>
        </w:rPr>
      </w:pPr>
      <w:r>
        <w:rPr>
          <w:lang w:val="ru-RU"/>
        </w:rPr>
        <w:br w:type="page"/>
      </w:r>
      <w:r>
        <w:rPr>
          <w:b/>
        </w:rPr>
        <w:lastRenderedPageBreak/>
        <w:t>2</w:t>
      </w:r>
      <w:r w:rsidR="00185841">
        <w:rPr>
          <w:b/>
        </w:rPr>
        <w:t xml:space="preserve">. </w:t>
      </w:r>
      <w:r w:rsidR="00926224" w:rsidRPr="00926224">
        <w:rPr>
          <w:b/>
        </w:rPr>
        <w:t>А</w:t>
      </w:r>
      <w:r w:rsidR="00E24708" w:rsidRPr="00926224">
        <w:rPr>
          <w:b/>
        </w:rPr>
        <w:t>наліз динаміки змін та поточної ситуації у галузі</w:t>
      </w:r>
    </w:p>
    <w:p w14:paraId="6A471D00" w14:textId="77777777" w:rsidR="002C0C42" w:rsidRPr="001A6BC2" w:rsidRDefault="002C0C42">
      <w:pPr>
        <w:pStyle w:val="ab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14:paraId="45306C0E" w14:textId="77777777" w:rsidR="00F91DB5" w:rsidRPr="0019384F" w:rsidRDefault="00F91DB5" w:rsidP="00420052">
      <w:pPr>
        <w:pStyle w:val="ab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Актуальною </w:t>
      </w:r>
      <w:r w:rsidRPr="0019384F">
        <w:rPr>
          <w:sz w:val="28"/>
          <w:szCs w:val="28"/>
          <w:lang w:val="uk-UA"/>
        </w:rPr>
        <w:t xml:space="preserve">проблемою </w:t>
      </w:r>
      <w:r w:rsidR="0019384F" w:rsidRPr="0019384F">
        <w:rPr>
          <w:sz w:val="28"/>
          <w:szCs w:val="28"/>
          <w:lang w:val="uk-UA"/>
        </w:rPr>
        <w:t>Луцької міської територіальної громади</w:t>
      </w:r>
      <w:r w:rsidRPr="0019384F">
        <w:rPr>
          <w:sz w:val="28"/>
          <w:szCs w:val="28"/>
          <w:lang w:val="uk-UA"/>
        </w:rPr>
        <w:t xml:space="preserve"> залишається питання </w:t>
      </w:r>
      <w:r w:rsidR="002B5BA9" w:rsidRPr="0019384F">
        <w:rPr>
          <w:sz w:val="28"/>
          <w:szCs w:val="28"/>
          <w:lang w:val="uk-UA"/>
        </w:rPr>
        <w:t>водопостачання та водовідведення</w:t>
      </w:r>
      <w:r w:rsidRPr="0019384F">
        <w:rPr>
          <w:sz w:val="28"/>
          <w:szCs w:val="28"/>
          <w:lang w:val="uk-UA"/>
        </w:rPr>
        <w:t>.</w:t>
      </w:r>
    </w:p>
    <w:p w14:paraId="6DAE33DE" w14:textId="77777777" w:rsidR="00AC5EB6" w:rsidRPr="00CC7FDD" w:rsidRDefault="00F91DB5" w:rsidP="00420052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BA9">
        <w:rPr>
          <w:rFonts w:ascii="Times New Roman" w:hAnsi="Times New Roman"/>
          <w:sz w:val="28"/>
          <w:szCs w:val="28"/>
          <w:lang w:val="uk-UA"/>
        </w:rPr>
        <w:t xml:space="preserve">Відповідно до Закону України «Про </w:t>
      </w:r>
      <w:r w:rsidR="002B5BA9">
        <w:rPr>
          <w:rFonts w:ascii="Times New Roman" w:hAnsi="Times New Roman"/>
          <w:sz w:val="28"/>
          <w:szCs w:val="28"/>
          <w:lang w:val="uk-UA"/>
        </w:rPr>
        <w:t>питну воду, питне водопостачання та водовідведення</w:t>
      </w:r>
      <w:r w:rsidRPr="002B5BA9">
        <w:rPr>
          <w:rFonts w:ascii="Times New Roman" w:hAnsi="Times New Roman"/>
          <w:sz w:val="28"/>
          <w:szCs w:val="28"/>
          <w:lang w:val="uk-UA"/>
        </w:rPr>
        <w:t>»</w:t>
      </w:r>
      <w:r w:rsidR="00AE0170">
        <w:rPr>
          <w:rFonts w:ascii="Times New Roman" w:hAnsi="Times New Roman"/>
          <w:sz w:val="28"/>
          <w:szCs w:val="28"/>
          <w:lang w:val="uk-UA"/>
        </w:rPr>
        <w:t>,</w:t>
      </w:r>
      <w:r w:rsidRPr="002B5B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>питне водопостачання</w:t>
      </w:r>
      <w:r w:rsidR="00FB2D3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 xml:space="preserve"> діяльність, пов'язана з </w:t>
      </w:r>
      <w:r w:rsidR="00AC5EB6">
        <w:rPr>
          <w:rFonts w:ascii="Times New Roman" w:hAnsi="Times New Roman"/>
          <w:sz w:val="28"/>
          <w:szCs w:val="28"/>
          <w:lang w:val="uk-UA"/>
        </w:rPr>
        <w:t>в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>иробництвом, транспортуванням та постачанням питної води споживачам</w:t>
      </w:r>
      <w:r w:rsidR="00AC5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>питної води, охороною джерел та систем питного водопостачання</w:t>
      </w:r>
      <w:r w:rsidR="00AE0170">
        <w:rPr>
          <w:rFonts w:ascii="Times New Roman" w:hAnsi="Times New Roman"/>
          <w:sz w:val="28"/>
          <w:szCs w:val="28"/>
          <w:lang w:val="uk-UA"/>
        </w:rPr>
        <w:t>,</w:t>
      </w:r>
      <w:r w:rsidR="00AC5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183B">
        <w:rPr>
          <w:rFonts w:ascii="Times New Roman" w:hAnsi="Times New Roman"/>
          <w:sz w:val="28"/>
          <w:szCs w:val="28"/>
          <w:lang w:val="uk-UA"/>
        </w:rPr>
        <w:t xml:space="preserve">відповідно водовідведення </w:t>
      </w:r>
      <w:r w:rsidR="00FB2D3C">
        <w:rPr>
          <w:rFonts w:ascii="Times New Roman" w:hAnsi="Times New Roman"/>
          <w:sz w:val="28"/>
          <w:szCs w:val="28"/>
          <w:lang w:val="uk-UA"/>
        </w:rPr>
        <w:t>–</w:t>
      </w:r>
      <w:r w:rsidR="00D2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EB6" w:rsidRPr="00AC5EB6">
        <w:rPr>
          <w:rFonts w:ascii="Times New Roman" w:hAnsi="Times New Roman"/>
          <w:sz w:val="28"/>
          <w:szCs w:val="28"/>
          <w:lang w:val="uk-UA"/>
        </w:rPr>
        <w:t xml:space="preserve">діяльність із збирання, </w:t>
      </w:r>
      <w:r w:rsidR="00D2183B">
        <w:rPr>
          <w:rFonts w:ascii="Times New Roman" w:hAnsi="Times New Roman"/>
          <w:sz w:val="28"/>
          <w:szCs w:val="28"/>
          <w:lang w:val="uk-UA"/>
        </w:rPr>
        <w:t xml:space="preserve">транспортування та очищення стічних вод за допомогою систем </w:t>
      </w:r>
      <w:r w:rsidR="00AC5EB6" w:rsidRPr="00CC7FDD">
        <w:rPr>
          <w:rFonts w:ascii="Times New Roman" w:hAnsi="Times New Roman"/>
          <w:sz w:val="28"/>
          <w:szCs w:val="28"/>
          <w:lang w:val="uk-UA"/>
        </w:rPr>
        <w:t>централізованого водовідведення або інших споруд відв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едення та/або очищення стічних </w:t>
      </w:r>
      <w:r w:rsidR="00AC5EB6" w:rsidRPr="00CC7FDD">
        <w:rPr>
          <w:rFonts w:ascii="Times New Roman" w:hAnsi="Times New Roman"/>
          <w:sz w:val="28"/>
          <w:szCs w:val="28"/>
          <w:lang w:val="uk-UA"/>
        </w:rPr>
        <w:t>вод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>.</w:t>
      </w:r>
    </w:p>
    <w:p w14:paraId="4F08C33C" w14:textId="77777777" w:rsidR="00CC7FDD" w:rsidRPr="00CC7FDD" w:rsidRDefault="00F91DB5" w:rsidP="00420052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7FDD">
        <w:rPr>
          <w:rFonts w:ascii="Times New Roman" w:hAnsi="Times New Roman"/>
          <w:sz w:val="28"/>
          <w:szCs w:val="28"/>
          <w:lang w:val="uk-UA"/>
        </w:rPr>
        <w:t xml:space="preserve">Основними принципами у сфері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питного водопостачання та водовідведення </w:t>
      </w:r>
      <w:r w:rsidRPr="00CC7FDD">
        <w:rPr>
          <w:rFonts w:ascii="Times New Roman" w:hAnsi="Times New Roman"/>
          <w:sz w:val="28"/>
          <w:szCs w:val="28"/>
          <w:lang w:val="uk-UA"/>
        </w:rPr>
        <w:t>є</w:t>
      </w:r>
      <w:r w:rsidR="000D406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605A4">
        <w:rPr>
          <w:rFonts w:ascii="Times New Roman" w:hAnsi="Times New Roman"/>
          <w:sz w:val="28"/>
          <w:szCs w:val="28"/>
          <w:lang w:val="uk-UA"/>
        </w:rPr>
        <w:t xml:space="preserve">першочерговий та обов’язковий </w:t>
      </w:r>
      <w:r w:rsidRPr="00CC7FDD">
        <w:rPr>
          <w:rFonts w:ascii="Times New Roman" w:hAnsi="Times New Roman"/>
          <w:sz w:val="28"/>
          <w:szCs w:val="28"/>
          <w:lang w:val="uk-UA"/>
        </w:rPr>
        <w:t>захист навколишнього природного середовища</w:t>
      </w:r>
      <w:r w:rsidR="00777167">
        <w:rPr>
          <w:rFonts w:ascii="Times New Roman" w:hAnsi="Times New Roman"/>
          <w:sz w:val="28"/>
          <w:szCs w:val="28"/>
          <w:lang w:val="uk-UA"/>
        </w:rPr>
        <w:t>;</w:t>
      </w:r>
      <w:r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>пріоритетн</w:t>
      </w:r>
      <w:r w:rsidR="00777167">
        <w:rPr>
          <w:rFonts w:ascii="Times New Roman" w:hAnsi="Times New Roman"/>
          <w:sz w:val="28"/>
          <w:szCs w:val="28"/>
          <w:lang w:val="uk-UA"/>
        </w:rPr>
        <w:t>ість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406D">
        <w:rPr>
          <w:rFonts w:ascii="Times New Roman" w:hAnsi="Times New Roman"/>
          <w:sz w:val="28"/>
          <w:szCs w:val="28"/>
          <w:lang w:val="uk-UA"/>
        </w:rPr>
        <w:t xml:space="preserve">питного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водопостачання </w:t>
      </w:r>
      <w:r w:rsidR="000D406D">
        <w:rPr>
          <w:rFonts w:ascii="Times New Roman" w:hAnsi="Times New Roman"/>
          <w:sz w:val="28"/>
          <w:szCs w:val="28"/>
          <w:lang w:val="uk-UA"/>
        </w:rPr>
        <w:t>перед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іншими видами спеціального водокористування</w:t>
      </w:r>
      <w:r w:rsidR="00777167">
        <w:rPr>
          <w:rFonts w:ascii="Times New Roman" w:hAnsi="Times New Roman"/>
          <w:sz w:val="28"/>
          <w:szCs w:val="28"/>
          <w:lang w:val="uk-UA"/>
        </w:rPr>
        <w:t>;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o77"/>
      <w:bookmarkEnd w:id="1"/>
      <w:r w:rsidR="00CC7FDD" w:rsidRPr="00CC7FDD">
        <w:rPr>
          <w:rFonts w:ascii="Times New Roman" w:hAnsi="Times New Roman"/>
          <w:sz w:val="28"/>
          <w:szCs w:val="28"/>
          <w:lang w:val="uk-UA"/>
        </w:rPr>
        <w:t>г</w:t>
      </w:r>
      <w:r w:rsidR="00CC7FDD">
        <w:rPr>
          <w:rFonts w:ascii="Times New Roman" w:hAnsi="Times New Roman"/>
          <w:sz w:val="28"/>
          <w:szCs w:val="28"/>
          <w:lang w:val="uk-UA"/>
        </w:rPr>
        <w:t>а</w:t>
      </w:r>
      <w:r w:rsidR="00777167">
        <w:rPr>
          <w:rFonts w:ascii="Times New Roman" w:hAnsi="Times New Roman"/>
          <w:sz w:val="28"/>
          <w:szCs w:val="28"/>
          <w:lang w:val="uk-UA"/>
        </w:rPr>
        <w:t>рантоване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першочергов</w:t>
      </w:r>
      <w:r w:rsidR="00777167">
        <w:rPr>
          <w:rFonts w:ascii="Times New Roman" w:hAnsi="Times New Roman"/>
          <w:sz w:val="28"/>
          <w:szCs w:val="28"/>
          <w:lang w:val="uk-UA"/>
        </w:rPr>
        <w:t xml:space="preserve">е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>забезпечення питною водою населення для за</w:t>
      </w:r>
      <w:r w:rsidR="00777167">
        <w:rPr>
          <w:rFonts w:ascii="Times New Roman" w:hAnsi="Times New Roman"/>
          <w:sz w:val="28"/>
          <w:szCs w:val="28"/>
          <w:lang w:val="uk-UA"/>
        </w:rPr>
        <w:t>доволення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питних, фізіологічних, санітарно-гігієнічних та побутових потреб</w:t>
      </w:r>
      <w:r w:rsidR="00CC7FDD">
        <w:rPr>
          <w:rFonts w:ascii="Times New Roman" w:hAnsi="Times New Roman"/>
          <w:sz w:val="28"/>
          <w:szCs w:val="28"/>
          <w:lang w:val="uk-UA"/>
        </w:rPr>
        <w:t>.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36AABE" w14:textId="77777777" w:rsidR="00C569AD" w:rsidRPr="00C569AD" w:rsidRDefault="00C569AD" w:rsidP="00420052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69AD">
        <w:rPr>
          <w:rFonts w:ascii="Times New Roman" w:hAnsi="Times New Roman"/>
          <w:sz w:val="28"/>
          <w:szCs w:val="28"/>
          <w:lang w:val="uk-UA"/>
        </w:rPr>
        <w:t xml:space="preserve">В Україні практично усі </w:t>
      </w:r>
      <w:r w:rsidR="00CC7FDD">
        <w:rPr>
          <w:rFonts w:ascii="Times New Roman" w:hAnsi="Times New Roman"/>
          <w:sz w:val="28"/>
          <w:szCs w:val="28"/>
          <w:lang w:val="uk-UA"/>
        </w:rPr>
        <w:t>населені пункти</w:t>
      </w:r>
      <w:r w:rsidRPr="00C569AD">
        <w:rPr>
          <w:rFonts w:ascii="Times New Roman" w:hAnsi="Times New Roman"/>
          <w:sz w:val="28"/>
          <w:szCs w:val="28"/>
          <w:lang w:val="uk-UA"/>
        </w:rPr>
        <w:t xml:space="preserve"> використовують </w:t>
      </w:r>
      <w:r w:rsidR="00CC7FDD">
        <w:rPr>
          <w:rFonts w:ascii="Times New Roman" w:hAnsi="Times New Roman"/>
          <w:sz w:val="28"/>
          <w:szCs w:val="28"/>
          <w:lang w:val="uk-UA"/>
        </w:rPr>
        <w:t>системи централізованого водопостачання та водовідведення</w:t>
      </w:r>
      <w:r w:rsidR="00AE0170">
        <w:rPr>
          <w:rFonts w:ascii="Times New Roman" w:hAnsi="Times New Roman"/>
          <w:sz w:val="28"/>
          <w:szCs w:val="28"/>
          <w:lang w:val="uk-UA"/>
        </w:rPr>
        <w:t>,</w:t>
      </w:r>
      <w:r w:rsidR="00CC7F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комплекси</w:t>
      </w:r>
      <w:r w:rsidRPr="00C569AD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569AD">
        <w:rPr>
          <w:rFonts w:ascii="Times New Roman" w:hAnsi="Times New Roman"/>
          <w:color w:val="000000"/>
          <w:sz w:val="28"/>
          <w:szCs w:val="28"/>
          <w:lang w:val="uk-UA"/>
        </w:rPr>
        <w:t>споруд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 та об’єкти відповідно до </w:t>
      </w:r>
      <w:r w:rsidRPr="00C569AD">
        <w:rPr>
          <w:rFonts w:ascii="Times New Roman" w:hAnsi="Times New Roman"/>
          <w:color w:val="000000"/>
          <w:sz w:val="28"/>
          <w:szCs w:val="28"/>
          <w:lang w:val="uk-UA"/>
        </w:rPr>
        <w:t>законодавства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240FB9D" w14:textId="77777777" w:rsidR="00F91DB5" w:rsidRDefault="009F5C91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B54E0">
        <w:rPr>
          <w:sz w:val="28"/>
          <w:szCs w:val="28"/>
          <w:lang w:val="uk-UA"/>
        </w:rPr>
        <w:t xml:space="preserve"> процесі експлуатації цих об’єктів можливі різні види впливу на</w:t>
      </w:r>
      <w:r w:rsidR="008D6552">
        <w:rPr>
          <w:sz w:val="28"/>
          <w:szCs w:val="28"/>
          <w:lang w:val="uk-UA"/>
        </w:rPr>
        <w:t xml:space="preserve"> навколишнє природне середовище: в</w:t>
      </w:r>
      <w:r w:rsidR="003B54E0">
        <w:rPr>
          <w:sz w:val="28"/>
          <w:szCs w:val="28"/>
          <w:lang w:val="uk-UA"/>
        </w:rPr>
        <w:t xml:space="preserve">плив на територію, </w:t>
      </w:r>
      <w:r w:rsidR="00223D10">
        <w:rPr>
          <w:sz w:val="28"/>
          <w:szCs w:val="28"/>
          <w:lang w:val="uk-UA"/>
        </w:rPr>
        <w:t xml:space="preserve">вплив на </w:t>
      </w:r>
      <w:r w:rsidR="008D4266">
        <w:rPr>
          <w:sz w:val="28"/>
          <w:szCs w:val="28"/>
          <w:lang w:val="uk-UA"/>
        </w:rPr>
        <w:t>рівень поверхневих вод, забруднення річок та водойм за рахунок скидів речовин, що шкодять довкіллю, в зв</w:t>
      </w:r>
      <w:r w:rsidR="008D4266" w:rsidRPr="008D4266">
        <w:rPr>
          <w:sz w:val="28"/>
          <w:szCs w:val="28"/>
          <w:lang w:val="uk-UA"/>
        </w:rPr>
        <w:t>’</w:t>
      </w:r>
      <w:r w:rsidR="008D4266">
        <w:rPr>
          <w:sz w:val="28"/>
          <w:szCs w:val="28"/>
          <w:lang w:val="uk-UA"/>
        </w:rPr>
        <w:t>язку з недотриманням споживачами гранично допустимих концентрацій шкідливих речовин у стоках</w:t>
      </w:r>
      <w:r w:rsidR="008D6552">
        <w:rPr>
          <w:sz w:val="28"/>
          <w:szCs w:val="28"/>
          <w:lang w:val="uk-UA"/>
        </w:rPr>
        <w:t>.</w:t>
      </w:r>
    </w:p>
    <w:p w14:paraId="02017F8B" w14:textId="77777777" w:rsidR="00370DAF" w:rsidRDefault="00370DAF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Внаслідок довготривалого зберігання на території мулових майданчиків залишкового мулу, який утворюється в процесі очистки води, створюються негативні екологічні </w:t>
      </w:r>
      <w:r w:rsidRPr="0019384F">
        <w:rPr>
          <w:sz w:val="28"/>
          <w:szCs w:val="28"/>
          <w:lang w:val="uk-UA"/>
        </w:rPr>
        <w:t>фактори для територіальної громади</w:t>
      </w:r>
      <w:r>
        <w:rPr>
          <w:sz w:val="28"/>
          <w:szCs w:val="28"/>
          <w:lang w:val="uk-UA"/>
        </w:rPr>
        <w:t xml:space="preserve">. При наявності певних кліматичних факторів вони </w:t>
      </w:r>
      <w:r w:rsidR="00E04E14">
        <w:rPr>
          <w:sz w:val="28"/>
          <w:szCs w:val="28"/>
          <w:lang w:val="uk-UA"/>
        </w:rPr>
        <w:t>можуть бути одним із джерел поширення неприємних запахів</w:t>
      </w:r>
      <w:r w:rsidR="005C4F07">
        <w:rPr>
          <w:sz w:val="28"/>
          <w:szCs w:val="28"/>
          <w:lang w:val="uk-UA"/>
        </w:rPr>
        <w:t xml:space="preserve"> у повітрі</w:t>
      </w:r>
      <w:r w:rsidR="00E04E14">
        <w:rPr>
          <w:sz w:val="28"/>
          <w:szCs w:val="28"/>
          <w:lang w:val="uk-UA"/>
        </w:rPr>
        <w:t>.</w:t>
      </w:r>
    </w:p>
    <w:p w14:paraId="0E86B23E" w14:textId="77777777" w:rsidR="00814549" w:rsidRPr="00325787" w:rsidRDefault="00814549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Наявність описаних вище проблем ускладнює для КП</w:t>
      </w:r>
      <w:r w:rsidR="00325787">
        <w:rPr>
          <w:sz w:val="28"/>
          <w:szCs w:val="28"/>
          <w:lang w:val="uk-UA"/>
        </w:rPr>
        <w:t> </w:t>
      </w:r>
      <w:r w:rsidRPr="00325787">
        <w:rPr>
          <w:sz w:val="28"/>
          <w:szCs w:val="28"/>
          <w:lang w:val="uk-UA"/>
        </w:rPr>
        <w:t xml:space="preserve">«Луцькводоканал» можливість сталого функціонування, а для Луцької міської ради – можливість здійснення державної політики у сфері надання житлово-комунальних послуг </w:t>
      </w:r>
      <w:r w:rsidR="0019384F">
        <w:rPr>
          <w:sz w:val="28"/>
          <w:szCs w:val="28"/>
          <w:lang w:val="uk-UA"/>
        </w:rPr>
        <w:t xml:space="preserve">в межах </w:t>
      </w:r>
      <w:r w:rsidR="0019384F" w:rsidRPr="0019384F">
        <w:rPr>
          <w:sz w:val="28"/>
          <w:szCs w:val="28"/>
          <w:lang w:val="uk-UA"/>
        </w:rPr>
        <w:t>міської територіальної громади</w:t>
      </w:r>
      <w:r w:rsidRPr="00325787">
        <w:rPr>
          <w:sz w:val="28"/>
          <w:szCs w:val="28"/>
          <w:lang w:val="uk-UA"/>
        </w:rPr>
        <w:t xml:space="preserve"> та ставить під сумнів ймовірність належного виконання нею повноважень по забезпеченню соціально-культурних закладів, які належать до комунальної власності територіальної громади, та населення необхідними енергоносіями; вирішення питань водопостачання та очищення стічних вод; здійснення контролю за якістю питної води</w:t>
      </w:r>
    </w:p>
    <w:p w14:paraId="6070B796" w14:textId="77777777" w:rsidR="00B95356" w:rsidRPr="00325787" w:rsidRDefault="00B95356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14:paraId="5F3FD5C6" w14:textId="77777777" w:rsidR="0080602F" w:rsidRPr="00325787" w:rsidRDefault="001527A2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з</w:t>
      </w:r>
      <w:r w:rsidRPr="00325787">
        <w:rPr>
          <w:iCs/>
          <w:sz w:val="28"/>
          <w:szCs w:val="28"/>
          <w:lang w:val="uk-UA"/>
        </w:rPr>
        <w:t xml:space="preserve">абезпечення належного санітарно-екологічного стану </w:t>
      </w:r>
      <w:r w:rsidRPr="00325787">
        <w:rPr>
          <w:rFonts w:eastAsia="Calibri"/>
          <w:sz w:val="28"/>
          <w:szCs w:val="28"/>
          <w:lang w:val="uk-UA"/>
        </w:rPr>
        <w:t>Луцької міської територіальної громади</w:t>
      </w:r>
      <w:r w:rsidR="00370DAF" w:rsidRPr="00325787">
        <w:rPr>
          <w:sz w:val="28"/>
          <w:szCs w:val="28"/>
          <w:lang w:val="uk-UA"/>
        </w:rPr>
        <w:t xml:space="preserve"> та покращення екологічної ситуації в басейні річки Стир</w:t>
      </w:r>
      <w:r w:rsidR="0080602F" w:rsidRPr="00325787">
        <w:rPr>
          <w:sz w:val="28"/>
          <w:szCs w:val="28"/>
          <w:lang w:val="uk-UA"/>
        </w:rPr>
        <w:t>;</w:t>
      </w:r>
    </w:p>
    <w:p w14:paraId="2EF8F66E" w14:textId="77777777" w:rsidR="001C1DD2" w:rsidRPr="00325787" w:rsidRDefault="00370DAF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rFonts w:eastAsia="Calibri"/>
          <w:sz w:val="28"/>
          <w:szCs w:val="28"/>
          <w:lang w:val="uk-UA"/>
        </w:rPr>
        <w:t>забезпечення сталого функціонування підприємства</w:t>
      </w:r>
      <w:r w:rsidRPr="00325787">
        <w:rPr>
          <w:sz w:val="28"/>
          <w:szCs w:val="28"/>
          <w:lang w:val="uk-UA"/>
        </w:rPr>
        <w:t>;</w:t>
      </w:r>
    </w:p>
    <w:p w14:paraId="2012AA36" w14:textId="77777777" w:rsidR="0080602F" w:rsidRPr="00325787" w:rsidRDefault="001C1DD2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rFonts w:eastAsia="Calibri"/>
          <w:sz w:val="28"/>
          <w:szCs w:val="28"/>
          <w:lang w:val="uk-UA"/>
        </w:rPr>
        <w:lastRenderedPageBreak/>
        <w:t>економія природних, матеріальних та енергетичних ресурсів;</w:t>
      </w:r>
      <w:r w:rsidR="00A47DC7" w:rsidRPr="00325787">
        <w:rPr>
          <w:sz w:val="28"/>
          <w:szCs w:val="28"/>
          <w:lang w:val="uk-UA"/>
        </w:rPr>
        <w:t xml:space="preserve"> </w:t>
      </w:r>
    </w:p>
    <w:p w14:paraId="0718A1B4" w14:textId="77777777" w:rsidR="00652981" w:rsidRPr="00325787" w:rsidRDefault="004A152E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 xml:space="preserve">реалізація </w:t>
      </w:r>
      <w:r w:rsidR="001527A2" w:rsidRPr="00325787">
        <w:rPr>
          <w:sz w:val="28"/>
          <w:szCs w:val="28"/>
          <w:lang w:val="uk-UA"/>
        </w:rPr>
        <w:t xml:space="preserve">шляхом проведення співфінансування </w:t>
      </w:r>
      <w:proofErr w:type="spellStart"/>
      <w:r w:rsidRPr="00325787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325787">
        <w:rPr>
          <w:rFonts w:eastAsia="Calibri"/>
          <w:sz w:val="28"/>
          <w:szCs w:val="28"/>
          <w:lang w:val="uk-UA"/>
        </w:rPr>
        <w:t xml:space="preserve"> Північної Екологічної Фінансової Корпорації (НЕФКО)</w:t>
      </w:r>
      <w:r w:rsidR="00245182" w:rsidRPr="00325787">
        <w:rPr>
          <w:sz w:val="28"/>
          <w:szCs w:val="28"/>
          <w:lang w:val="uk-UA"/>
        </w:rPr>
        <w:t>;</w:t>
      </w:r>
    </w:p>
    <w:p w14:paraId="57001FD3" w14:textId="77777777" w:rsidR="00245182" w:rsidRPr="00325787" w:rsidRDefault="00245182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rFonts w:eastAsia="Calibri"/>
          <w:sz w:val="28"/>
          <w:szCs w:val="28"/>
          <w:lang w:val="uk-UA"/>
        </w:rPr>
        <w:t>реалізаці</w:t>
      </w:r>
      <w:r w:rsidR="004A152E" w:rsidRPr="00325787">
        <w:rPr>
          <w:rFonts w:eastAsia="Calibri"/>
          <w:sz w:val="28"/>
          <w:szCs w:val="28"/>
          <w:lang w:val="uk-UA"/>
        </w:rPr>
        <w:t>я</w:t>
      </w:r>
      <w:r w:rsidRPr="00325787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325787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325787">
        <w:rPr>
          <w:rFonts w:eastAsia="Calibri"/>
          <w:sz w:val="28"/>
          <w:szCs w:val="28"/>
          <w:lang w:val="uk-UA"/>
        </w:rPr>
        <w:t xml:space="preserve"> «Комплексна модернізація систем водопостачання та водовідведення в м.</w:t>
      </w:r>
      <w:r w:rsidR="00802C96">
        <w:rPr>
          <w:rFonts w:eastAsia="Calibri"/>
          <w:sz w:val="28"/>
          <w:szCs w:val="28"/>
          <w:lang w:val="uk-UA"/>
        </w:rPr>
        <w:t> </w:t>
      </w:r>
      <w:r w:rsidRPr="00325787">
        <w:rPr>
          <w:rFonts w:eastAsia="Calibri"/>
          <w:sz w:val="28"/>
          <w:szCs w:val="28"/>
          <w:lang w:val="uk-UA"/>
        </w:rPr>
        <w:t>Луцьку»</w:t>
      </w:r>
      <w:r w:rsidR="004A152E" w:rsidRPr="00325787">
        <w:rPr>
          <w:rFonts w:eastAsia="Calibri"/>
          <w:sz w:val="28"/>
          <w:szCs w:val="28"/>
          <w:lang w:val="uk-UA"/>
        </w:rPr>
        <w:t xml:space="preserve"> шляхом </w:t>
      </w:r>
      <w:r w:rsidR="004A152E" w:rsidRPr="00325787">
        <w:rPr>
          <w:sz w:val="28"/>
          <w:szCs w:val="28"/>
          <w:lang w:val="uk-UA"/>
        </w:rPr>
        <w:t xml:space="preserve">співпраці з </w:t>
      </w:r>
      <w:r w:rsidR="004A152E" w:rsidRPr="00325787">
        <w:rPr>
          <w:rFonts w:eastAsia="Calibri"/>
          <w:sz w:val="28"/>
          <w:szCs w:val="28"/>
          <w:lang w:val="uk-UA"/>
        </w:rPr>
        <w:t>Європейським інвестиційним банком (ЄІБ).</w:t>
      </w:r>
    </w:p>
    <w:p w14:paraId="3AD1CCA7" w14:textId="77777777" w:rsidR="009F6A79" w:rsidRDefault="008B3D8A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За рахунок організаційно-розпорядчих,</w:t>
      </w:r>
      <w:r>
        <w:rPr>
          <w:sz w:val="28"/>
          <w:szCs w:val="28"/>
          <w:lang w:val="uk-UA"/>
        </w:rPr>
        <w:t xml:space="preserve"> економічних, нормативно</w:t>
      </w:r>
      <w:r w:rsidR="00F71BBD" w:rsidRPr="00356EC5">
        <w:rPr>
          <w:sz w:val="28"/>
          <w:szCs w:val="28"/>
          <w:lang w:val="uk-UA"/>
        </w:rPr>
        <w:t>-</w:t>
      </w:r>
      <w:r w:rsidR="00F71BBD">
        <w:rPr>
          <w:sz w:val="28"/>
          <w:szCs w:val="28"/>
          <w:lang w:val="uk-UA"/>
        </w:rPr>
        <w:t>правових заходів передбачається</w:t>
      </w:r>
      <w:r w:rsidR="002E35A4">
        <w:rPr>
          <w:sz w:val="28"/>
          <w:szCs w:val="28"/>
          <w:lang w:val="uk-UA"/>
        </w:rPr>
        <w:t xml:space="preserve"> забезпеч</w:t>
      </w:r>
      <w:r w:rsidR="002653A7">
        <w:rPr>
          <w:sz w:val="28"/>
          <w:szCs w:val="28"/>
          <w:lang w:val="uk-UA"/>
        </w:rPr>
        <w:t>ення</w:t>
      </w:r>
      <w:r w:rsidR="002E35A4">
        <w:rPr>
          <w:sz w:val="28"/>
          <w:szCs w:val="28"/>
          <w:lang w:val="uk-UA"/>
        </w:rPr>
        <w:t xml:space="preserve"> </w:t>
      </w:r>
      <w:r w:rsidR="00652981">
        <w:rPr>
          <w:sz w:val="28"/>
          <w:szCs w:val="28"/>
          <w:lang w:val="uk-UA"/>
        </w:rPr>
        <w:t>стал</w:t>
      </w:r>
      <w:r w:rsidR="002653A7">
        <w:rPr>
          <w:sz w:val="28"/>
          <w:szCs w:val="28"/>
          <w:lang w:val="uk-UA"/>
        </w:rPr>
        <w:t>ого</w:t>
      </w:r>
      <w:r w:rsidR="00652981">
        <w:rPr>
          <w:sz w:val="28"/>
          <w:szCs w:val="28"/>
          <w:lang w:val="uk-UA"/>
        </w:rPr>
        <w:t xml:space="preserve"> функціонування підприємства </w:t>
      </w:r>
      <w:r w:rsidR="00356EC5">
        <w:rPr>
          <w:sz w:val="28"/>
          <w:szCs w:val="28"/>
          <w:lang w:val="uk-UA"/>
        </w:rPr>
        <w:t>та зменш</w:t>
      </w:r>
      <w:r w:rsidR="009F5C91">
        <w:rPr>
          <w:sz w:val="28"/>
          <w:szCs w:val="28"/>
          <w:lang w:val="uk-UA"/>
        </w:rPr>
        <w:t>ення негативного</w:t>
      </w:r>
      <w:r w:rsidR="00356EC5">
        <w:rPr>
          <w:sz w:val="28"/>
          <w:szCs w:val="28"/>
          <w:lang w:val="uk-UA"/>
        </w:rPr>
        <w:t xml:space="preserve"> вплив</w:t>
      </w:r>
      <w:r w:rsidR="009F5C91">
        <w:rPr>
          <w:sz w:val="28"/>
          <w:szCs w:val="28"/>
          <w:lang w:val="uk-UA"/>
        </w:rPr>
        <w:t>у</w:t>
      </w:r>
      <w:r w:rsidR="00356EC5">
        <w:rPr>
          <w:sz w:val="28"/>
          <w:szCs w:val="28"/>
          <w:lang w:val="uk-UA"/>
        </w:rPr>
        <w:t xml:space="preserve"> на навколишнє природне середовище.</w:t>
      </w:r>
    </w:p>
    <w:p w14:paraId="1DA4E4D5" w14:textId="77777777" w:rsidR="0080602F" w:rsidRDefault="005A5F7B" w:rsidP="00C97C33">
      <w:pPr>
        <w:pStyle w:val="af5"/>
        <w:ind w:firstLine="567"/>
        <w:jc w:val="both"/>
        <w:rPr>
          <w:szCs w:val="28"/>
        </w:rPr>
      </w:pPr>
      <w:r w:rsidRPr="007105D0">
        <w:rPr>
          <w:szCs w:val="28"/>
        </w:rPr>
        <w:t>П</w:t>
      </w:r>
      <w:r w:rsidR="009F6A79" w:rsidRPr="007105D0">
        <w:rPr>
          <w:szCs w:val="28"/>
        </w:rPr>
        <w:t xml:space="preserve">ротягом 2022 року </w:t>
      </w:r>
      <w:r w:rsidR="00837170" w:rsidRPr="007105D0">
        <w:rPr>
          <w:szCs w:val="28"/>
        </w:rPr>
        <w:t>в</w:t>
      </w:r>
      <w:r w:rsidR="00C97C33" w:rsidRPr="007105D0">
        <w:rPr>
          <w:szCs w:val="28"/>
        </w:rPr>
        <w:t xml:space="preserve"> результаті</w:t>
      </w:r>
      <w:r w:rsidR="009F6A79" w:rsidRPr="007105D0">
        <w:rPr>
          <w:szCs w:val="28"/>
        </w:rPr>
        <w:t xml:space="preserve"> </w:t>
      </w:r>
      <w:r w:rsidR="00837170" w:rsidRPr="007105D0">
        <w:rPr>
          <w:szCs w:val="28"/>
        </w:rPr>
        <w:t>виконання Програми підтримки КП</w:t>
      </w:r>
      <w:r w:rsidR="00802C96">
        <w:rPr>
          <w:szCs w:val="28"/>
        </w:rPr>
        <w:t> </w:t>
      </w:r>
      <w:r w:rsidR="00837170" w:rsidRPr="007105D0">
        <w:rPr>
          <w:szCs w:val="28"/>
        </w:rPr>
        <w:t>«Луцькводоканал» на 2022 рік</w:t>
      </w:r>
      <w:r w:rsidR="00356EC5" w:rsidRPr="007105D0">
        <w:rPr>
          <w:szCs w:val="28"/>
        </w:rPr>
        <w:t xml:space="preserve"> </w:t>
      </w:r>
      <w:r w:rsidR="00837170" w:rsidRPr="007105D0">
        <w:rPr>
          <w:szCs w:val="28"/>
        </w:rPr>
        <w:t xml:space="preserve">підприємством було реалізовано переважну </w:t>
      </w:r>
      <w:r w:rsidR="00C97C33" w:rsidRPr="007105D0">
        <w:rPr>
          <w:szCs w:val="28"/>
        </w:rPr>
        <w:t>більшість</w:t>
      </w:r>
      <w:r w:rsidR="00837170" w:rsidRPr="007105D0">
        <w:rPr>
          <w:szCs w:val="28"/>
        </w:rPr>
        <w:t xml:space="preserve"> передбачених нею заходів, зокрема:</w:t>
      </w:r>
      <w:r w:rsidR="00C97C33" w:rsidRPr="007105D0">
        <w:rPr>
          <w:szCs w:val="28"/>
        </w:rPr>
        <w:t xml:space="preserve"> проведено роботи по поточному ремонту покриття після ліквідації аварій на підземних комунікаціях м.</w:t>
      </w:r>
      <w:r w:rsidR="00802C96">
        <w:rPr>
          <w:szCs w:val="28"/>
        </w:rPr>
        <w:t> </w:t>
      </w:r>
      <w:r w:rsidR="00C97C33" w:rsidRPr="007105D0">
        <w:rPr>
          <w:szCs w:val="28"/>
        </w:rPr>
        <w:t>Луцька, за цілим рядом адрес (вул.</w:t>
      </w:r>
      <w:r w:rsidR="00802C96">
        <w:rPr>
          <w:szCs w:val="28"/>
        </w:rPr>
        <w:t> </w:t>
      </w:r>
      <w:r w:rsidR="00C97C33" w:rsidRPr="007105D0">
        <w:rPr>
          <w:szCs w:val="28"/>
        </w:rPr>
        <w:t>Богомольця, вул.</w:t>
      </w:r>
      <w:r w:rsidR="00802C96">
        <w:rPr>
          <w:szCs w:val="28"/>
        </w:rPr>
        <w:t> </w:t>
      </w:r>
      <w:r w:rsidR="00C97C33" w:rsidRPr="007105D0">
        <w:rPr>
          <w:szCs w:val="28"/>
        </w:rPr>
        <w:t xml:space="preserve">Рівненська, 1, вул. </w:t>
      </w:r>
      <w:proofErr w:type="spellStart"/>
      <w:r w:rsidR="00C97C33" w:rsidRPr="007105D0">
        <w:rPr>
          <w:szCs w:val="28"/>
        </w:rPr>
        <w:t>Гордіюк</w:t>
      </w:r>
      <w:proofErr w:type="spellEnd"/>
      <w:r w:rsidR="00C97C33" w:rsidRPr="007105D0">
        <w:rPr>
          <w:szCs w:val="28"/>
        </w:rPr>
        <w:t xml:space="preserve">, 27, </w:t>
      </w:r>
      <w:r w:rsidR="00802C96">
        <w:rPr>
          <w:szCs w:val="28"/>
        </w:rPr>
        <w:t>пр-т</w:t>
      </w:r>
      <w:r w:rsidR="00C97C33" w:rsidRPr="007105D0">
        <w:rPr>
          <w:szCs w:val="28"/>
        </w:rPr>
        <w:t xml:space="preserve"> Перемоги, 5</w:t>
      </w:r>
      <w:r w:rsidR="00C97C33" w:rsidRPr="007105D0">
        <w:rPr>
          <w:szCs w:val="28"/>
          <w:vertAlign w:val="superscript"/>
        </w:rPr>
        <w:t>а,</w:t>
      </w:r>
      <w:r w:rsidR="00C97C33" w:rsidRPr="007105D0">
        <w:rPr>
          <w:szCs w:val="28"/>
        </w:rPr>
        <w:t xml:space="preserve">, вул. Шевченка-Чернишевського, </w:t>
      </w:r>
      <w:r w:rsidR="00C97C33" w:rsidRPr="007105D0">
        <w:rPr>
          <w:szCs w:val="28"/>
          <w:lang w:eastAsia="uk-UA"/>
        </w:rPr>
        <w:t xml:space="preserve">вул. Винниченка 25, </w:t>
      </w:r>
      <w:r w:rsidR="00C97C33" w:rsidRPr="007105D0">
        <w:rPr>
          <w:rStyle w:val="FontStyle18"/>
          <w:sz w:val="28"/>
          <w:szCs w:val="28"/>
          <w:lang w:eastAsia="uk-UA"/>
        </w:rPr>
        <w:t xml:space="preserve">вул. </w:t>
      </w:r>
      <w:r w:rsidR="00802C96">
        <w:rPr>
          <w:rStyle w:val="FontStyle18"/>
          <w:sz w:val="28"/>
          <w:szCs w:val="28"/>
          <w:lang w:eastAsia="uk-UA"/>
        </w:rPr>
        <w:t xml:space="preserve">Дмитра </w:t>
      </w:r>
      <w:r w:rsidR="00C97C33" w:rsidRPr="007105D0">
        <w:rPr>
          <w:rStyle w:val="FontStyle18"/>
          <w:sz w:val="28"/>
          <w:szCs w:val="28"/>
          <w:lang w:eastAsia="uk-UA"/>
        </w:rPr>
        <w:t>Іващенка, 4</w:t>
      </w:r>
      <w:r w:rsidR="00C97C33" w:rsidRPr="007105D0">
        <w:rPr>
          <w:szCs w:val="28"/>
        </w:rPr>
        <w:t xml:space="preserve"> </w:t>
      </w:r>
      <w:r w:rsidR="00C97C33" w:rsidRPr="007105D0">
        <w:rPr>
          <w:rStyle w:val="FontStyle18"/>
          <w:sz w:val="28"/>
          <w:szCs w:val="28"/>
          <w:lang w:eastAsia="uk-UA"/>
        </w:rPr>
        <w:t>вул.</w:t>
      </w:r>
      <w:r w:rsidR="00802C96">
        <w:rPr>
          <w:rStyle w:val="FontStyle18"/>
          <w:sz w:val="28"/>
          <w:szCs w:val="28"/>
          <w:lang w:eastAsia="uk-UA"/>
        </w:rPr>
        <w:t> </w:t>
      </w:r>
      <w:r w:rsidR="00C97C33" w:rsidRPr="007105D0">
        <w:rPr>
          <w:rStyle w:val="FontStyle18"/>
          <w:sz w:val="28"/>
          <w:szCs w:val="28"/>
          <w:lang w:eastAsia="uk-UA"/>
        </w:rPr>
        <w:t>Кривоноса, 9</w:t>
      </w:r>
      <w:r w:rsidR="00C97C33" w:rsidRPr="007105D0">
        <w:rPr>
          <w:szCs w:val="28"/>
        </w:rPr>
        <w:t xml:space="preserve">, </w:t>
      </w:r>
      <w:r w:rsidR="00C97C33" w:rsidRPr="007105D0">
        <w:rPr>
          <w:rStyle w:val="FontStyle18"/>
          <w:sz w:val="28"/>
          <w:szCs w:val="28"/>
          <w:lang w:eastAsia="uk-UA"/>
        </w:rPr>
        <w:t>вул. К</w:t>
      </w:r>
      <w:r w:rsidR="00802C96">
        <w:rPr>
          <w:rStyle w:val="FontStyle18"/>
          <w:sz w:val="28"/>
          <w:szCs w:val="28"/>
          <w:lang w:eastAsia="uk-UA"/>
        </w:rPr>
        <w:t>арпенка</w:t>
      </w:r>
      <w:r w:rsidR="00C97C33" w:rsidRPr="007105D0">
        <w:rPr>
          <w:rStyle w:val="FontStyle18"/>
          <w:sz w:val="28"/>
          <w:szCs w:val="28"/>
          <w:lang w:eastAsia="uk-UA"/>
        </w:rPr>
        <w:t xml:space="preserve">-Карого, 15, вул. Кравчука, 36, </w:t>
      </w:r>
      <w:r w:rsidR="00F51E0F" w:rsidRPr="007105D0">
        <w:rPr>
          <w:szCs w:val="28"/>
          <w:lang w:eastAsia="uk-UA"/>
        </w:rPr>
        <w:t>вул.</w:t>
      </w:r>
      <w:r w:rsidR="00802C96">
        <w:rPr>
          <w:szCs w:val="28"/>
          <w:lang w:eastAsia="uk-UA"/>
        </w:rPr>
        <w:t> </w:t>
      </w:r>
      <w:r w:rsidR="00F51E0F" w:rsidRPr="007105D0">
        <w:rPr>
          <w:szCs w:val="28"/>
          <w:lang w:eastAsia="uk-UA"/>
        </w:rPr>
        <w:t>Станіславського</w:t>
      </w:r>
      <w:r w:rsidR="00802C96">
        <w:rPr>
          <w:szCs w:val="28"/>
          <w:lang w:eastAsia="uk-UA"/>
        </w:rPr>
        <w:t>,</w:t>
      </w:r>
      <w:r w:rsidR="00F51E0F" w:rsidRPr="007105D0">
        <w:rPr>
          <w:szCs w:val="28"/>
          <w:lang w:eastAsia="uk-UA"/>
        </w:rPr>
        <w:t xml:space="preserve"> 48</w:t>
      </w:r>
      <w:r w:rsidR="00802C96">
        <w:rPr>
          <w:szCs w:val="28"/>
          <w:lang w:eastAsia="uk-UA"/>
        </w:rPr>
        <w:t> </w:t>
      </w:r>
      <w:r w:rsidR="00F51E0F" w:rsidRPr="007105D0">
        <w:rPr>
          <w:szCs w:val="28"/>
          <w:lang w:eastAsia="uk-UA"/>
        </w:rPr>
        <w:t>а, Київський майдан</w:t>
      </w:r>
      <w:r w:rsidR="00802C96">
        <w:rPr>
          <w:szCs w:val="28"/>
          <w:lang w:eastAsia="uk-UA"/>
        </w:rPr>
        <w:t>,</w:t>
      </w:r>
      <w:r w:rsidR="00F51E0F" w:rsidRPr="007105D0">
        <w:rPr>
          <w:szCs w:val="28"/>
          <w:lang w:eastAsia="uk-UA"/>
        </w:rPr>
        <w:t xml:space="preserve"> 6 тощо)</w:t>
      </w:r>
      <w:r w:rsidR="00846492" w:rsidRPr="007105D0">
        <w:rPr>
          <w:szCs w:val="28"/>
          <w:lang w:eastAsia="uk-UA"/>
        </w:rPr>
        <w:t xml:space="preserve">, </w:t>
      </w:r>
      <w:r w:rsidR="007105D0" w:rsidRPr="007105D0">
        <w:rPr>
          <w:szCs w:val="28"/>
          <w:lang w:eastAsia="uk-UA"/>
        </w:rPr>
        <w:t xml:space="preserve">до кінця 2022 </w:t>
      </w:r>
      <w:r w:rsidR="00802C96">
        <w:rPr>
          <w:szCs w:val="28"/>
          <w:lang w:eastAsia="uk-UA"/>
        </w:rPr>
        <w:t xml:space="preserve">року </w:t>
      </w:r>
      <w:r w:rsidR="007105D0" w:rsidRPr="0019384F">
        <w:rPr>
          <w:szCs w:val="28"/>
          <w:lang w:eastAsia="uk-UA"/>
        </w:rPr>
        <w:t xml:space="preserve">планується завершити </w:t>
      </w:r>
      <w:r w:rsidR="007105D0" w:rsidRPr="0019384F">
        <w:rPr>
          <w:szCs w:val="28"/>
        </w:rPr>
        <w:t>реконструкцію водопровідної мережі в с.</w:t>
      </w:r>
      <w:r w:rsidR="00802C96" w:rsidRPr="0019384F">
        <w:rPr>
          <w:szCs w:val="28"/>
        </w:rPr>
        <w:t> </w:t>
      </w:r>
      <w:r w:rsidR="007105D0" w:rsidRPr="0019384F">
        <w:rPr>
          <w:szCs w:val="28"/>
        </w:rPr>
        <w:t xml:space="preserve">Сьомаки Луцької </w:t>
      </w:r>
      <w:r w:rsidR="0019384F" w:rsidRPr="0019384F">
        <w:rPr>
          <w:szCs w:val="28"/>
        </w:rPr>
        <w:t>міської територіальної громади</w:t>
      </w:r>
      <w:r w:rsidR="00802C96" w:rsidRPr="0019384F">
        <w:rPr>
          <w:szCs w:val="28"/>
        </w:rPr>
        <w:t>.</w:t>
      </w:r>
    </w:p>
    <w:p w14:paraId="59EB81C4" w14:textId="77777777" w:rsidR="008844C1" w:rsidRPr="007105D0" w:rsidRDefault="008844C1" w:rsidP="00C97C33">
      <w:pPr>
        <w:pStyle w:val="af5"/>
        <w:ind w:firstLine="567"/>
        <w:jc w:val="both"/>
        <w:rPr>
          <w:szCs w:val="28"/>
        </w:rPr>
      </w:pPr>
    </w:p>
    <w:p w14:paraId="3ADE137F" w14:textId="77777777" w:rsidR="00185841" w:rsidRDefault="00802C96" w:rsidP="007D3FF0">
      <w:pPr>
        <w:widowControl w:val="0"/>
        <w:ind w:left="708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185841">
        <w:rPr>
          <w:b/>
          <w:szCs w:val="28"/>
        </w:rPr>
        <w:t>. Визначення мети Програми</w:t>
      </w:r>
    </w:p>
    <w:p w14:paraId="749EBA10" w14:textId="77777777" w:rsidR="00AE0170" w:rsidRPr="001A6BC2" w:rsidRDefault="00AE0170" w:rsidP="00AD2AD4">
      <w:pPr>
        <w:widowControl w:val="0"/>
        <w:jc w:val="center"/>
        <w:rPr>
          <w:szCs w:val="28"/>
        </w:rPr>
      </w:pPr>
    </w:p>
    <w:p w14:paraId="0854EA3B" w14:textId="77777777" w:rsidR="007D3FF0" w:rsidRDefault="00185841" w:rsidP="00026557">
      <w:pPr>
        <w:ind w:firstLine="567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Метою Програми є</w:t>
      </w:r>
      <w:r w:rsidR="003C426F">
        <w:rPr>
          <w:rStyle w:val="apple-style-span"/>
          <w:szCs w:val="28"/>
        </w:rPr>
        <w:t xml:space="preserve"> створення умов, що сприятимуть </w:t>
      </w:r>
      <w:r w:rsidR="00A2706C">
        <w:rPr>
          <w:rStyle w:val="apple-style-span"/>
          <w:szCs w:val="28"/>
        </w:rPr>
        <w:t>сталому функціонуванню підприємства, о</w:t>
      </w:r>
      <w:r w:rsidR="003C426F">
        <w:rPr>
          <w:rStyle w:val="apple-style-span"/>
          <w:szCs w:val="28"/>
        </w:rPr>
        <w:t xml:space="preserve">бмеження шкідливого впливу на навколишнє природне середовище та здоров’я людини; розширення і модернізація діючих </w:t>
      </w:r>
      <w:proofErr w:type="spellStart"/>
      <w:r w:rsidR="003C426F">
        <w:rPr>
          <w:rStyle w:val="apple-style-span"/>
          <w:szCs w:val="28"/>
        </w:rPr>
        <w:t>потужностей</w:t>
      </w:r>
      <w:proofErr w:type="spellEnd"/>
      <w:r w:rsidR="00711255">
        <w:rPr>
          <w:rStyle w:val="apple-style-span"/>
          <w:szCs w:val="28"/>
        </w:rPr>
        <w:t>,</w:t>
      </w:r>
      <w:r w:rsidR="003C426F">
        <w:rPr>
          <w:rStyle w:val="apple-style-span"/>
          <w:szCs w:val="28"/>
        </w:rPr>
        <w:t xml:space="preserve"> </w:t>
      </w:r>
      <w:r w:rsidR="00A2706C">
        <w:rPr>
          <w:rStyle w:val="apple-style-span"/>
          <w:szCs w:val="28"/>
        </w:rPr>
        <w:t>зменшення втрат води в мережах, покращення якості обслуговування споживачів.</w:t>
      </w:r>
    </w:p>
    <w:p w14:paraId="3CAA9AFF" w14:textId="77777777" w:rsidR="008844C1" w:rsidRDefault="008844C1" w:rsidP="00026557">
      <w:pPr>
        <w:ind w:firstLine="567"/>
        <w:jc w:val="both"/>
        <w:rPr>
          <w:rStyle w:val="apple-style-span"/>
          <w:szCs w:val="28"/>
        </w:rPr>
      </w:pPr>
    </w:p>
    <w:p w14:paraId="78090000" w14:textId="77777777" w:rsidR="00185841" w:rsidRDefault="00802C96" w:rsidP="00AD2AD4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185841" w:rsidRPr="00AE0170">
        <w:rPr>
          <w:b/>
          <w:szCs w:val="28"/>
        </w:rPr>
        <w:t xml:space="preserve">. </w:t>
      </w:r>
      <w:r w:rsidR="00B44D6F" w:rsidRPr="00B44D6F">
        <w:rPr>
          <w:b/>
          <w:szCs w:val="28"/>
        </w:rPr>
        <w:t>З</w:t>
      </w:r>
      <w:r w:rsidR="00E24708" w:rsidRPr="00B44D6F">
        <w:rPr>
          <w:b/>
          <w:szCs w:val="28"/>
        </w:rPr>
        <w:t xml:space="preserve">асоби </w:t>
      </w:r>
      <w:r w:rsidR="00B44D6F" w:rsidRPr="00B44D6F">
        <w:rPr>
          <w:b/>
          <w:szCs w:val="28"/>
        </w:rPr>
        <w:t>розв’язання</w:t>
      </w:r>
      <w:r w:rsidR="00E24708" w:rsidRPr="00B44D6F">
        <w:rPr>
          <w:b/>
          <w:szCs w:val="28"/>
        </w:rPr>
        <w:t xml:space="preserve"> проблеми</w:t>
      </w:r>
    </w:p>
    <w:p w14:paraId="0C51F843" w14:textId="77777777" w:rsidR="008844C1" w:rsidRPr="00B72831" w:rsidRDefault="008844C1" w:rsidP="00AD2AD4">
      <w:pPr>
        <w:jc w:val="center"/>
        <w:rPr>
          <w:b/>
          <w:szCs w:val="28"/>
        </w:rPr>
      </w:pPr>
    </w:p>
    <w:p w14:paraId="3FADEA59" w14:textId="77777777" w:rsidR="00370DAF" w:rsidRPr="00370DAF" w:rsidRDefault="001A33F8" w:rsidP="00420052">
      <w:pPr>
        <w:pStyle w:val="af2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0DAF">
        <w:rPr>
          <w:rFonts w:ascii="Times New Roman" w:hAnsi="Times New Roman"/>
          <w:sz w:val="28"/>
          <w:szCs w:val="28"/>
        </w:rPr>
        <w:t xml:space="preserve">З метою надійного забезпечення питною водою </w:t>
      </w:r>
      <w:r w:rsidRPr="0019384F">
        <w:rPr>
          <w:rFonts w:ascii="Times New Roman" w:hAnsi="Times New Roman"/>
          <w:sz w:val="28"/>
          <w:szCs w:val="28"/>
        </w:rPr>
        <w:t xml:space="preserve">мешканців </w:t>
      </w:r>
      <w:r w:rsidR="0019384F" w:rsidRPr="0019384F">
        <w:rPr>
          <w:rFonts w:ascii="Times New Roman" w:hAnsi="Times New Roman"/>
          <w:sz w:val="28"/>
          <w:szCs w:val="28"/>
        </w:rPr>
        <w:t>громади</w:t>
      </w:r>
      <w:r w:rsidRPr="0019384F">
        <w:rPr>
          <w:rFonts w:ascii="Times New Roman" w:hAnsi="Times New Roman"/>
          <w:sz w:val="28"/>
          <w:szCs w:val="28"/>
        </w:rPr>
        <w:t>,</w:t>
      </w:r>
      <w:r w:rsidRPr="00370DAF">
        <w:rPr>
          <w:rFonts w:ascii="Times New Roman" w:hAnsi="Times New Roman"/>
          <w:sz w:val="28"/>
          <w:szCs w:val="28"/>
        </w:rPr>
        <w:t xml:space="preserve"> зважаючи на існуючий стан мереж во</w:t>
      </w:r>
      <w:r w:rsidR="00903D0B" w:rsidRPr="00370DAF">
        <w:rPr>
          <w:rFonts w:ascii="Times New Roman" w:hAnsi="Times New Roman"/>
          <w:sz w:val="28"/>
          <w:szCs w:val="28"/>
        </w:rPr>
        <w:t>допостачання та водовідведення,</w:t>
      </w:r>
      <w:r w:rsidRPr="00370DAF">
        <w:rPr>
          <w:rFonts w:ascii="Times New Roman" w:hAnsi="Times New Roman"/>
          <w:sz w:val="28"/>
          <w:szCs w:val="28"/>
        </w:rPr>
        <w:t xml:space="preserve"> для підприємства вкрай необхідно </w:t>
      </w:r>
      <w:r w:rsidR="00903D0B" w:rsidRPr="00370DAF">
        <w:rPr>
          <w:rFonts w:ascii="Times New Roman" w:hAnsi="Times New Roman"/>
          <w:sz w:val="28"/>
          <w:szCs w:val="28"/>
        </w:rPr>
        <w:t xml:space="preserve">здійснити реалізацію такого заходу, як </w:t>
      </w:r>
      <w:r w:rsidR="00370DAF" w:rsidRPr="00370DAF">
        <w:rPr>
          <w:rFonts w:ascii="Times New Roman" w:hAnsi="Times New Roman"/>
          <w:sz w:val="28"/>
          <w:szCs w:val="28"/>
        </w:rPr>
        <w:t>механічне зневоднення мулових карт та біологічних ставків</w:t>
      </w:r>
      <w:r w:rsidR="00094B10" w:rsidRPr="00370DAF">
        <w:rPr>
          <w:rFonts w:ascii="Times New Roman" w:hAnsi="Times New Roman"/>
          <w:sz w:val="28"/>
          <w:szCs w:val="28"/>
        </w:rPr>
        <w:t>.</w:t>
      </w:r>
    </w:p>
    <w:p w14:paraId="0E04212A" w14:textId="77777777" w:rsidR="0032322A" w:rsidRPr="007C2575" w:rsidRDefault="001A33F8" w:rsidP="00420052">
      <w:pPr>
        <w:pStyle w:val="af2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5C35">
        <w:rPr>
          <w:rFonts w:ascii="Times New Roman" w:hAnsi="Times New Roman"/>
          <w:sz w:val="28"/>
          <w:szCs w:val="28"/>
        </w:rPr>
        <w:t>Потребує нагального фінансування (</w:t>
      </w:r>
      <w:proofErr w:type="spellStart"/>
      <w:r w:rsidRPr="00035C35">
        <w:rPr>
          <w:rFonts w:ascii="Times New Roman" w:hAnsi="Times New Roman"/>
          <w:sz w:val="28"/>
          <w:szCs w:val="28"/>
        </w:rPr>
        <w:t>співфінасування</w:t>
      </w:r>
      <w:proofErr w:type="spellEnd"/>
      <w:r w:rsidRPr="00035C35">
        <w:rPr>
          <w:rFonts w:ascii="Times New Roman" w:hAnsi="Times New Roman"/>
          <w:sz w:val="28"/>
          <w:szCs w:val="28"/>
        </w:rPr>
        <w:t xml:space="preserve">) природоохоронний </w:t>
      </w:r>
      <w:r w:rsidRPr="007D3FF0">
        <w:rPr>
          <w:rFonts w:ascii="Times New Roman" w:hAnsi="Times New Roman"/>
          <w:sz w:val="28"/>
          <w:szCs w:val="28"/>
        </w:rPr>
        <w:t>захід «</w:t>
      </w:r>
      <w:r w:rsidR="007D3FF0" w:rsidRPr="007D3FF0">
        <w:rPr>
          <w:rFonts w:ascii="Times New Roman" w:hAnsi="Times New Roman"/>
          <w:sz w:val="28"/>
          <w:szCs w:val="28"/>
        </w:rPr>
        <w:t>Будівництво КНС для перекачування промивних вод Дубнівського водозабору</w:t>
      </w:r>
      <w:r w:rsidRPr="007D3FF0">
        <w:rPr>
          <w:rFonts w:ascii="Times New Roman" w:hAnsi="Times New Roman"/>
          <w:sz w:val="28"/>
          <w:szCs w:val="28"/>
        </w:rPr>
        <w:t>», в частині виконання будівельних робіт</w:t>
      </w:r>
      <w:r w:rsidR="00035C35" w:rsidRPr="007D3FF0">
        <w:rPr>
          <w:rFonts w:ascii="Times New Roman" w:hAnsi="Times New Roman"/>
          <w:sz w:val="28"/>
          <w:szCs w:val="28"/>
        </w:rPr>
        <w:t>.</w:t>
      </w:r>
    </w:p>
    <w:p w14:paraId="4F791103" w14:textId="77777777" w:rsidR="007D3FF0" w:rsidRPr="005D5FE6" w:rsidRDefault="005D5FE6" w:rsidP="00420052">
      <w:pPr>
        <w:pStyle w:val="af5"/>
        <w:ind w:firstLine="567"/>
        <w:jc w:val="both"/>
        <w:rPr>
          <w:szCs w:val="28"/>
        </w:rPr>
      </w:pPr>
      <w:r w:rsidRPr="005D5FE6">
        <w:rPr>
          <w:szCs w:val="28"/>
        </w:rPr>
        <w:t xml:space="preserve">Також, з метою забезпечення </w:t>
      </w:r>
      <w:r w:rsidR="007C2575" w:rsidRPr="007C2575">
        <w:rPr>
          <w:szCs w:val="28"/>
        </w:rPr>
        <w:t xml:space="preserve">сталого функціонування підприємства </w:t>
      </w:r>
      <w:r w:rsidR="00816111" w:rsidRPr="00816111">
        <w:rPr>
          <w:szCs w:val="28"/>
        </w:rPr>
        <w:t>та</w:t>
      </w:r>
      <w:r w:rsidR="007C2575" w:rsidRPr="007C2575">
        <w:rPr>
          <w:szCs w:val="28"/>
        </w:rPr>
        <w:t xml:space="preserve"> </w:t>
      </w:r>
      <w:r w:rsidR="00816111" w:rsidRPr="00816111">
        <w:rPr>
          <w:szCs w:val="28"/>
        </w:rPr>
        <w:t>створення</w:t>
      </w:r>
      <w:r w:rsidR="007C2575" w:rsidRPr="007C2575">
        <w:rPr>
          <w:szCs w:val="28"/>
        </w:rPr>
        <w:t xml:space="preserve"> можливості </w:t>
      </w:r>
      <w:r w:rsidRPr="005D5FE6">
        <w:rPr>
          <w:szCs w:val="28"/>
        </w:rPr>
        <w:t xml:space="preserve">безперебійного та цілодобового надання </w:t>
      </w:r>
      <w:r w:rsidR="007C2575" w:rsidRPr="007C2575">
        <w:rPr>
          <w:szCs w:val="28"/>
        </w:rPr>
        <w:t xml:space="preserve">ним </w:t>
      </w:r>
      <w:r w:rsidRPr="005D5FE6">
        <w:rPr>
          <w:szCs w:val="28"/>
        </w:rPr>
        <w:t>послуг з водопостачання та водовідведення вкрай необхідним є реалізація так</w:t>
      </w:r>
      <w:r w:rsidR="007C2575" w:rsidRPr="007C2575">
        <w:rPr>
          <w:szCs w:val="28"/>
        </w:rPr>
        <w:t>ого</w:t>
      </w:r>
      <w:r w:rsidRPr="005D5FE6">
        <w:rPr>
          <w:szCs w:val="28"/>
        </w:rPr>
        <w:t xml:space="preserve"> заход</w:t>
      </w:r>
      <w:r w:rsidR="007C2575" w:rsidRPr="007C2575">
        <w:rPr>
          <w:szCs w:val="28"/>
        </w:rPr>
        <w:t>у</w:t>
      </w:r>
      <w:r w:rsidRPr="005D5FE6">
        <w:rPr>
          <w:szCs w:val="28"/>
        </w:rPr>
        <w:t xml:space="preserve">, як </w:t>
      </w:r>
      <w:r w:rsidR="00816111" w:rsidRPr="00816111">
        <w:rPr>
          <w:rFonts w:eastAsia="Calibri"/>
          <w:szCs w:val="28"/>
        </w:rPr>
        <w:t xml:space="preserve">виконання зобов’язань перед бюджетом </w:t>
      </w:r>
      <w:r w:rsidR="00816111">
        <w:rPr>
          <w:rFonts w:eastAsia="Calibri"/>
          <w:szCs w:val="28"/>
        </w:rPr>
        <w:t>–</w:t>
      </w:r>
      <w:r w:rsidR="00816111" w:rsidRPr="00816111">
        <w:rPr>
          <w:rFonts w:eastAsia="Calibri"/>
          <w:szCs w:val="28"/>
        </w:rPr>
        <w:t xml:space="preserve"> надання допомоги у сплаті поточного ПДВ</w:t>
      </w:r>
      <w:r w:rsidRPr="00816111">
        <w:rPr>
          <w:rFonts w:eastAsia="Calibri"/>
          <w:szCs w:val="28"/>
        </w:rPr>
        <w:t>.</w:t>
      </w:r>
    </w:p>
    <w:p w14:paraId="728E883D" w14:textId="77777777" w:rsidR="00132673" w:rsidRPr="00005A3E" w:rsidRDefault="008F10AD" w:rsidP="00420052">
      <w:pPr>
        <w:tabs>
          <w:tab w:val="left" w:pos="1134"/>
        </w:tabs>
        <w:ind w:firstLine="567"/>
        <w:jc w:val="both"/>
        <w:rPr>
          <w:szCs w:val="28"/>
          <w:lang w:val="ru-RU"/>
        </w:rPr>
      </w:pPr>
      <w:r w:rsidRPr="00CC7623">
        <w:rPr>
          <w:szCs w:val="28"/>
        </w:rPr>
        <w:t>Р</w:t>
      </w:r>
      <w:r w:rsidR="00764531" w:rsidRPr="00CC7623">
        <w:rPr>
          <w:szCs w:val="28"/>
        </w:rPr>
        <w:t>есурсне</w:t>
      </w:r>
      <w:r w:rsidRPr="00CC7623">
        <w:rPr>
          <w:szCs w:val="28"/>
        </w:rPr>
        <w:t xml:space="preserve"> забезпечення Програми наведен</w:t>
      </w:r>
      <w:r w:rsidR="0036675C" w:rsidRPr="00CC7623">
        <w:rPr>
          <w:szCs w:val="28"/>
        </w:rPr>
        <w:t>е</w:t>
      </w:r>
      <w:r w:rsidRPr="00CC7623">
        <w:rPr>
          <w:szCs w:val="28"/>
        </w:rPr>
        <w:t xml:space="preserve"> у додатку 1 до Програми.</w:t>
      </w:r>
    </w:p>
    <w:p w14:paraId="610D786E" w14:textId="77777777" w:rsidR="00005A3E" w:rsidRDefault="00005A3E" w:rsidP="00005A3E">
      <w:pPr>
        <w:tabs>
          <w:tab w:val="left" w:pos="1134"/>
        </w:tabs>
        <w:ind w:firstLine="709"/>
        <w:jc w:val="both"/>
        <w:rPr>
          <w:szCs w:val="28"/>
        </w:rPr>
      </w:pPr>
    </w:p>
    <w:p w14:paraId="5CD1FFEE" w14:textId="77777777" w:rsidR="00AE0170" w:rsidRPr="001A6BC2" w:rsidRDefault="00802C96" w:rsidP="001A6BC2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5</w:t>
      </w:r>
      <w:r w:rsidR="00185841">
        <w:rPr>
          <w:b/>
          <w:szCs w:val="28"/>
        </w:rPr>
        <w:t>. Перелік завдань, заходів Програми</w:t>
      </w:r>
      <w:r w:rsidR="00E24708">
        <w:rPr>
          <w:b/>
          <w:szCs w:val="28"/>
          <w:lang w:val="ru-RU"/>
        </w:rPr>
        <w:t xml:space="preserve"> </w:t>
      </w:r>
      <w:r w:rsidR="001A6BC2">
        <w:rPr>
          <w:b/>
          <w:szCs w:val="28"/>
        </w:rPr>
        <w:t xml:space="preserve"> результативні показники</w:t>
      </w:r>
    </w:p>
    <w:p w14:paraId="7F5443D8" w14:textId="77777777" w:rsidR="0032322A" w:rsidRDefault="0032322A" w:rsidP="00161461">
      <w:pPr>
        <w:shd w:val="clear" w:color="auto" w:fill="FFFFFF"/>
        <w:tabs>
          <w:tab w:val="left" w:pos="0"/>
        </w:tabs>
        <w:ind w:firstLine="720"/>
        <w:jc w:val="both"/>
        <w:rPr>
          <w:szCs w:val="28"/>
          <w:shd w:val="clear" w:color="auto" w:fill="FFFFFF"/>
        </w:rPr>
      </w:pPr>
    </w:p>
    <w:p w14:paraId="5EBBB55F" w14:textId="77777777" w:rsidR="006A2F65" w:rsidRPr="00161461" w:rsidRDefault="00161461" w:rsidP="00420052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161461">
        <w:rPr>
          <w:szCs w:val="28"/>
          <w:shd w:val="clear" w:color="auto" w:fill="FFFFFF"/>
        </w:rPr>
        <w:t xml:space="preserve">Основними завданнями Програми є </w:t>
      </w:r>
      <w:r w:rsidR="006D712B">
        <w:rPr>
          <w:szCs w:val="28"/>
        </w:rPr>
        <w:t>м</w:t>
      </w:r>
      <w:r w:rsidR="006D712B" w:rsidRPr="009E126F">
        <w:rPr>
          <w:szCs w:val="28"/>
        </w:rPr>
        <w:t>оніторинг функціонування та забезпечення сталої роботи системи водопостачання та водовідведення</w:t>
      </w:r>
      <w:r w:rsidR="006D712B">
        <w:rPr>
          <w:szCs w:val="28"/>
        </w:rPr>
        <w:t>,</w:t>
      </w:r>
      <w:r w:rsidR="006D712B" w:rsidRPr="00161461">
        <w:rPr>
          <w:szCs w:val="28"/>
          <w:shd w:val="clear" w:color="auto" w:fill="FFFFFF"/>
        </w:rPr>
        <w:t xml:space="preserve"> </w:t>
      </w:r>
      <w:r w:rsidR="006D712B">
        <w:rPr>
          <w:szCs w:val="28"/>
        </w:rPr>
        <w:t>п</w:t>
      </w:r>
      <w:r w:rsidR="006D712B" w:rsidRPr="009E126F">
        <w:rPr>
          <w:szCs w:val="28"/>
        </w:rPr>
        <w:t>окращення якісних показників стічних вод</w:t>
      </w:r>
      <w:r w:rsidR="006D712B">
        <w:rPr>
          <w:szCs w:val="28"/>
        </w:rPr>
        <w:t xml:space="preserve">, </w:t>
      </w:r>
      <w:r w:rsidR="006D712B" w:rsidRPr="009E126F">
        <w:rPr>
          <w:szCs w:val="28"/>
        </w:rPr>
        <w:t>супровід інвестиційних коштів</w:t>
      </w:r>
      <w:r w:rsidRPr="00161461">
        <w:rPr>
          <w:szCs w:val="28"/>
          <w:shd w:val="clear" w:color="auto" w:fill="FFFFFF"/>
        </w:rPr>
        <w:t>.</w:t>
      </w:r>
    </w:p>
    <w:p w14:paraId="6229D9BF" w14:textId="77777777" w:rsidR="00185841" w:rsidRDefault="00185841" w:rsidP="00420052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Перелік напрямів, завдан</w:t>
      </w:r>
      <w:r w:rsidR="00F109EE">
        <w:rPr>
          <w:szCs w:val="28"/>
        </w:rPr>
        <w:t xml:space="preserve">ь, заходів Програми наведено у </w:t>
      </w:r>
      <w:r>
        <w:rPr>
          <w:szCs w:val="28"/>
        </w:rPr>
        <w:t>додатку 2 до Програми.</w:t>
      </w:r>
    </w:p>
    <w:p w14:paraId="7A93653A" w14:textId="77777777" w:rsidR="001A6BC2" w:rsidRDefault="001A6BC2">
      <w:pPr>
        <w:tabs>
          <w:tab w:val="left" w:pos="0"/>
        </w:tabs>
        <w:ind w:firstLine="720"/>
        <w:jc w:val="both"/>
        <w:rPr>
          <w:szCs w:val="28"/>
        </w:rPr>
      </w:pPr>
    </w:p>
    <w:p w14:paraId="039F510B" w14:textId="77777777" w:rsidR="00185841" w:rsidRPr="00E24708" w:rsidRDefault="00802C96" w:rsidP="00AE0170">
      <w:pPr>
        <w:tabs>
          <w:tab w:val="left" w:pos="0"/>
        </w:tabs>
        <w:jc w:val="center"/>
        <w:rPr>
          <w:b/>
          <w:lang w:val="ru-RU"/>
        </w:rPr>
      </w:pPr>
      <w:r>
        <w:rPr>
          <w:b/>
        </w:rPr>
        <w:t>6</w:t>
      </w:r>
      <w:r w:rsidR="00663071">
        <w:rPr>
          <w:b/>
        </w:rPr>
        <w:t>. </w:t>
      </w:r>
      <w:r w:rsidR="00185841">
        <w:rPr>
          <w:b/>
        </w:rPr>
        <w:t>Координація та контроль за виконанням Програми</w:t>
      </w:r>
      <w:r w:rsidR="00E24708">
        <w:rPr>
          <w:b/>
          <w:lang w:val="ru-RU"/>
        </w:rPr>
        <w:t xml:space="preserve">. </w:t>
      </w:r>
      <w:r w:rsidR="00E24708" w:rsidRPr="003F10B7">
        <w:rPr>
          <w:b/>
        </w:rPr>
        <w:t>Звіт про виконання програми</w:t>
      </w:r>
    </w:p>
    <w:p w14:paraId="11F4C6ED" w14:textId="77777777" w:rsidR="00AE0170" w:rsidRPr="001A6BC2" w:rsidRDefault="00AE0170" w:rsidP="00F109EE">
      <w:pPr>
        <w:tabs>
          <w:tab w:val="left" w:pos="0"/>
        </w:tabs>
        <w:ind w:firstLine="720"/>
        <w:jc w:val="center"/>
        <w:rPr>
          <w:szCs w:val="28"/>
        </w:rPr>
      </w:pPr>
    </w:p>
    <w:p w14:paraId="768020DA" w14:textId="77777777" w:rsidR="00185841" w:rsidRDefault="00185841" w:rsidP="00420052">
      <w:pPr>
        <w:widowControl w:val="0"/>
        <w:ind w:firstLine="567"/>
        <w:jc w:val="both"/>
      </w:pPr>
      <w:r>
        <w:rPr>
          <w:szCs w:val="28"/>
        </w:rPr>
        <w:t xml:space="preserve">Загальна координація та контроль за ходом виконання Програми покладені на </w:t>
      </w:r>
      <w:r w:rsidR="00E24708" w:rsidRPr="00BF2A80">
        <w:rPr>
          <w:szCs w:val="28"/>
        </w:rPr>
        <w:t>д</w:t>
      </w:r>
      <w:r w:rsidRPr="00BF2A80">
        <w:rPr>
          <w:szCs w:val="28"/>
        </w:rPr>
        <w:t>епартамент</w:t>
      </w:r>
      <w:r>
        <w:rPr>
          <w:szCs w:val="28"/>
        </w:rPr>
        <w:t xml:space="preserve"> житлово-комунального </w:t>
      </w:r>
      <w:r w:rsidR="00654234">
        <w:rPr>
          <w:szCs w:val="28"/>
        </w:rPr>
        <w:t>господарства та КП</w:t>
      </w:r>
      <w:r w:rsidR="00CD7AFA">
        <w:rPr>
          <w:szCs w:val="28"/>
        </w:rPr>
        <w:t> </w:t>
      </w:r>
      <w:r w:rsidR="00654234">
        <w:rPr>
          <w:szCs w:val="28"/>
        </w:rPr>
        <w:t>«Луцькводоканал»</w:t>
      </w:r>
      <w:r>
        <w:rPr>
          <w:szCs w:val="28"/>
        </w:rPr>
        <w:t>.</w:t>
      </w:r>
    </w:p>
    <w:p w14:paraId="2C793239" w14:textId="77777777" w:rsidR="00185841" w:rsidRDefault="00185841" w:rsidP="00420052">
      <w:pPr>
        <w:widowControl w:val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>
        <w:rPr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енергозбереження.</w:t>
      </w:r>
    </w:p>
    <w:p w14:paraId="40888541" w14:textId="77777777" w:rsidR="00005A3E" w:rsidRDefault="00005A3E" w:rsidP="00420052">
      <w:pPr>
        <w:widowControl w:val="0"/>
        <w:ind w:firstLine="567"/>
        <w:jc w:val="both"/>
      </w:pPr>
      <w:r>
        <w:rPr>
          <w:szCs w:val="28"/>
        </w:rPr>
        <w:t xml:space="preserve">Звіт про виконання Програми заслуховується на сесії міської ради </w:t>
      </w:r>
      <w:r w:rsidR="00E24708">
        <w:rPr>
          <w:szCs w:val="28"/>
          <w:lang w:val="ru-RU"/>
        </w:rPr>
        <w:t xml:space="preserve">на </w:t>
      </w:r>
      <w:r w:rsidR="00E24708" w:rsidRPr="002A4A0A">
        <w:rPr>
          <w:szCs w:val="28"/>
        </w:rPr>
        <w:t>вимогу депутатів</w:t>
      </w:r>
      <w:r>
        <w:rPr>
          <w:szCs w:val="28"/>
        </w:rPr>
        <w:t>.</w:t>
      </w:r>
    </w:p>
    <w:p w14:paraId="506CF291" w14:textId="77777777" w:rsidR="002C0C42" w:rsidRPr="00802C96" w:rsidRDefault="002C0C42">
      <w:pPr>
        <w:jc w:val="both"/>
        <w:rPr>
          <w:bCs w:val="0"/>
          <w:szCs w:val="28"/>
        </w:rPr>
      </w:pPr>
    </w:p>
    <w:p w14:paraId="7EA28A5A" w14:textId="77777777" w:rsidR="002C0C42" w:rsidRPr="00802C96" w:rsidRDefault="002C0C42">
      <w:pPr>
        <w:jc w:val="both"/>
        <w:rPr>
          <w:bCs w:val="0"/>
          <w:szCs w:val="28"/>
        </w:rPr>
      </w:pPr>
    </w:p>
    <w:bookmarkEnd w:id="0"/>
    <w:p w14:paraId="42C2B13D" w14:textId="294223F2" w:rsidR="00654234" w:rsidRDefault="00A919C5" w:rsidP="00802C9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Секретар міської ради                                                               Юрій БЕЗПЯТКО</w:t>
      </w:r>
    </w:p>
    <w:p w14:paraId="42165437" w14:textId="122D9327" w:rsidR="00F91003" w:rsidRDefault="00F91003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7972F437" w14:textId="77777777" w:rsidR="00A919C5" w:rsidRDefault="00A919C5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6DA9A0C3" w14:textId="77777777" w:rsidR="00CD7AFA" w:rsidRPr="00850CB0" w:rsidRDefault="00CD7AFA" w:rsidP="00CD7AFA">
      <w:pPr>
        <w:rPr>
          <w:sz w:val="24"/>
        </w:rPr>
      </w:pPr>
      <w:r w:rsidRPr="00850CB0">
        <w:rPr>
          <w:sz w:val="24"/>
          <w:lang w:val="ru-RU"/>
        </w:rPr>
        <w:t>Гуменюк 284</w:t>
      </w:r>
      <w:r>
        <w:rPr>
          <w:sz w:val="24"/>
          <w:lang w:val="ru-RU"/>
        </w:rPr>
        <w:t> </w:t>
      </w:r>
      <w:r w:rsidRPr="00850CB0">
        <w:rPr>
          <w:sz w:val="24"/>
          <w:lang w:val="ru-RU"/>
        </w:rPr>
        <w:t>042</w:t>
      </w:r>
    </w:p>
    <w:p w14:paraId="1F89506D" w14:textId="77777777" w:rsidR="00F91003" w:rsidRDefault="00F91003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  <w:sectPr w:rsidR="00F91003" w:rsidSect="00FB2D3C">
          <w:headerReference w:type="default" r:id="rId8"/>
          <w:pgSz w:w="11906" w:h="16838"/>
          <w:pgMar w:top="567" w:right="567" w:bottom="1134" w:left="1985" w:header="709" w:footer="720" w:gutter="0"/>
          <w:cols w:space="720"/>
          <w:titlePg/>
          <w:docGrid w:linePitch="381"/>
        </w:sectPr>
      </w:pPr>
    </w:p>
    <w:p w14:paraId="71DF3B8A" w14:textId="77777777" w:rsidR="00F91003" w:rsidRPr="00A20F57" w:rsidRDefault="00F91003" w:rsidP="00F91003">
      <w:pPr>
        <w:pStyle w:val="ab"/>
        <w:shd w:val="clear" w:color="auto" w:fill="FFFFFF"/>
        <w:spacing w:before="0" w:after="0"/>
        <w:ind w:left="9781" w:right="150"/>
        <w:rPr>
          <w:lang w:val="uk-UA"/>
        </w:rPr>
      </w:pPr>
      <w:r w:rsidRPr="00A20F57">
        <w:rPr>
          <w:sz w:val="28"/>
          <w:szCs w:val="28"/>
          <w:lang w:val="uk-UA"/>
        </w:rPr>
        <w:lastRenderedPageBreak/>
        <w:t>Додаток 1</w:t>
      </w:r>
    </w:p>
    <w:p w14:paraId="1BFC0416" w14:textId="77777777" w:rsidR="00F91003" w:rsidRPr="00A20F57" w:rsidRDefault="00F91003" w:rsidP="00F91003">
      <w:pPr>
        <w:pStyle w:val="ab"/>
        <w:shd w:val="clear" w:color="auto" w:fill="FFFFFF"/>
        <w:spacing w:before="0" w:after="0"/>
        <w:ind w:left="9781" w:right="150"/>
        <w:rPr>
          <w:sz w:val="28"/>
          <w:szCs w:val="28"/>
          <w:lang w:val="uk-UA"/>
        </w:rPr>
      </w:pPr>
      <w:r w:rsidRPr="00A20F57">
        <w:rPr>
          <w:sz w:val="28"/>
          <w:szCs w:val="28"/>
          <w:lang w:val="uk-UA"/>
        </w:rPr>
        <w:t xml:space="preserve">до Програми підтримки </w:t>
      </w:r>
    </w:p>
    <w:p w14:paraId="2E3589A6" w14:textId="77777777" w:rsidR="00F91003" w:rsidRPr="00A20F57" w:rsidRDefault="00F91003" w:rsidP="00F91003">
      <w:pPr>
        <w:pStyle w:val="ab"/>
        <w:shd w:val="clear" w:color="auto" w:fill="FFFFFF"/>
        <w:spacing w:before="0" w:after="0"/>
        <w:ind w:left="9781" w:right="150"/>
        <w:rPr>
          <w:lang w:val="uk-UA"/>
        </w:rPr>
      </w:pPr>
      <w:r w:rsidRPr="00A20F57">
        <w:rPr>
          <w:sz w:val="28"/>
          <w:szCs w:val="28"/>
          <w:lang w:val="uk-UA"/>
        </w:rPr>
        <w:t>КП «Луцькводоканал»</w:t>
      </w:r>
      <w:r w:rsidRPr="00A20F57">
        <w:rPr>
          <w:szCs w:val="28"/>
          <w:lang w:val="uk-UA"/>
        </w:rPr>
        <w:t xml:space="preserve"> </w:t>
      </w:r>
      <w:r w:rsidRPr="00A20F57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3</w:t>
      </w:r>
      <w:r w:rsidRPr="00A20F57">
        <w:rPr>
          <w:sz w:val="28"/>
          <w:szCs w:val="28"/>
          <w:lang w:val="uk-UA"/>
        </w:rPr>
        <w:t xml:space="preserve"> рік</w:t>
      </w:r>
    </w:p>
    <w:p w14:paraId="56EE6DFC" w14:textId="77777777" w:rsidR="00F91003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13FE3DBB" w14:textId="77777777" w:rsidR="00F91003" w:rsidRPr="00097A67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1B92F8F7" w14:textId="77777777" w:rsidR="00F91003" w:rsidRPr="00AE0170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14:paraId="7065E0E3" w14:textId="77777777" w:rsidR="00F91003" w:rsidRPr="00AE0170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b/>
        </w:rPr>
      </w:pPr>
      <w:r w:rsidRPr="00AE0170">
        <w:rPr>
          <w:b/>
          <w:sz w:val="28"/>
          <w:szCs w:val="28"/>
          <w:lang w:val="uk-UA"/>
        </w:rPr>
        <w:t xml:space="preserve">Ресурсне забезпечення </w:t>
      </w:r>
    </w:p>
    <w:p w14:paraId="0F715768" w14:textId="77777777" w:rsidR="00F91003" w:rsidRPr="00AE0170" w:rsidRDefault="00F91003" w:rsidP="00F91003">
      <w:pPr>
        <w:jc w:val="center"/>
        <w:rPr>
          <w:b/>
          <w:szCs w:val="28"/>
        </w:rPr>
      </w:pPr>
      <w:r w:rsidRPr="00AE0170">
        <w:rPr>
          <w:b/>
          <w:szCs w:val="28"/>
        </w:rPr>
        <w:t xml:space="preserve">Програми підтримки КП «Луцькводоканал» </w:t>
      </w:r>
    </w:p>
    <w:p w14:paraId="0A32FCD6" w14:textId="77777777" w:rsidR="00F91003" w:rsidRPr="00AE0170" w:rsidRDefault="00F91003" w:rsidP="00F91003">
      <w:pPr>
        <w:jc w:val="center"/>
        <w:rPr>
          <w:b/>
        </w:rPr>
      </w:pPr>
      <w:r w:rsidRPr="00AE0170">
        <w:rPr>
          <w:b/>
          <w:szCs w:val="28"/>
        </w:rPr>
        <w:t>на 20</w:t>
      </w:r>
      <w:r>
        <w:rPr>
          <w:b/>
          <w:szCs w:val="28"/>
        </w:rPr>
        <w:t>2</w:t>
      </w:r>
      <w:r>
        <w:rPr>
          <w:b/>
          <w:szCs w:val="28"/>
          <w:lang w:val="ru-RU"/>
        </w:rPr>
        <w:t>3</w:t>
      </w:r>
      <w:r w:rsidRPr="00AE0170">
        <w:rPr>
          <w:b/>
          <w:szCs w:val="28"/>
        </w:rPr>
        <w:t xml:space="preserve"> рік</w:t>
      </w:r>
    </w:p>
    <w:p w14:paraId="611A5F3A" w14:textId="77777777" w:rsidR="00F91003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4387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1196"/>
        <w:gridCol w:w="6954"/>
        <w:gridCol w:w="2741"/>
        <w:gridCol w:w="3496"/>
      </w:tblGrid>
      <w:tr w:rsidR="00F91003" w14:paraId="43A2D399" w14:textId="77777777">
        <w:trPr>
          <w:trHeight w:val="111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2AD5" w14:textId="77777777" w:rsidR="00F91003" w:rsidRPr="00AE0170" w:rsidRDefault="00F91003">
            <w:pPr>
              <w:jc w:val="center"/>
              <w:rPr>
                <w:b/>
                <w:szCs w:val="28"/>
              </w:rPr>
            </w:pPr>
            <w:r w:rsidRPr="00AE0170">
              <w:rPr>
                <w:b/>
                <w:szCs w:val="28"/>
              </w:rPr>
              <w:t>№</w:t>
            </w:r>
          </w:p>
          <w:p w14:paraId="3FAC0366" w14:textId="77777777" w:rsidR="00F91003" w:rsidRPr="00AE0170" w:rsidRDefault="00F91003">
            <w:pPr>
              <w:snapToGrid w:val="0"/>
              <w:jc w:val="center"/>
              <w:rPr>
                <w:b/>
                <w:szCs w:val="28"/>
              </w:rPr>
            </w:pPr>
            <w:r w:rsidRPr="00AE0170">
              <w:rPr>
                <w:b/>
                <w:szCs w:val="28"/>
              </w:rPr>
              <w:t>з/п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B279C" w14:textId="77777777" w:rsidR="00F91003" w:rsidRPr="00AE0170" w:rsidRDefault="00F91003">
            <w:pPr>
              <w:jc w:val="center"/>
              <w:rPr>
                <w:b/>
              </w:rPr>
            </w:pPr>
            <w:r w:rsidRPr="00AE0170"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776B" w14:textId="77777777" w:rsidR="00F91003" w:rsidRPr="00AE0170" w:rsidRDefault="00F91003">
            <w:pPr>
              <w:jc w:val="center"/>
              <w:rPr>
                <w:b/>
              </w:rPr>
            </w:pPr>
            <w:r w:rsidRPr="00AE0170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ru-RU"/>
              </w:rPr>
              <w:t>3</w:t>
            </w:r>
            <w:r w:rsidRPr="00AE0170">
              <w:rPr>
                <w:b/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255A" w14:textId="77777777" w:rsidR="00F91003" w:rsidRPr="00AE0170" w:rsidRDefault="00F91003">
            <w:pPr>
              <w:snapToGrid w:val="0"/>
              <w:jc w:val="center"/>
              <w:rPr>
                <w:b/>
                <w:szCs w:val="28"/>
              </w:rPr>
            </w:pPr>
            <w:r w:rsidRPr="00AE0170"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F91003" w:rsidRPr="0036675C" w14:paraId="4711AD7E" w14:textId="77777777" w:rsidTr="00CD7AFA">
        <w:trPr>
          <w:trHeight w:val="579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C6F9E" w14:textId="77777777" w:rsidR="00F91003" w:rsidRPr="002C0C42" w:rsidRDefault="00F91003">
            <w:pPr>
              <w:jc w:val="center"/>
            </w:pPr>
            <w:r w:rsidRPr="002C0C42">
              <w:rPr>
                <w:szCs w:val="28"/>
              </w:rPr>
              <w:t>1.</w:t>
            </w:r>
          </w:p>
          <w:p w14:paraId="0472F4D7" w14:textId="77777777" w:rsidR="00F91003" w:rsidRPr="002C0C42" w:rsidRDefault="00F91003"/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99EC" w14:textId="77777777" w:rsidR="00F91003" w:rsidRPr="002C0C42" w:rsidRDefault="00F91003">
            <w:r w:rsidRPr="002C0C42">
              <w:rPr>
                <w:szCs w:val="28"/>
              </w:rPr>
              <w:t>Об</w:t>
            </w:r>
            <w:r>
              <w:rPr>
                <w:szCs w:val="28"/>
              </w:rPr>
              <w:t>сяг фінансових ресурсів всього</w:t>
            </w:r>
            <w:r w:rsidR="00CD7AFA">
              <w:rPr>
                <w:szCs w:val="28"/>
              </w:rPr>
              <w:t>, в тому числі: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C6F5" w14:textId="77777777" w:rsidR="00F91003" w:rsidRPr="006A0F3E" w:rsidRDefault="00F91003" w:rsidP="00CD7AFA">
            <w:pPr>
              <w:jc w:val="center"/>
              <w:rPr>
                <w:szCs w:val="28"/>
              </w:rPr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5EC5" w14:textId="77777777" w:rsidR="00F91003" w:rsidRPr="006A0F3E" w:rsidRDefault="00F91003" w:rsidP="00CD7AFA">
            <w:pPr>
              <w:jc w:val="center"/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90 000,0</w:t>
            </w:r>
          </w:p>
        </w:tc>
      </w:tr>
      <w:tr w:rsidR="00F91003" w:rsidRPr="002C0C42" w14:paraId="763457F7" w14:textId="77777777" w:rsidTr="00CD7AFA">
        <w:trPr>
          <w:trHeight w:val="579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9936B" w14:textId="77777777" w:rsidR="00F91003" w:rsidRPr="0010359D" w:rsidRDefault="00F91003">
            <w:pPr>
              <w:jc w:val="center"/>
              <w:rPr>
                <w:szCs w:val="28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91EC7" w14:textId="77777777" w:rsidR="00F91003" w:rsidRPr="0010359D" w:rsidRDefault="00F91003">
            <w:pPr>
              <w:rPr>
                <w:szCs w:val="28"/>
              </w:rPr>
            </w:pPr>
            <w:r>
              <w:rPr>
                <w:szCs w:val="28"/>
              </w:rPr>
              <w:t>кошт</w:t>
            </w:r>
            <w:r w:rsidR="00CD7AFA">
              <w:rPr>
                <w:szCs w:val="28"/>
              </w:rPr>
              <w:t>ів</w:t>
            </w:r>
            <w:r>
              <w:rPr>
                <w:szCs w:val="28"/>
              </w:rPr>
              <w:t xml:space="preserve"> </w:t>
            </w:r>
            <w:r>
              <w:t>бюджету Луцької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86E4" w14:textId="77777777" w:rsidR="00F91003" w:rsidRPr="006A0F3E" w:rsidRDefault="00F91003" w:rsidP="00CD7AFA">
            <w:pPr>
              <w:jc w:val="center"/>
              <w:rPr>
                <w:szCs w:val="28"/>
              </w:rPr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90 000, 0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C76C" w14:textId="77777777" w:rsidR="00F91003" w:rsidRPr="006A0F3E" w:rsidRDefault="00F91003" w:rsidP="00CD7AFA">
            <w:pPr>
              <w:jc w:val="center"/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90 000,0</w:t>
            </w:r>
          </w:p>
        </w:tc>
      </w:tr>
    </w:tbl>
    <w:p w14:paraId="511FA7D9" w14:textId="77777777" w:rsidR="00F91003" w:rsidRDefault="00F91003" w:rsidP="00CD7AFA">
      <w:pPr>
        <w:pStyle w:val="ab"/>
        <w:shd w:val="clear" w:color="auto" w:fill="FFFFFF"/>
        <w:spacing w:before="0" w:after="0"/>
        <w:ind w:right="150" w:firstLine="720"/>
      </w:pPr>
    </w:p>
    <w:p w14:paraId="46771942" w14:textId="77777777" w:rsidR="00CD7AFA" w:rsidRDefault="00CD7AFA" w:rsidP="00CD7AFA">
      <w:pPr>
        <w:pStyle w:val="ab"/>
        <w:shd w:val="clear" w:color="auto" w:fill="FFFFFF"/>
        <w:spacing w:before="0" w:after="0"/>
        <w:ind w:right="150" w:firstLine="720"/>
      </w:pPr>
    </w:p>
    <w:p w14:paraId="6210C241" w14:textId="77777777" w:rsidR="00CD7AFA" w:rsidRPr="00850CB0" w:rsidRDefault="00CD7AFA" w:rsidP="00CD7AFA">
      <w:pPr>
        <w:ind w:left="426"/>
        <w:rPr>
          <w:sz w:val="24"/>
        </w:rPr>
      </w:pPr>
      <w:r w:rsidRPr="00850CB0">
        <w:rPr>
          <w:sz w:val="24"/>
          <w:lang w:val="ru-RU"/>
        </w:rPr>
        <w:t>Гуменюк 284</w:t>
      </w:r>
      <w:r>
        <w:rPr>
          <w:sz w:val="24"/>
          <w:lang w:val="ru-RU"/>
        </w:rPr>
        <w:t> </w:t>
      </w:r>
      <w:r w:rsidRPr="00850CB0">
        <w:rPr>
          <w:sz w:val="24"/>
          <w:lang w:val="ru-RU"/>
        </w:rPr>
        <w:t>042</w:t>
      </w:r>
    </w:p>
    <w:p w14:paraId="37F92A2E" w14:textId="77777777" w:rsidR="00CD7AFA" w:rsidRDefault="00CD7AFA" w:rsidP="00CD7AFA">
      <w:pPr>
        <w:pStyle w:val="ab"/>
        <w:shd w:val="clear" w:color="auto" w:fill="FFFFFF"/>
        <w:spacing w:before="0" w:after="0"/>
        <w:ind w:right="150" w:firstLine="720"/>
      </w:pPr>
    </w:p>
    <w:p w14:paraId="6CD3F622" w14:textId="77777777" w:rsidR="00F91003" w:rsidRPr="00D5449E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8"/>
          <w:szCs w:val="28"/>
        </w:rPr>
      </w:pPr>
      <w:r>
        <w:br w:type="page"/>
      </w:r>
      <w:proofErr w:type="spellStart"/>
      <w:r w:rsidRPr="00D5449E">
        <w:rPr>
          <w:sz w:val="28"/>
          <w:szCs w:val="28"/>
        </w:rPr>
        <w:lastRenderedPageBreak/>
        <w:t>Додаток</w:t>
      </w:r>
      <w:proofErr w:type="spellEnd"/>
      <w:r w:rsidRPr="00D5449E">
        <w:rPr>
          <w:sz w:val="28"/>
          <w:szCs w:val="28"/>
        </w:rPr>
        <w:t> 2</w:t>
      </w:r>
    </w:p>
    <w:p w14:paraId="1A9664E0" w14:textId="77777777" w:rsidR="00F91003" w:rsidRPr="009252D9" w:rsidRDefault="00F91003" w:rsidP="00F91003">
      <w:pPr>
        <w:ind w:left="10080"/>
        <w:jc w:val="both"/>
        <w:rPr>
          <w:szCs w:val="28"/>
        </w:rPr>
      </w:pPr>
      <w:r w:rsidRPr="009252D9">
        <w:rPr>
          <w:szCs w:val="28"/>
        </w:rPr>
        <w:t xml:space="preserve">до Програми підтримки </w:t>
      </w:r>
    </w:p>
    <w:p w14:paraId="16A895DB" w14:textId="77777777" w:rsidR="00F91003" w:rsidRPr="00AD5E66" w:rsidRDefault="00F91003" w:rsidP="00F91003">
      <w:pPr>
        <w:ind w:left="10080"/>
        <w:jc w:val="both"/>
      </w:pPr>
      <w:r w:rsidRPr="009252D9">
        <w:rPr>
          <w:szCs w:val="28"/>
        </w:rPr>
        <w:t>КП «Луцькводоканал» на 202</w:t>
      </w:r>
      <w:r>
        <w:rPr>
          <w:szCs w:val="28"/>
          <w:lang w:val="en-US"/>
        </w:rPr>
        <w:t>3</w:t>
      </w:r>
      <w:r w:rsidRPr="009252D9">
        <w:rPr>
          <w:szCs w:val="28"/>
        </w:rPr>
        <w:t xml:space="preserve"> рік</w:t>
      </w:r>
    </w:p>
    <w:p w14:paraId="5C89BA0A" w14:textId="77777777" w:rsidR="00F91003" w:rsidRDefault="00F91003" w:rsidP="00F91003">
      <w:pPr>
        <w:jc w:val="both"/>
        <w:rPr>
          <w:sz w:val="24"/>
        </w:rPr>
      </w:pPr>
    </w:p>
    <w:p w14:paraId="2AB2F66A" w14:textId="77777777" w:rsidR="00F91003" w:rsidRDefault="00F91003" w:rsidP="00F91003">
      <w:pPr>
        <w:jc w:val="both"/>
        <w:rPr>
          <w:sz w:val="24"/>
        </w:rPr>
      </w:pPr>
    </w:p>
    <w:p w14:paraId="2EA3FFC0" w14:textId="77777777" w:rsidR="00F91003" w:rsidRPr="009252D9" w:rsidRDefault="00F91003" w:rsidP="008844C1">
      <w:pPr>
        <w:jc w:val="center"/>
        <w:rPr>
          <w:szCs w:val="28"/>
        </w:rPr>
      </w:pPr>
      <w:r w:rsidRPr="009252D9">
        <w:rPr>
          <w:color w:val="000000"/>
          <w:szCs w:val="28"/>
        </w:rPr>
        <w:t>Перелік завдань, заходів та результативні показники</w:t>
      </w:r>
    </w:p>
    <w:p w14:paraId="649727EA" w14:textId="77777777" w:rsidR="00F91003" w:rsidRDefault="00F91003" w:rsidP="008844C1">
      <w:pPr>
        <w:jc w:val="center"/>
      </w:pPr>
      <w:r w:rsidRPr="009252D9">
        <w:rPr>
          <w:szCs w:val="28"/>
        </w:rPr>
        <w:t>Програми підтримки КП «Луцькводоканал» на 202</w:t>
      </w:r>
      <w:r w:rsidRPr="00753FC0">
        <w:rPr>
          <w:szCs w:val="28"/>
          <w:lang w:val="ru-RU"/>
        </w:rPr>
        <w:t>3</w:t>
      </w:r>
      <w:r w:rsidRPr="009252D9">
        <w:rPr>
          <w:szCs w:val="28"/>
        </w:rPr>
        <w:t xml:space="preserve"> рік</w:t>
      </w:r>
    </w:p>
    <w:p w14:paraId="15E31A92" w14:textId="77777777" w:rsidR="00F91003" w:rsidRDefault="00F91003" w:rsidP="00F91003">
      <w:pPr>
        <w:rPr>
          <w:sz w:val="24"/>
        </w:rPr>
      </w:pPr>
    </w:p>
    <w:tbl>
      <w:tblPr>
        <w:tblW w:w="1517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270"/>
      </w:tblGrid>
      <w:tr w:rsidR="00F91003" w:rsidRPr="0025303B" w14:paraId="289FFA99" w14:textId="77777777" w:rsidTr="00E07687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№</w:t>
            </w:r>
          </w:p>
          <w:p w14:paraId="597CF85D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50ED9D" w14:textId="77777777" w:rsidR="00F91003" w:rsidRPr="00CD7AFA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7DB8741A" w14:textId="77777777" w:rsidR="00F91003" w:rsidRPr="00CD7AFA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4B0202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25303B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Терміни виконання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FAD5D3B" w14:textId="77777777" w:rsidR="00F91003" w:rsidRPr="00CD7AFA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Фінансування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18DE910E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color w:val="000000"/>
                <w:sz w:val="24"/>
              </w:rPr>
              <w:t>Результативні показники</w:t>
            </w:r>
          </w:p>
          <w:p w14:paraId="2D6F79CA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color w:val="000000"/>
                <w:sz w:val="24"/>
              </w:rPr>
              <w:t>(фактичні/планові)</w:t>
            </w:r>
          </w:p>
        </w:tc>
      </w:tr>
      <w:tr w:rsidR="00F91003" w:rsidRPr="0025303B" w14:paraId="62D9E1EA" w14:textId="77777777" w:rsidTr="00E07687">
        <w:trPr>
          <w:trHeight w:val="360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E80C05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2022035F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3E80809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25303B" w:rsidRDefault="00F91003" w:rsidP="00CD7AFA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79CFD" w14:textId="77777777" w:rsidR="00F91003" w:rsidRPr="0025303B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Обсяги, тис. грн</w:t>
            </w:r>
          </w:p>
        </w:tc>
        <w:tc>
          <w:tcPr>
            <w:tcW w:w="2270" w:type="dxa"/>
            <w:vMerge/>
            <w:shd w:val="clear" w:color="auto" w:fill="auto"/>
          </w:tcPr>
          <w:p w14:paraId="6E7D9569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</w:tr>
      <w:tr w:rsidR="00F91003" w:rsidRPr="0025303B" w14:paraId="78453D09" w14:textId="77777777" w:rsidTr="00E07687">
        <w:tc>
          <w:tcPr>
            <w:tcW w:w="426" w:type="dxa"/>
            <w:vMerge w:val="restart"/>
            <w:shd w:val="clear" w:color="auto" w:fill="auto"/>
          </w:tcPr>
          <w:p w14:paraId="5BBCC91D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47C4815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EE632B5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sz w:val="24"/>
              </w:rPr>
              <w:t xml:space="preserve">1. </w:t>
            </w:r>
            <w:r w:rsidRPr="00D91AE9">
              <w:rPr>
                <w:rFonts w:eastAsia="Calibri"/>
                <w:sz w:val="24"/>
              </w:rPr>
              <w:t>Механічне зневоднення мулових карт та біологічних ставків</w:t>
            </w:r>
          </w:p>
        </w:tc>
        <w:tc>
          <w:tcPr>
            <w:tcW w:w="1557" w:type="dxa"/>
            <w:shd w:val="clear" w:color="auto" w:fill="auto"/>
          </w:tcPr>
          <w:p w14:paraId="403424F1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F91003" w:rsidRPr="00753FC0" w:rsidRDefault="00F91003" w:rsidP="00CD7AFA">
            <w:pPr>
              <w:pStyle w:val="ac"/>
              <w:widowControl w:val="0"/>
              <w:jc w:val="center"/>
              <w:rPr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4672941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7BCD90FF" w:rsidR="00F91003" w:rsidRPr="0025303B" w:rsidRDefault="00F91003">
            <w:pPr>
              <w:pStyle w:val="ac"/>
              <w:widowControl w:val="0"/>
              <w:jc w:val="right"/>
            </w:pPr>
            <w:r w:rsidRPr="00753FC0">
              <w:rPr>
                <w:rFonts w:eastAsia="Calibri"/>
                <w:sz w:val="24"/>
              </w:rPr>
              <w:t>15</w:t>
            </w:r>
            <w:r w:rsidR="00A919C5">
              <w:rPr>
                <w:rFonts w:eastAsia="Calibri"/>
                <w:sz w:val="24"/>
                <w:lang w:val="ru-RU"/>
              </w:rPr>
              <w:t>000</w:t>
            </w:r>
            <w:r>
              <w:rPr>
                <w:rFonts w:eastAsia="Calibri"/>
                <w:sz w:val="24"/>
                <w:lang w:val="en-US"/>
              </w:rPr>
              <w:t>.</w:t>
            </w:r>
            <w:r w:rsidRPr="00753FC0">
              <w:rPr>
                <w:rFonts w:eastAsia="Calibri"/>
                <w:sz w:val="24"/>
              </w:rPr>
              <w:t>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B86AA6E" w14:textId="77777777" w:rsidR="00F91003" w:rsidRPr="00C47E68" w:rsidRDefault="00F91003">
            <w:pPr>
              <w:rPr>
                <w:highlight w:val="cyan"/>
              </w:rPr>
            </w:pPr>
            <w:r w:rsidRPr="00C47E68">
              <w:rPr>
                <w:iCs/>
                <w:sz w:val="24"/>
              </w:rPr>
              <w:t>Покращення санітарно-екологічного стану в місті Луцьку</w:t>
            </w:r>
          </w:p>
        </w:tc>
      </w:tr>
      <w:tr w:rsidR="00F91003" w:rsidRPr="0025303B" w14:paraId="4C2DDC6B" w14:textId="77777777" w:rsidTr="00E07687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4D2991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B406F40" w14:textId="77777777" w:rsidR="00F91003" w:rsidRPr="0025303B" w:rsidRDefault="00F91003">
            <w:pPr>
              <w:rPr>
                <w:rFonts w:eastAsia="Calibri"/>
                <w:sz w:val="24"/>
              </w:rPr>
            </w:pPr>
            <w:r w:rsidRPr="00B72831">
              <w:rPr>
                <w:rFonts w:eastAsia="Calibri"/>
                <w:sz w:val="24"/>
                <w:lang w:val="ru-RU"/>
              </w:rPr>
              <w:t>2</w:t>
            </w:r>
            <w:r w:rsidRPr="0025303B">
              <w:rPr>
                <w:rFonts w:eastAsia="Calibri"/>
                <w:sz w:val="24"/>
              </w:rPr>
              <w:t>. Виконання зобов’язань перед бюджетом (сплата поточного ПДВ)</w:t>
            </w:r>
          </w:p>
        </w:tc>
        <w:tc>
          <w:tcPr>
            <w:tcW w:w="1557" w:type="dxa"/>
            <w:shd w:val="clear" w:color="auto" w:fill="auto"/>
          </w:tcPr>
          <w:p w14:paraId="01F8C059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F91003" w:rsidRPr="00753FC0" w:rsidRDefault="00F91003" w:rsidP="00CD7AFA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4153CF67" w14:textId="77777777" w:rsidR="00F91003" w:rsidRPr="0025303B" w:rsidRDefault="00F91003" w:rsidP="00CD7AFA">
            <w:pPr>
              <w:jc w:val="center"/>
            </w:pPr>
          </w:p>
          <w:p w14:paraId="474874EA" w14:textId="77777777" w:rsidR="00F91003" w:rsidRPr="0025303B" w:rsidRDefault="00F91003" w:rsidP="00CD7AF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BA0E53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5B97EC47" w:rsidR="00F91003" w:rsidRPr="0025303B" w:rsidRDefault="00F91003">
            <w:pPr>
              <w:jc w:val="right"/>
              <w:rPr>
                <w:rFonts w:eastAsia="Calibri"/>
                <w:sz w:val="24"/>
              </w:rPr>
            </w:pPr>
            <w:r w:rsidRPr="00753FC0">
              <w:rPr>
                <w:rFonts w:eastAsia="Calibri"/>
                <w:sz w:val="24"/>
              </w:rPr>
              <w:t>20</w:t>
            </w:r>
            <w:r w:rsidR="00A919C5">
              <w:rPr>
                <w:rFonts w:eastAsia="Calibri"/>
                <w:sz w:val="24"/>
                <w:lang w:val="ru-RU"/>
              </w:rPr>
              <w:t>000</w:t>
            </w:r>
            <w:r>
              <w:rPr>
                <w:rFonts w:eastAsia="Calibri"/>
                <w:sz w:val="24"/>
                <w:lang w:val="en-US"/>
              </w:rPr>
              <w:t>.</w:t>
            </w:r>
            <w:r w:rsidRPr="00753FC0">
              <w:rPr>
                <w:rFonts w:eastAsia="Calibri"/>
                <w:sz w:val="24"/>
              </w:rPr>
              <w:t>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ADA8505" w14:textId="77777777" w:rsidR="00F91003" w:rsidRPr="0025303B" w:rsidRDefault="00F91003">
            <w:pPr>
              <w:rPr>
                <w:rFonts w:eastAsia="Calibri"/>
                <w:sz w:val="24"/>
              </w:rPr>
            </w:pPr>
            <w:r w:rsidRPr="0025303B">
              <w:rPr>
                <w:rFonts w:eastAsia="Calibri"/>
                <w:sz w:val="24"/>
              </w:rPr>
              <w:t>Забезпечення сталого функціонування підприємства</w:t>
            </w:r>
          </w:p>
        </w:tc>
      </w:tr>
      <w:tr w:rsidR="00F91003" w:rsidRPr="0025303B" w14:paraId="383BDB5B" w14:textId="77777777" w:rsidTr="00E07687">
        <w:tc>
          <w:tcPr>
            <w:tcW w:w="426" w:type="dxa"/>
            <w:shd w:val="clear" w:color="auto" w:fill="auto"/>
          </w:tcPr>
          <w:p w14:paraId="166DD947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0F353B8F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Залучення та супровід інвестиційних коштів</w:t>
            </w:r>
          </w:p>
        </w:tc>
        <w:tc>
          <w:tcPr>
            <w:tcW w:w="3546" w:type="dxa"/>
            <w:shd w:val="clear" w:color="auto" w:fill="auto"/>
          </w:tcPr>
          <w:p w14:paraId="083A8A5C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1. Співфінансування проекту Північної Екологічної Фінансової Корпорації (НЕФКО)</w:t>
            </w:r>
          </w:p>
        </w:tc>
        <w:tc>
          <w:tcPr>
            <w:tcW w:w="1557" w:type="dxa"/>
            <w:shd w:val="clear" w:color="auto" w:fill="auto"/>
          </w:tcPr>
          <w:p w14:paraId="48DAA1BF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F91003" w:rsidRPr="00487A39" w:rsidRDefault="00F91003" w:rsidP="00CD7AFA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5AD8D54E" w14:textId="77777777" w:rsidR="00F91003" w:rsidRPr="0025303B" w:rsidRDefault="00F91003" w:rsidP="00CD7AFA">
            <w:pPr>
              <w:jc w:val="center"/>
            </w:pPr>
          </w:p>
          <w:p w14:paraId="4B7BEDCC" w14:textId="77777777" w:rsidR="00F91003" w:rsidRPr="0025303B" w:rsidRDefault="00F91003" w:rsidP="00CD7AF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C5E8A7E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59234B48" w:rsidR="00F91003" w:rsidRPr="0025303B" w:rsidRDefault="00F91003">
            <w:pPr>
              <w:jc w:val="right"/>
            </w:pPr>
            <w:r w:rsidRPr="00753FC0">
              <w:rPr>
                <w:rFonts w:eastAsia="Calibri"/>
                <w:sz w:val="24"/>
              </w:rPr>
              <w:t>17</w:t>
            </w:r>
            <w:r w:rsidR="00A919C5">
              <w:rPr>
                <w:rFonts w:eastAsia="Calibri"/>
                <w:sz w:val="24"/>
                <w:lang w:val="ru-RU"/>
              </w:rPr>
              <w:t>000</w:t>
            </w:r>
            <w:r>
              <w:rPr>
                <w:rFonts w:eastAsia="Calibri"/>
                <w:sz w:val="24"/>
                <w:lang w:val="en-US"/>
              </w:rPr>
              <w:t>.</w:t>
            </w:r>
            <w:r w:rsidRPr="00753FC0">
              <w:rPr>
                <w:rFonts w:eastAsia="Calibri"/>
                <w:sz w:val="24"/>
              </w:rPr>
              <w:t>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4D9F294" w14:textId="77777777" w:rsidR="00F91003" w:rsidRPr="0025303B" w:rsidRDefault="00F91003">
            <w:r w:rsidRPr="0025303B">
              <w:rPr>
                <w:rFonts w:eastAsia="Calibri"/>
                <w:sz w:val="24"/>
              </w:rPr>
              <w:t>Своєчасне та в повному обсязі виконання зобов’язань перед НЕФКО</w:t>
            </w:r>
          </w:p>
        </w:tc>
      </w:tr>
    </w:tbl>
    <w:p w14:paraId="723D168B" w14:textId="77777777" w:rsidR="00E07687" w:rsidRDefault="00E07687">
      <w:r>
        <w:br w:type="page"/>
      </w:r>
    </w:p>
    <w:tbl>
      <w:tblPr>
        <w:tblW w:w="15139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239"/>
      </w:tblGrid>
      <w:tr w:rsidR="00F91003" w:rsidRPr="0025303B" w14:paraId="76EEEC9F" w14:textId="77777777" w:rsidTr="00E07687">
        <w:tc>
          <w:tcPr>
            <w:tcW w:w="426" w:type="dxa"/>
            <w:shd w:val="clear" w:color="auto" w:fill="auto"/>
          </w:tcPr>
          <w:p w14:paraId="6B5AF662" w14:textId="32012D8C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BAAF155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546" w:type="dxa"/>
            <w:shd w:val="clear" w:color="auto" w:fill="auto"/>
          </w:tcPr>
          <w:p w14:paraId="07F91ABB" w14:textId="77777777" w:rsidR="00F91003" w:rsidRPr="0025303B" w:rsidRDefault="00F91003">
            <w:pPr>
              <w:rPr>
                <w:rFonts w:eastAsia="Calibri"/>
                <w:sz w:val="24"/>
              </w:rPr>
            </w:pPr>
            <w:r w:rsidRPr="00B72831">
              <w:rPr>
                <w:rFonts w:eastAsia="Calibri"/>
                <w:sz w:val="24"/>
                <w:lang w:val="ru-RU"/>
              </w:rPr>
              <w:t>2</w:t>
            </w:r>
            <w:r w:rsidRPr="0025303B">
              <w:rPr>
                <w:rFonts w:eastAsia="Calibri"/>
                <w:sz w:val="24"/>
              </w:rPr>
              <w:t>. Співфінансування проекту Європейського інвестиційного банку (ЄІБ) «Комплексна модернізація систем водопостачання та водовідведення в м. Луцьку»</w:t>
            </w:r>
          </w:p>
          <w:p w14:paraId="7A832B08" w14:textId="77777777" w:rsidR="00F91003" w:rsidRPr="0025303B" w:rsidRDefault="00F91003" w:rsidP="00CD7AFA"/>
        </w:tc>
        <w:tc>
          <w:tcPr>
            <w:tcW w:w="1557" w:type="dxa"/>
            <w:shd w:val="clear" w:color="auto" w:fill="auto"/>
          </w:tcPr>
          <w:p w14:paraId="1516CD77" w14:textId="6BA1773C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F91003" w:rsidRPr="00487A39" w:rsidRDefault="00F91003" w:rsidP="00CD7AFA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57B76B82" w14:textId="77777777" w:rsidR="00F91003" w:rsidRPr="0025303B" w:rsidRDefault="00F91003" w:rsidP="00CD7AFA"/>
        </w:tc>
        <w:tc>
          <w:tcPr>
            <w:tcW w:w="2126" w:type="dxa"/>
            <w:shd w:val="clear" w:color="auto" w:fill="auto"/>
          </w:tcPr>
          <w:p w14:paraId="32A43378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6B0A5104" w:rsidR="00F91003" w:rsidRPr="0025303B" w:rsidRDefault="00F91003">
            <w:pPr>
              <w:jc w:val="right"/>
            </w:pPr>
            <w:r w:rsidRPr="00487A39">
              <w:rPr>
                <w:rFonts w:eastAsia="Calibri"/>
                <w:sz w:val="24"/>
              </w:rPr>
              <w:t>26</w:t>
            </w:r>
            <w:r w:rsidR="00A919C5">
              <w:rPr>
                <w:rFonts w:eastAsia="Calibri"/>
                <w:sz w:val="24"/>
                <w:lang w:val="ru-RU"/>
              </w:rPr>
              <w:t>000</w:t>
            </w:r>
            <w:r>
              <w:rPr>
                <w:rFonts w:eastAsia="Calibri"/>
                <w:sz w:val="24"/>
                <w:lang w:val="en-US"/>
              </w:rPr>
              <w:t>.</w:t>
            </w:r>
            <w:r w:rsidRPr="00487A39">
              <w:rPr>
                <w:rFonts w:eastAsia="Calibri"/>
                <w:sz w:val="24"/>
              </w:rPr>
              <w:t>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EADAC19" w14:textId="77777777" w:rsidR="00F91003" w:rsidRPr="0025303B" w:rsidRDefault="00F91003">
            <w:r w:rsidRPr="0025303B">
              <w:rPr>
                <w:rFonts w:eastAsia="Calibri"/>
                <w:sz w:val="24"/>
              </w:rPr>
              <w:t>Забезпечення здійснення комплексної модернізації систем водопостачання та водовідведення в м.</w:t>
            </w:r>
            <w:r w:rsidR="00CD7AFA">
              <w:rPr>
                <w:rFonts w:eastAsia="Calibri"/>
                <w:sz w:val="24"/>
              </w:rPr>
              <w:t> </w:t>
            </w:r>
            <w:r w:rsidRPr="0025303B">
              <w:rPr>
                <w:rFonts w:eastAsia="Calibri"/>
                <w:sz w:val="24"/>
              </w:rPr>
              <w:t>Луцьку</w:t>
            </w:r>
          </w:p>
          <w:p w14:paraId="37B00650" w14:textId="77777777" w:rsidR="00F91003" w:rsidRPr="0025303B" w:rsidRDefault="00F91003" w:rsidP="00CD7AFA">
            <w:pPr>
              <w:ind w:right="-28"/>
            </w:pPr>
            <w:r w:rsidRPr="0025303B">
              <w:rPr>
                <w:rFonts w:eastAsia="Calibri"/>
                <w:sz w:val="24"/>
              </w:rPr>
              <w:t>(серед планованих заходів реконструкція очисних споруд, придбання нової спецтехніки у кількості 11 шт.,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</w:tr>
    </w:tbl>
    <w:p w14:paraId="38CF1AFE" w14:textId="77777777" w:rsidR="00E07687" w:rsidRDefault="00E07687">
      <w:r>
        <w:br w:type="page"/>
      </w:r>
    </w:p>
    <w:tbl>
      <w:tblPr>
        <w:tblW w:w="15139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239"/>
      </w:tblGrid>
      <w:tr w:rsidR="00F91003" w:rsidRPr="0025303B" w14:paraId="04AC7D99" w14:textId="77777777" w:rsidTr="00E07687">
        <w:tc>
          <w:tcPr>
            <w:tcW w:w="426" w:type="dxa"/>
            <w:shd w:val="clear" w:color="auto" w:fill="auto"/>
          </w:tcPr>
          <w:p w14:paraId="46F88D7E" w14:textId="159CBB6E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lastRenderedPageBreak/>
              <w:t>3.</w:t>
            </w:r>
          </w:p>
          <w:p w14:paraId="4858ECD2" w14:textId="77777777" w:rsidR="00F91003" w:rsidRPr="0025303B" w:rsidRDefault="00F91003">
            <w:pPr>
              <w:pStyle w:val="ac"/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6820A29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Покращення якісних показників стічних вод</w:t>
            </w:r>
          </w:p>
        </w:tc>
        <w:tc>
          <w:tcPr>
            <w:tcW w:w="3546" w:type="dxa"/>
            <w:shd w:val="clear" w:color="auto" w:fill="auto"/>
          </w:tcPr>
          <w:p w14:paraId="15CC8084" w14:textId="77777777" w:rsidR="00F91003" w:rsidRPr="0025303B" w:rsidRDefault="00F91003">
            <w:pPr>
              <w:rPr>
                <w:rFonts w:eastAsia="Calibri"/>
                <w:sz w:val="24"/>
              </w:rPr>
            </w:pPr>
            <w:r w:rsidRPr="0025303B">
              <w:rPr>
                <w:rFonts w:eastAsia="Calibri"/>
                <w:sz w:val="24"/>
              </w:rPr>
              <w:t>1. Будівництво КНС для перекачування промивних вод Дубнівського водозабору</w:t>
            </w:r>
          </w:p>
          <w:p w14:paraId="616B1594" w14:textId="77777777" w:rsidR="00F91003" w:rsidRPr="0025303B" w:rsidRDefault="00F91003"/>
        </w:tc>
        <w:tc>
          <w:tcPr>
            <w:tcW w:w="1557" w:type="dxa"/>
            <w:shd w:val="clear" w:color="auto" w:fill="auto"/>
          </w:tcPr>
          <w:p w14:paraId="6427AF7F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F91003" w:rsidRPr="00487A39" w:rsidRDefault="00F91003">
            <w:pPr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34656B84" w14:textId="77777777" w:rsidR="00F91003" w:rsidRPr="0025303B" w:rsidRDefault="00F91003"/>
        </w:tc>
        <w:tc>
          <w:tcPr>
            <w:tcW w:w="2126" w:type="dxa"/>
            <w:shd w:val="clear" w:color="auto" w:fill="auto"/>
          </w:tcPr>
          <w:p w14:paraId="31DA7148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09AE6436" w:rsidR="00F91003" w:rsidRPr="0025303B" w:rsidRDefault="00F91003">
            <w:pPr>
              <w:jc w:val="right"/>
            </w:pPr>
            <w:r w:rsidRPr="00487A39">
              <w:rPr>
                <w:rFonts w:eastAsia="Calibri"/>
                <w:sz w:val="24"/>
              </w:rPr>
              <w:t>12</w:t>
            </w:r>
            <w:r w:rsidR="00A919C5">
              <w:rPr>
                <w:rFonts w:eastAsia="Calibri"/>
                <w:sz w:val="24"/>
                <w:lang w:val="ru-RU"/>
              </w:rPr>
              <w:t>000</w:t>
            </w:r>
            <w:r>
              <w:rPr>
                <w:rFonts w:eastAsia="Calibri"/>
                <w:sz w:val="24"/>
                <w:lang w:val="en-US"/>
              </w:rPr>
              <w:t>.</w:t>
            </w:r>
            <w:r w:rsidRPr="00487A39">
              <w:rPr>
                <w:rFonts w:eastAsia="Calibri"/>
                <w:sz w:val="24"/>
              </w:rPr>
              <w:t>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EFEEBE5" w14:textId="77777777" w:rsidR="00F91003" w:rsidRPr="0025303B" w:rsidRDefault="00F91003">
            <w:r w:rsidRPr="0025303B">
              <w:rPr>
                <w:sz w:val="24"/>
              </w:rPr>
              <w:t>З</w:t>
            </w:r>
            <w:r w:rsidRPr="0025303B">
              <w:rPr>
                <w:iCs/>
                <w:sz w:val="24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F91003" w:rsidRPr="0025303B" w14:paraId="3A7E2C19" w14:textId="77777777" w:rsidTr="00E07687">
        <w:tc>
          <w:tcPr>
            <w:tcW w:w="11624" w:type="dxa"/>
            <w:gridSpan w:val="6"/>
            <w:shd w:val="clear" w:color="auto" w:fill="auto"/>
          </w:tcPr>
          <w:p w14:paraId="685AFC0B" w14:textId="15B7D706" w:rsidR="00F91003" w:rsidRPr="0025303B" w:rsidRDefault="00591803">
            <w:pPr>
              <w:pStyle w:val="af5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F91003" w:rsidRPr="0025303B">
              <w:rPr>
                <w:sz w:val="24"/>
              </w:rPr>
              <w:t>Всього</w:t>
            </w:r>
            <w:r>
              <w:rPr>
                <w:sz w:val="24"/>
              </w:rPr>
              <w:t>:</w:t>
            </w:r>
          </w:p>
        </w:tc>
        <w:tc>
          <w:tcPr>
            <w:tcW w:w="3515" w:type="dxa"/>
            <w:gridSpan w:val="2"/>
            <w:shd w:val="clear" w:color="auto" w:fill="auto"/>
          </w:tcPr>
          <w:p w14:paraId="05842B4F" w14:textId="77777777" w:rsidR="00F91003" w:rsidRPr="00487A39" w:rsidRDefault="00F91003">
            <w:pPr>
              <w:rPr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9</w:t>
            </w:r>
            <w:r>
              <w:rPr>
                <w:rFonts w:eastAsia="Calibri"/>
                <w:sz w:val="24"/>
                <w:lang w:val="en-US"/>
              </w:rPr>
              <w:t>0</w:t>
            </w:r>
            <w:r w:rsidRPr="0025303B">
              <w:rPr>
                <w:rFonts w:eastAsia="Calibri"/>
                <w:sz w:val="24"/>
              </w:rPr>
              <w:t> </w:t>
            </w:r>
            <w:r>
              <w:rPr>
                <w:rFonts w:eastAsia="Calibri"/>
                <w:sz w:val="24"/>
                <w:lang w:val="en-US"/>
              </w:rPr>
              <w:t>000</w:t>
            </w:r>
            <w:r w:rsidRPr="0025303B">
              <w:rPr>
                <w:rFonts w:eastAsia="Calibri"/>
                <w:sz w:val="24"/>
              </w:rPr>
              <w:t>,0</w:t>
            </w:r>
          </w:p>
        </w:tc>
      </w:tr>
    </w:tbl>
    <w:p w14:paraId="156E8FFB" w14:textId="77777777" w:rsidR="00F91003" w:rsidRDefault="00F91003" w:rsidP="00F91003">
      <w:pPr>
        <w:rPr>
          <w:sz w:val="24"/>
        </w:rPr>
      </w:pPr>
    </w:p>
    <w:p w14:paraId="4D963BF1" w14:textId="77777777" w:rsidR="00CD7AFA" w:rsidRDefault="00CD7AFA" w:rsidP="00F91003">
      <w:pPr>
        <w:rPr>
          <w:sz w:val="24"/>
        </w:rPr>
      </w:pPr>
    </w:p>
    <w:p w14:paraId="17866964" w14:textId="77777777" w:rsidR="00F91003" w:rsidRPr="00850CB0" w:rsidRDefault="00F91003" w:rsidP="00F91003">
      <w:pPr>
        <w:rPr>
          <w:sz w:val="24"/>
        </w:rPr>
      </w:pPr>
      <w:r w:rsidRPr="00850CB0">
        <w:rPr>
          <w:sz w:val="24"/>
          <w:lang w:val="ru-RU"/>
        </w:rPr>
        <w:t>Гуменюк 284 042</w:t>
      </w:r>
    </w:p>
    <w:p w14:paraId="1A85D6D4" w14:textId="77777777" w:rsidR="00F91003" w:rsidRPr="00E6008D" w:rsidRDefault="00F91003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sectPr w:rsidR="00F91003" w:rsidRPr="00E6008D" w:rsidSect="00E07687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FC8D" w14:textId="77777777" w:rsidR="00623D11" w:rsidRDefault="00623D11">
      <w:r>
        <w:separator/>
      </w:r>
    </w:p>
  </w:endnote>
  <w:endnote w:type="continuationSeparator" w:id="0">
    <w:p w14:paraId="5F21C1DA" w14:textId="77777777" w:rsidR="00623D11" w:rsidRDefault="0062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E016" w14:textId="77777777" w:rsidR="00623D11" w:rsidRDefault="00623D11">
      <w:r>
        <w:separator/>
      </w:r>
    </w:p>
  </w:footnote>
  <w:footnote w:type="continuationSeparator" w:id="0">
    <w:p w14:paraId="3DE6E165" w14:textId="77777777" w:rsidR="00623D11" w:rsidRDefault="0062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1E18" w14:textId="77777777" w:rsidR="00FB2D3C" w:rsidRDefault="00FB2D3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5418080" w14:textId="77777777" w:rsidR="00FB2D3C" w:rsidRDefault="00FB2D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20045575">
    <w:abstractNumId w:val="0"/>
  </w:num>
  <w:num w:numId="2" w16cid:durableId="681321742">
    <w:abstractNumId w:val="1"/>
  </w:num>
  <w:num w:numId="3" w16cid:durableId="1796288453">
    <w:abstractNumId w:val="4"/>
  </w:num>
  <w:num w:numId="4" w16cid:durableId="332531133">
    <w:abstractNumId w:val="3"/>
  </w:num>
  <w:num w:numId="5" w16cid:durableId="499471840">
    <w:abstractNumId w:val="6"/>
  </w:num>
  <w:num w:numId="6" w16cid:durableId="136338472">
    <w:abstractNumId w:val="2"/>
  </w:num>
  <w:num w:numId="7" w16cid:durableId="1785071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9165A"/>
    <w:rsid w:val="00094B10"/>
    <w:rsid w:val="00097A67"/>
    <w:rsid w:val="000A0729"/>
    <w:rsid w:val="000A7B6D"/>
    <w:rsid w:val="000B02AF"/>
    <w:rsid w:val="000C26F7"/>
    <w:rsid w:val="000D406D"/>
    <w:rsid w:val="000D4A1B"/>
    <w:rsid w:val="000D58DE"/>
    <w:rsid w:val="0010359D"/>
    <w:rsid w:val="00110F04"/>
    <w:rsid w:val="001169D4"/>
    <w:rsid w:val="00122D98"/>
    <w:rsid w:val="00132673"/>
    <w:rsid w:val="00141CC1"/>
    <w:rsid w:val="00143AEF"/>
    <w:rsid w:val="001461AB"/>
    <w:rsid w:val="001527A2"/>
    <w:rsid w:val="00155B63"/>
    <w:rsid w:val="00155B81"/>
    <w:rsid w:val="00161461"/>
    <w:rsid w:val="00164477"/>
    <w:rsid w:val="00170835"/>
    <w:rsid w:val="0017142E"/>
    <w:rsid w:val="00173D3B"/>
    <w:rsid w:val="001848CA"/>
    <w:rsid w:val="00185077"/>
    <w:rsid w:val="00185841"/>
    <w:rsid w:val="0019384F"/>
    <w:rsid w:val="001962B8"/>
    <w:rsid w:val="001A15BC"/>
    <w:rsid w:val="001A33F8"/>
    <w:rsid w:val="001A58F6"/>
    <w:rsid w:val="001A6BC2"/>
    <w:rsid w:val="001B5764"/>
    <w:rsid w:val="001B588C"/>
    <w:rsid w:val="001B7689"/>
    <w:rsid w:val="001C01AD"/>
    <w:rsid w:val="001C1DD2"/>
    <w:rsid w:val="001D1331"/>
    <w:rsid w:val="001D1511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C88"/>
    <w:rsid w:val="00260140"/>
    <w:rsid w:val="00261403"/>
    <w:rsid w:val="002653A7"/>
    <w:rsid w:val="002676CF"/>
    <w:rsid w:val="002732E9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D19E7"/>
    <w:rsid w:val="002D5BEB"/>
    <w:rsid w:val="002E35A4"/>
    <w:rsid w:val="00304763"/>
    <w:rsid w:val="00313A86"/>
    <w:rsid w:val="0032322A"/>
    <w:rsid w:val="00325787"/>
    <w:rsid w:val="003332D8"/>
    <w:rsid w:val="00343B72"/>
    <w:rsid w:val="003445A6"/>
    <w:rsid w:val="00356EC5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3038"/>
    <w:rsid w:val="003B54E0"/>
    <w:rsid w:val="003C0A48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7A87"/>
    <w:rsid w:val="00447972"/>
    <w:rsid w:val="00451221"/>
    <w:rsid w:val="004575EA"/>
    <w:rsid w:val="004713A8"/>
    <w:rsid w:val="004816FC"/>
    <w:rsid w:val="004906D1"/>
    <w:rsid w:val="0049400C"/>
    <w:rsid w:val="004968EF"/>
    <w:rsid w:val="004A152E"/>
    <w:rsid w:val="004B62AA"/>
    <w:rsid w:val="004C3387"/>
    <w:rsid w:val="004C7412"/>
    <w:rsid w:val="004F2575"/>
    <w:rsid w:val="004F60E0"/>
    <w:rsid w:val="005019F2"/>
    <w:rsid w:val="00510C2B"/>
    <w:rsid w:val="00513C7C"/>
    <w:rsid w:val="00517122"/>
    <w:rsid w:val="00524F09"/>
    <w:rsid w:val="005463B0"/>
    <w:rsid w:val="00564933"/>
    <w:rsid w:val="0058307F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E1D1F"/>
    <w:rsid w:val="005E7075"/>
    <w:rsid w:val="005E70FA"/>
    <w:rsid w:val="00601AF3"/>
    <w:rsid w:val="00603B19"/>
    <w:rsid w:val="00605E63"/>
    <w:rsid w:val="00621678"/>
    <w:rsid w:val="00623D1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2887"/>
    <w:rsid w:val="006E52CF"/>
    <w:rsid w:val="006F45B1"/>
    <w:rsid w:val="00701CDB"/>
    <w:rsid w:val="00705C6C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B7279"/>
    <w:rsid w:val="007C123D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405F8"/>
    <w:rsid w:val="00A467BF"/>
    <w:rsid w:val="00A47DC7"/>
    <w:rsid w:val="00A5434E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919C5"/>
    <w:rsid w:val="00AA1349"/>
    <w:rsid w:val="00AA2562"/>
    <w:rsid w:val="00AB065B"/>
    <w:rsid w:val="00AB3B43"/>
    <w:rsid w:val="00AB58CF"/>
    <w:rsid w:val="00AB6AEB"/>
    <w:rsid w:val="00AC4C55"/>
    <w:rsid w:val="00AC5EB6"/>
    <w:rsid w:val="00AD019C"/>
    <w:rsid w:val="00AD2AD4"/>
    <w:rsid w:val="00AD457E"/>
    <w:rsid w:val="00AE0170"/>
    <w:rsid w:val="00AE0F56"/>
    <w:rsid w:val="00AE2DCD"/>
    <w:rsid w:val="00B01B75"/>
    <w:rsid w:val="00B04DBE"/>
    <w:rsid w:val="00B06FF6"/>
    <w:rsid w:val="00B3537A"/>
    <w:rsid w:val="00B44D6F"/>
    <w:rsid w:val="00B50C40"/>
    <w:rsid w:val="00B51290"/>
    <w:rsid w:val="00B54067"/>
    <w:rsid w:val="00B573B1"/>
    <w:rsid w:val="00B64663"/>
    <w:rsid w:val="00B72831"/>
    <w:rsid w:val="00B729BC"/>
    <w:rsid w:val="00B83FC2"/>
    <w:rsid w:val="00B85C9B"/>
    <w:rsid w:val="00B93FAE"/>
    <w:rsid w:val="00B95356"/>
    <w:rsid w:val="00BA5EC2"/>
    <w:rsid w:val="00BA6B67"/>
    <w:rsid w:val="00BB6BEE"/>
    <w:rsid w:val="00BC2CDC"/>
    <w:rsid w:val="00BE5E1F"/>
    <w:rsid w:val="00BE66ED"/>
    <w:rsid w:val="00BF2954"/>
    <w:rsid w:val="00BF2A80"/>
    <w:rsid w:val="00BF4830"/>
    <w:rsid w:val="00C03894"/>
    <w:rsid w:val="00C06705"/>
    <w:rsid w:val="00C1051A"/>
    <w:rsid w:val="00C11B14"/>
    <w:rsid w:val="00C223CD"/>
    <w:rsid w:val="00C277E0"/>
    <w:rsid w:val="00C34D99"/>
    <w:rsid w:val="00C43001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623"/>
    <w:rsid w:val="00CC7FDD"/>
    <w:rsid w:val="00CD36AE"/>
    <w:rsid w:val="00CD4A52"/>
    <w:rsid w:val="00CD7AFA"/>
    <w:rsid w:val="00CE23A3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07687"/>
    <w:rsid w:val="00E24708"/>
    <w:rsid w:val="00E50B33"/>
    <w:rsid w:val="00E55A0A"/>
    <w:rsid w:val="00E6008D"/>
    <w:rsid w:val="00E60867"/>
    <w:rsid w:val="00E73304"/>
    <w:rsid w:val="00E821E9"/>
    <w:rsid w:val="00E85383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7503"/>
    <w:rsid w:val="00FC3798"/>
    <w:rsid w:val="00FC6DEE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у виносці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і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621D1-F25E-4327-BA14-18FD554B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6069</Words>
  <Characters>3460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Луцьк Водоканал</cp:lastModifiedBy>
  <cp:revision>2</cp:revision>
  <cp:lastPrinted>2020-06-23T10:21:00Z</cp:lastPrinted>
  <dcterms:created xsi:type="dcterms:W3CDTF">2022-11-14T12:37:00Z</dcterms:created>
  <dcterms:modified xsi:type="dcterms:W3CDTF">2022-11-14T12:37:00Z</dcterms:modified>
</cp:coreProperties>
</file>