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28"/>
          <w:szCs w:val="28"/>
        </w:rPr>
      </w:pPr>
      <w:r>
        <w:rPr>
          <w:b/>
          <w:bCs/>
          <w:sz w:val="28"/>
          <w:szCs w:val="28"/>
        </w:rPr>
        <w:t xml:space="preserve">Звіт </w:t>
      </w:r>
    </w:p>
    <w:p>
      <w:pPr>
        <w:pStyle w:val="Normal"/>
        <w:ind w:firstLine="567"/>
        <w:jc w:val="center"/>
        <w:rPr>
          <w:b/>
          <w:b/>
          <w:bCs/>
          <w:sz w:val="28"/>
          <w:szCs w:val="28"/>
        </w:rPr>
      </w:pPr>
      <w:r>
        <w:rPr>
          <w:b/>
          <w:bCs/>
          <w:sz w:val="28"/>
          <w:szCs w:val="28"/>
        </w:rPr>
        <w:t>про роботу КП «Луцьке електротехнічне підприємство – Луцьксвітло» за 9 місяців 2022 року</w:t>
      </w:r>
    </w:p>
    <w:p>
      <w:pPr>
        <w:pStyle w:val="PlainText"/>
        <w:ind w:firstLine="567"/>
        <w:jc w:val="center"/>
        <w:rPr>
          <w:rFonts w:ascii="Times New Roman" w:hAnsi="Times New Roman"/>
          <w:sz w:val="28"/>
          <w:szCs w:val="28"/>
        </w:rPr>
      </w:pPr>
      <w:r>
        <w:rPr>
          <w:rFonts w:ascii="Times New Roman" w:hAnsi="Times New Roman"/>
          <w:sz w:val="28"/>
          <w:szCs w:val="28"/>
        </w:rPr>
      </w:r>
    </w:p>
    <w:p>
      <w:pPr>
        <w:pStyle w:val="Normal"/>
        <w:ind w:firstLine="567"/>
        <w:jc w:val="both"/>
        <w:rPr>
          <w:sz w:val="28"/>
          <w:szCs w:val="28"/>
        </w:rPr>
      </w:pPr>
      <w:r>
        <w:rPr>
          <w:sz w:val="28"/>
          <w:szCs w:val="28"/>
        </w:rPr>
        <w:t>Комунальне підприємство «Луцьке електротехнічне підприємство – Луцьксвітло» діє на підставі статуту, затвердженого рішенням Луцької міської ради від 22 грудня 2021 року № 24/93.</w:t>
      </w:r>
    </w:p>
    <w:p>
      <w:pPr>
        <w:pStyle w:val="Normal"/>
        <w:ind w:firstLine="567"/>
        <w:jc w:val="both"/>
        <w:rPr>
          <w:sz w:val="28"/>
          <w:szCs w:val="28"/>
        </w:rPr>
      </w:pPr>
      <w:r>
        <w:rPr>
          <w:sz w:val="28"/>
          <w:szCs w:val="28"/>
        </w:rPr>
        <w:t>Засновником (власником) підприємства є Луцька міська територіальна громада в особі Луцької міської ради. Органом, до сфери управління якого належить Підприємство є департамент економічної політики Луцької міської ради.</w:t>
      </w:r>
    </w:p>
    <w:p>
      <w:pPr>
        <w:pStyle w:val="Normal"/>
        <w:ind w:firstLine="567"/>
        <w:jc w:val="both"/>
        <w:rPr>
          <w:sz w:val="28"/>
          <w:szCs w:val="28"/>
        </w:rPr>
      </w:pPr>
      <w:r>
        <w:rPr>
          <w:sz w:val="28"/>
          <w:szCs w:val="28"/>
        </w:rPr>
        <w:t>Метою діяльності підприємства є забезпечення належного утримання, експлуатації, ремонту та створення електромереж зовнішнього освітлення, технічних засобів регулювання дорожнього руху, розподілення і постачання електроенергії, перетворення електричної енергії в світлову, а також видалення сухостійних та аварійних насаджень, зокрема в охоронних зонах повітряних ліній і трансформаторних підстанцій.</w:t>
      </w:r>
    </w:p>
    <w:p>
      <w:pPr>
        <w:pStyle w:val="Normal"/>
        <w:ind w:firstLine="567"/>
        <w:jc w:val="both"/>
        <w:rPr>
          <w:sz w:val="28"/>
          <w:szCs w:val="28"/>
        </w:rPr>
      </w:pPr>
      <w:r>
        <w:rPr>
          <w:sz w:val="28"/>
          <w:szCs w:val="28"/>
        </w:rPr>
        <w:t>Основні види діяльності, що здійснює підприємство: розподілення електроенергії, електромонтажні роботи, ремонт і технічне обслуговування електричного устаткування, будівництво споруд електропостачання та телекомунікацій.</w:t>
      </w:r>
    </w:p>
    <w:p>
      <w:pPr>
        <w:pStyle w:val="Normal"/>
        <w:ind w:firstLine="567"/>
        <w:jc w:val="both"/>
        <w:rPr>
          <w:sz w:val="28"/>
          <w:szCs w:val="28"/>
        </w:rPr>
      </w:pPr>
      <w:r>
        <w:rPr>
          <w:sz w:val="28"/>
          <w:szCs w:val="28"/>
        </w:rPr>
        <w:t>Пріоритетним напрямком роботи є утримання вуличного освітлення міста Луцька, яке, як об’єкт благоустрою, включає в себе зовнішні електромережі, обладнання диспетчерського зв’язку, автоматику і телемеханіку, світильники всіх типів, прожекторні установки, виконавчі пункти (ВП) та пункти повторного включення (ПВ), опори всіх типів, кабельні електромережі, освітлювальну арматуру.</w:t>
      </w:r>
    </w:p>
    <w:p>
      <w:pPr>
        <w:pStyle w:val="Normal"/>
        <w:ind w:firstLine="567"/>
        <w:jc w:val="both"/>
        <w:rPr>
          <w:sz w:val="28"/>
          <w:szCs w:val="28"/>
        </w:rPr>
      </w:pPr>
      <w:r>
        <w:rPr>
          <w:sz w:val="28"/>
          <w:szCs w:val="28"/>
        </w:rPr>
        <w:t>На балансі підприємства знаходяться 16 866 світлоточок: в місті Луцьку – 11 828 одиниць, в населених пунктах Луцької міської територіальної громади – 5 038 одиниць.</w:t>
      </w:r>
    </w:p>
    <w:p>
      <w:pPr>
        <w:pStyle w:val="Normal"/>
        <w:ind w:firstLine="567"/>
        <w:jc w:val="both"/>
        <w:rPr>
          <w:sz w:val="28"/>
          <w:szCs w:val="28"/>
        </w:rPr>
      </w:pPr>
      <w:r>
        <w:rPr>
          <w:sz w:val="28"/>
          <w:szCs w:val="28"/>
        </w:rPr>
        <w:t>Протяжність освітлювальної вулично-дорожньої мережі становить 572,3 км: 396 км в місті Луцьку та 176,3 км в населених пунктах міської територіальної громади.</w:t>
      </w:r>
    </w:p>
    <w:p>
      <w:pPr>
        <w:pStyle w:val="Normal"/>
        <w:ind w:firstLine="567"/>
        <w:jc w:val="both"/>
        <w:rPr>
          <w:sz w:val="28"/>
          <w:szCs w:val="28"/>
        </w:rPr>
      </w:pPr>
      <w:r>
        <w:rPr>
          <w:sz w:val="28"/>
          <w:szCs w:val="28"/>
        </w:rPr>
        <w:t>Включення проводиться згідно з затвердженим графіком. Середньорічна кількість годин освітлення міста – 2750 год.</w:t>
      </w:r>
    </w:p>
    <w:p>
      <w:pPr>
        <w:pStyle w:val="Normal"/>
        <w:ind w:firstLine="567"/>
        <w:jc w:val="both"/>
        <w:rPr>
          <w:sz w:val="28"/>
          <w:szCs w:val="28"/>
        </w:rPr>
      </w:pPr>
      <w:r>
        <w:rPr>
          <w:sz w:val="28"/>
          <w:szCs w:val="28"/>
        </w:rPr>
        <w:t xml:space="preserve">За 9 місяців 2022 року встановлено та замінено 1 261 світильник та підвішено 2,55 км самоутримного ізольованого проводу (СІП). </w:t>
      </w:r>
    </w:p>
    <w:p>
      <w:pPr>
        <w:pStyle w:val="Normal"/>
        <w:ind w:firstLine="567"/>
        <w:jc w:val="both"/>
        <w:rPr>
          <w:sz w:val="28"/>
          <w:szCs w:val="28"/>
        </w:rPr>
      </w:pPr>
      <w:r>
        <w:rPr>
          <w:sz w:val="28"/>
          <w:szCs w:val="28"/>
        </w:rPr>
        <w:t>Другим важливим напрямком роботи КП «Луцьксвітло» є світлофори, які передані на баланс підприємству у 2007 році в кількості 35 шт. Кількість світлофорів, що обслуговуються КП «Луцьксвітло», складає 51 одиницю: 50 одиниць в м. Луцьку та один на території Луцької міської територіальної громади.</w:t>
      </w:r>
    </w:p>
    <w:p>
      <w:pPr>
        <w:pStyle w:val="Normal"/>
        <w:ind w:firstLine="567"/>
        <w:jc w:val="both"/>
        <w:rPr>
          <w:sz w:val="28"/>
          <w:szCs w:val="28"/>
        </w:rPr>
      </w:pPr>
      <w:r>
        <w:rPr>
          <w:sz w:val="28"/>
          <w:szCs w:val="28"/>
        </w:rPr>
        <w:t>КП «Луцьке електротехнічне підприємство – Луцьксвітло» здійснює заходи відповідно до Програми утримання та ремонту мереж зовнішнього освітлення та світлофорних об’єктів Луцької міської територіальної громади на 2021–2023 роки, затвердженої рішенням міської ради від 27.01.2021 № 5/10.</w:t>
      </w:r>
    </w:p>
    <w:p>
      <w:pPr>
        <w:pStyle w:val="Normal"/>
        <w:ind w:firstLine="567"/>
        <w:jc w:val="both"/>
        <w:rPr>
          <w:sz w:val="28"/>
          <w:szCs w:val="28"/>
        </w:rPr>
      </w:pPr>
      <w:r>
        <w:rPr>
          <w:sz w:val="28"/>
          <w:szCs w:val="28"/>
        </w:rPr>
        <w:t xml:space="preserve">Роботи з утримання вуличного освітлення та світлофорних об’єктів спрямовані на забезпечення та збереження їх технічного та естетичного стану, </w:t>
      </w:r>
    </w:p>
    <w:p>
      <w:pPr>
        <w:pStyle w:val="Normal"/>
        <w:ind w:firstLine="567"/>
        <w:jc w:val="both"/>
        <w:rPr>
          <w:sz w:val="28"/>
          <w:szCs w:val="28"/>
        </w:rPr>
      </w:pPr>
      <w:r>
        <w:rPr>
          <w:sz w:val="28"/>
          <w:szCs w:val="28"/>
        </w:rPr>
        <w:t>підвищення експлуатаційних якостей та продовження термінів їх служби, що включають:</w:t>
      </w:r>
    </w:p>
    <w:p>
      <w:pPr>
        <w:pStyle w:val="Normal"/>
        <w:ind w:firstLine="567"/>
        <w:jc w:val="both"/>
        <w:rPr>
          <w:sz w:val="28"/>
          <w:szCs w:val="28"/>
        </w:rPr>
      </w:pPr>
      <w:r>
        <w:rPr>
          <w:sz w:val="28"/>
          <w:szCs w:val="28"/>
        </w:rPr>
        <w:t>періодичні та позачергові огляди за справністю електромереж, устаткування та споруд;</w:t>
      </w:r>
    </w:p>
    <w:p>
      <w:pPr>
        <w:pStyle w:val="Normal"/>
        <w:ind w:firstLine="567"/>
        <w:jc w:val="both"/>
        <w:rPr>
          <w:sz w:val="28"/>
          <w:szCs w:val="28"/>
        </w:rPr>
      </w:pPr>
      <w:r>
        <w:rPr>
          <w:sz w:val="28"/>
          <w:szCs w:val="28"/>
        </w:rPr>
        <w:t>заміна електроламп, ремонт світильників (за 9 місяців 2022 року було замінено 777 ламп);</w:t>
      </w:r>
    </w:p>
    <w:p>
      <w:pPr>
        <w:pStyle w:val="Normal"/>
        <w:ind w:firstLine="567"/>
        <w:jc w:val="both"/>
        <w:rPr>
          <w:sz w:val="28"/>
          <w:szCs w:val="28"/>
        </w:rPr>
      </w:pPr>
      <w:r>
        <w:rPr>
          <w:sz w:val="28"/>
          <w:szCs w:val="28"/>
        </w:rPr>
        <w:t>ліквідація пошкоджень електромереж, освітлювальної арматури та устаткування, пошкодженого внаслідок аварій;</w:t>
      </w:r>
    </w:p>
    <w:p>
      <w:pPr>
        <w:pStyle w:val="Normal"/>
        <w:ind w:firstLine="567"/>
        <w:jc w:val="both"/>
        <w:rPr>
          <w:sz w:val="28"/>
          <w:szCs w:val="28"/>
        </w:rPr>
      </w:pPr>
      <w:r>
        <w:rPr>
          <w:sz w:val="28"/>
          <w:szCs w:val="28"/>
        </w:rPr>
        <w:t xml:space="preserve">виправлення окремих опор, підвісок, кронштейнів, фарбування арматури та дорожнього огородження тощо; </w:t>
      </w:r>
    </w:p>
    <w:p>
      <w:pPr>
        <w:pStyle w:val="Normal"/>
        <w:ind w:firstLine="567"/>
        <w:jc w:val="both"/>
        <w:rPr>
          <w:sz w:val="28"/>
          <w:szCs w:val="28"/>
        </w:rPr>
      </w:pPr>
      <w:r>
        <w:rPr>
          <w:sz w:val="28"/>
          <w:szCs w:val="28"/>
        </w:rPr>
        <w:t>поточний ремонт об’єктів зовнішнього освітлення – монтажні роботи, спрямовані на запобігання дрібним деформаціям і пошкодженням та негайна їх ліквідація.</w:t>
      </w:r>
    </w:p>
    <w:p>
      <w:pPr>
        <w:pStyle w:val="Normal"/>
        <w:ind w:firstLine="567"/>
        <w:jc w:val="both"/>
        <w:rPr>
          <w:sz w:val="28"/>
          <w:szCs w:val="28"/>
        </w:rPr>
      </w:pPr>
      <w:r>
        <w:rPr>
          <w:sz w:val="28"/>
          <w:szCs w:val="28"/>
        </w:rPr>
        <w:t xml:space="preserve">Крім того, виконані такі роботи та надані послуги: </w:t>
      </w:r>
    </w:p>
    <w:p>
      <w:pPr>
        <w:pStyle w:val="Normal"/>
        <w:ind w:firstLine="567"/>
        <w:jc w:val="both"/>
        <w:rPr>
          <w:sz w:val="28"/>
          <w:szCs w:val="28"/>
        </w:rPr>
      </w:pPr>
      <w:r>
        <w:rPr>
          <w:sz w:val="28"/>
          <w:szCs w:val="28"/>
        </w:rPr>
        <w:t>встановлення та демонтаж 10 дорожніх знаків;</w:t>
      </w:r>
    </w:p>
    <w:p>
      <w:pPr>
        <w:pStyle w:val="Normal"/>
        <w:ind w:firstLine="567"/>
        <w:jc w:val="both"/>
        <w:rPr>
          <w:sz w:val="28"/>
          <w:szCs w:val="28"/>
        </w:rPr>
      </w:pPr>
      <w:r>
        <w:rPr>
          <w:sz w:val="28"/>
          <w:szCs w:val="28"/>
        </w:rPr>
        <w:t>реконструкція мережі зовнішнього освітлення на вул. Молодіжній (від вул. Глушець до будинку № 33а на вул. Братковського) в м. Луцьку (підвішено 140 м проводу, змонтовано 5 шт. світильників);</w:t>
      </w:r>
    </w:p>
    <w:p>
      <w:pPr>
        <w:pStyle w:val="Normal"/>
        <w:ind w:firstLine="567"/>
        <w:jc w:val="both"/>
        <w:rPr>
          <w:sz w:val="28"/>
          <w:szCs w:val="28"/>
        </w:rPr>
      </w:pPr>
      <w:r>
        <w:rPr>
          <w:sz w:val="28"/>
          <w:szCs w:val="28"/>
        </w:rPr>
        <w:t>встановлення опори на вул. Глушець (біля Центрального ринку) в м. Луцьку (встановлено 1 опору, підвішено 50 м проводу);</w:t>
      </w:r>
    </w:p>
    <w:p>
      <w:pPr>
        <w:pStyle w:val="Normal"/>
        <w:ind w:firstLine="567"/>
        <w:jc w:val="both"/>
        <w:rPr>
          <w:sz w:val="28"/>
          <w:szCs w:val="28"/>
        </w:rPr>
      </w:pPr>
      <w:r>
        <w:rPr>
          <w:sz w:val="28"/>
          <w:szCs w:val="28"/>
        </w:rPr>
        <w:t>реконструкція мереж зовнішнього освітлення на вул. Потебні, 79а в м. Луцьку;</w:t>
      </w:r>
    </w:p>
    <w:p>
      <w:pPr>
        <w:pStyle w:val="Normal"/>
        <w:ind w:firstLine="567"/>
        <w:jc w:val="both"/>
        <w:rPr>
          <w:sz w:val="28"/>
          <w:szCs w:val="28"/>
        </w:rPr>
      </w:pPr>
      <w:r>
        <w:rPr>
          <w:sz w:val="28"/>
          <w:szCs w:val="28"/>
        </w:rPr>
        <w:t>монтаж щита освітлення без приладів обліку ЖК «Зелений масив» на вул. Рівненській, 113 у місті Луцьку;</w:t>
      </w:r>
    </w:p>
    <w:p>
      <w:pPr>
        <w:pStyle w:val="Normal"/>
        <w:ind w:firstLine="567"/>
        <w:jc w:val="both"/>
        <w:rPr>
          <w:sz w:val="28"/>
          <w:szCs w:val="28"/>
        </w:rPr>
      </w:pPr>
      <w:r>
        <w:rPr>
          <w:sz w:val="28"/>
          <w:szCs w:val="28"/>
        </w:rPr>
        <w:t>монтаж залізобетонної опори на вул. Львівська у місті Луцьку;</w:t>
      </w:r>
    </w:p>
    <w:p>
      <w:pPr>
        <w:pStyle w:val="Normal"/>
        <w:ind w:firstLine="567"/>
        <w:jc w:val="both"/>
        <w:rPr>
          <w:sz w:val="28"/>
          <w:szCs w:val="28"/>
        </w:rPr>
      </w:pPr>
      <w:r>
        <w:rPr>
          <w:sz w:val="28"/>
          <w:szCs w:val="28"/>
        </w:rPr>
        <w:t>демонтаж залізобетонної опори на вул. Яровиця у місті Луцьку;</w:t>
      </w:r>
    </w:p>
    <w:p>
      <w:pPr>
        <w:pStyle w:val="Normal"/>
        <w:ind w:firstLine="567"/>
        <w:jc w:val="both"/>
        <w:rPr>
          <w:sz w:val="28"/>
          <w:szCs w:val="28"/>
        </w:rPr>
      </w:pPr>
      <w:r>
        <w:rPr>
          <w:sz w:val="28"/>
          <w:szCs w:val="28"/>
        </w:rPr>
        <w:t>підключення атракціонів до мереж зовнішнього освітлення на                       пр-ті Соборності (біля Палацу урочистих подій) у місті Луцьку;</w:t>
      </w:r>
    </w:p>
    <w:p>
      <w:pPr>
        <w:pStyle w:val="Normal"/>
        <w:ind w:firstLine="567"/>
        <w:jc w:val="both"/>
        <w:rPr>
          <w:sz w:val="28"/>
          <w:szCs w:val="28"/>
        </w:rPr>
      </w:pPr>
      <w:r>
        <w:rPr>
          <w:sz w:val="28"/>
          <w:szCs w:val="28"/>
        </w:rPr>
        <w:t>реконструкція ПЛ-10 кВ та будівництво КЛ-10 кВ для приєднання електроустановок житлового будинку на вул. Крушельницької Соломії, 12 в с. Липини Луцького району згідно з умовами договору нестандартного приєднання (прокладено 260 м кабелю, змонтовано 4 муфти, роз’єднувач);</w:t>
      </w:r>
    </w:p>
    <w:p>
      <w:pPr>
        <w:pStyle w:val="Normal"/>
        <w:ind w:firstLine="567"/>
        <w:jc w:val="both"/>
        <w:rPr>
          <w:sz w:val="28"/>
          <w:szCs w:val="28"/>
        </w:rPr>
      </w:pPr>
      <w:r>
        <w:rPr>
          <w:sz w:val="28"/>
          <w:szCs w:val="28"/>
        </w:rPr>
        <w:t>підключення до електромережі дегідраторної установки на території очисних споруд КП «Луцькводоканал» за адресою м. Луцьк, вул. Селищна, 90 (встановлено 3 опори);</w:t>
      </w:r>
    </w:p>
    <w:p>
      <w:pPr>
        <w:pStyle w:val="Normal"/>
        <w:ind w:firstLine="567"/>
        <w:jc w:val="both"/>
        <w:rPr>
          <w:sz w:val="28"/>
          <w:szCs w:val="28"/>
        </w:rPr>
      </w:pPr>
      <w:r>
        <w:rPr>
          <w:sz w:val="28"/>
          <w:szCs w:val="28"/>
        </w:rPr>
        <w:t>підключення атракціонів до мереж зовнішнього освітлення вул. Конякіна (сквер поблизу Луцького міськрайонного суду) м. Луцьк. Замовник – ФОП Чернобельський Ю.Р.;</w:t>
      </w:r>
    </w:p>
    <w:p>
      <w:pPr>
        <w:pStyle w:val="Normal"/>
        <w:ind w:firstLine="567"/>
        <w:jc w:val="both"/>
        <w:rPr>
          <w:sz w:val="28"/>
          <w:szCs w:val="28"/>
        </w:rPr>
      </w:pPr>
      <w:r>
        <w:rPr>
          <w:sz w:val="28"/>
          <w:szCs w:val="28"/>
        </w:rPr>
        <w:t>встановлення та обслуговування 25 дорожніх знаків;</w:t>
      </w:r>
    </w:p>
    <w:p>
      <w:pPr>
        <w:pStyle w:val="Normal"/>
        <w:ind w:firstLine="567"/>
        <w:jc w:val="both"/>
        <w:rPr>
          <w:sz w:val="28"/>
          <w:szCs w:val="28"/>
        </w:rPr>
      </w:pPr>
      <w:r>
        <w:rPr>
          <w:sz w:val="28"/>
          <w:szCs w:val="28"/>
        </w:rPr>
        <w:t>реконструкція мереж зовнішнього освітлення на Київському майдан, 1, 3, 5 у місті Луцьку (встановлено 2 опори, підвішено 125 м проводу, змонтовано 6 світильників).</w:t>
      </w:r>
    </w:p>
    <w:p>
      <w:pPr>
        <w:pStyle w:val="Normal"/>
        <w:ind w:firstLine="567"/>
        <w:jc w:val="both"/>
        <w:rPr>
          <w:sz w:val="28"/>
          <w:szCs w:val="28"/>
        </w:rPr>
      </w:pPr>
      <w:r>
        <w:rPr/>
      </w:r>
    </w:p>
    <w:p>
      <w:pPr>
        <w:pStyle w:val="Normal"/>
        <w:jc w:val="center"/>
        <w:rPr>
          <w:sz w:val="28"/>
          <w:szCs w:val="28"/>
        </w:rPr>
      </w:pPr>
      <w:r>
        <w:rPr>
          <w:sz w:val="28"/>
          <w:szCs w:val="28"/>
        </w:rPr>
        <w:t>Структура доходів підприємства за 9 місяців 2022 року:</w:t>
      </w:r>
    </w:p>
    <w:p>
      <w:pPr>
        <w:pStyle w:val="Normal"/>
        <w:jc w:val="center"/>
        <w:rPr>
          <w:sz w:val="28"/>
          <w:szCs w:val="28"/>
        </w:rPr>
      </w:pPr>
      <w:r>
        <w:rPr/>
      </w:r>
    </w:p>
    <w:p>
      <w:pPr>
        <w:pStyle w:val="Normal"/>
        <w:ind w:right="170" w:hanging="0"/>
        <w:jc w:val="right"/>
        <w:rPr/>
      </w:pPr>
      <w:r>
        <w:rPr/>
        <w:t xml:space="preserve">      </w:t>
      </w:r>
      <w:r>
        <w:rPr/>
        <w:t>з ПДВ, тис. грн</w:t>
      </w:r>
    </w:p>
    <w:tbl>
      <w:tblPr>
        <w:tblW w:w="9437"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41"/>
        <w:gridCol w:w="3520"/>
        <w:gridCol w:w="1891"/>
        <w:gridCol w:w="1761"/>
        <w:gridCol w:w="1624"/>
      </w:tblGrid>
      <w:tr>
        <w:trPr>
          <w:trHeight w:val="421"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bCs/>
                <w:sz w:val="26"/>
                <w:szCs w:val="26"/>
              </w:rPr>
            </w:pPr>
            <w:r>
              <w:rPr>
                <w:b/>
                <w:bCs/>
                <w:sz w:val="26"/>
                <w:szCs w:val="26"/>
              </w:rPr>
              <w:t xml:space="preserve">№ </w:t>
            </w:r>
            <w:r>
              <w:rPr>
                <w:b/>
                <w:bCs/>
                <w:sz w:val="26"/>
                <w:szCs w:val="26"/>
              </w:rPr>
              <w:t>з/п</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bCs/>
                <w:sz w:val="26"/>
                <w:szCs w:val="26"/>
              </w:rPr>
            </w:pPr>
            <w:r>
              <w:rPr>
                <w:b/>
                <w:bCs/>
                <w:sz w:val="26"/>
                <w:szCs w:val="26"/>
              </w:rPr>
              <w:t>Назва показника</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bCs/>
                <w:sz w:val="26"/>
                <w:szCs w:val="26"/>
              </w:rPr>
            </w:pPr>
            <w:r>
              <w:rPr>
                <w:b/>
                <w:bCs/>
                <w:sz w:val="26"/>
                <w:szCs w:val="26"/>
              </w:rPr>
              <w:t>9 місяців 2022 року</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bCs/>
                <w:sz w:val="26"/>
                <w:szCs w:val="26"/>
              </w:rPr>
            </w:pPr>
            <w:r>
              <w:rPr>
                <w:b/>
                <w:bCs/>
                <w:sz w:val="26"/>
                <w:szCs w:val="26"/>
              </w:rPr>
              <w:t>9 місяців</w:t>
            </w:r>
          </w:p>
          <w:p>
            <w:pPr>
              <w:pStyle w:val="Normal"/>
              <w:widowControl w:val="false"/>
              <w:jc w:val="center"/>
              <w:rPr>
                <w:b/>
                <w:b/>
                <w:bCs/>
                <w:sz w:val="26"/>
                <w:szCs w:val="26"/>
              </w:rPr>
            </w:pPr>
            <w:r>
              <w:rPr>
                <w:b/>
                <w:bCs/>
                <w:sz w:val="26"/>
                <w:szCs w:val="26"/>
              </w:rPr>
              <w:t>2021 року</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bCs/>
                <w:sz w:val="26"/>
                <w:szCs w:val="26"/>
              </w:rPr>
            </w:pPr>
            <w:r>
              <w:rPr>
                <w:b/>
                <w:bCs/>
                <w:sz w:val="26"/>
                <w:szCs w:val="26"/>
              </w:rPr>
              <w:t>Відхилення</w:t>
            </w:r>
          </w:p>
          <w:p>
            <w:pPr>
              <w:pStyle w:val="Normal"/>
              <w:widowControl w:val="false"/>
              <w:jc w:val="center"/>
              <w:rPr>
                <w:b/>
                <w:b/>
                <w:bCs/>
                <w:sz w:val="26"/>
                <w:szCs w:val="26"/>
              </w:rPr>
            </w:pPr>
            <w:r>
              <w:rPr>
                <w:b/>
                <w:bCs/>
                <w:sz w:val="26"/>
                <w:szCs w:val="26"/>
              </w:rPr>
              <w:t>+,-</w:t>
            </w:r>
          </w:p>
        </w:tc>
      </w:tr>
      <w:tr>
        <w:trPr>
          <w:trHeight w:val="421" w:hRule="atLeast"/>
        </w:trPr>
        <w:tc>
          <w:tcPr>
            <w:tcW w:w="641" w:type="dxa"/>
            <w:tcBorders>
              <w:left w:val="single" w:sz="4" w:space="0" w:color="000000"/>
              <w:bottom w:val="single" w:sz="4" w:space="0" w:color="000000"/>
              <w:right w:val="single" w:sz="4" w:space="0" w:color="000000"/>
            </w:tcBorders>
            <w:vAlign w:val="center"/>
          </w:tcPr>
          <w:p>
            <w:pPr>
              <w:pStyle w:val="Normal"/>
              <w:widowControl w:val="false"/>
              <w:jc w:val="center"/>
              <w:rPr>
                <w:bCs/>
                <w:sz w:val="26"/>
                <w:szCs w:val="26"/>
              </w:rPr>
            </w:pPr>
            <w:r>
              <w:rPr>
                <w:bCs/>
                <w:sz w:val="26"/>
                <w:szCs w:val="26"/>
              </w:rPr>
              <w:t>1</w:t>
            </w:r>
          </w:p>
        </w:tc>
        <w:tc>
          <w:tcPr>
            <w:tcW w:w="3520" w:type="dxa"/>
            <w:tcBorders>
              <w:left w:val="single" w:sz="4" w:space="0" w:color="000000"/>
              <w:bottom w:val="single" w:sz="4" w:space="0" w:color="000000"/>
              <w:right w:val="single" w:sz="4" w:space="0" w:color="000000"/>
            </w:tcBorders>
            <w:vAlign w:val="center"/>
          </w:tcPr>
          <w:p>
            <w:pPr>
              <w:pStyle w:val="Normal"/>
              <w:widowControl w:val="false"/>
              <w:rPr>
                <w:bCs/>
                <w:sz w:val="26"/>
                <w:szCs w:val="26"/>
              </w:rPr>
            </w:pPr>
            <w:r>
              <w:rPr>
                <w:bCs/>
                <w:sz w:val="26"/>
                <w:szCs w:val="26"/>
              </w:rPr>
              <w:t xml:space="preserve">Дохід (виручка) від реалізації, </w:t>
            </w:r>
            <w:r>
              <w:rPr>
                <w:bCs/>
                <w:sz w:val="26"/>
                <w:szCs w:val="26"/>
              </w:rPr>
              <w:t>в т.ч.:</w:t>
            </w:r>
          </w:p>
        </w:tc>
        <w:tc>
          <w:tcPr>
            <w:tcW w:w="1891" w:type="dxa"/>
            <w:tcBorders>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23 312,8</w:t>
            </w:r>
          </w:p>
        </w:tc>
        <w:tc>
          <w:tcPr>
            <w:tcW w:w="1761" w:type="dxa"/>
            <w:tcBorders>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21 143,1</w:t>
            </w:r>
          </w:p>
        </w:tc>
        <w:tc>
          <w:tcPr>
            <w:tcW w:w="1624" w:type="dxa"/>
            <w:tcBorders>
              <w:left w:val="single" w:sz="4" w:space="0" w:color="000000"/>
              <w:bottom w:val="single" w:sz="4" w:space="0" w:color="000000"/>
              <w:right w:val="single" w:sz="4" w:space="0" w:color="000000"/>
            </w:tcBorders>
            <w:vAlign w:val="center"/>
          </w:tcPr>
          <w:p>
            <w:pPr>
              <w:pStyle w:val="Normal"/>
              <w:widowControl w:val="false"/>
              <w:ind w:firstLine="316"/>
              <w:jc w:val="both"/>
              <w:rPr>
                <w:sz w:val="26"/>
                <w:szCs w:val="26"/>
              </w:rPr>
            </w:pPr>
            <w:r>
              <w:rPr>
                <w:sz w:val="26"/>
                <w:szCs w:val="26"/>
              </w:rPr>
              <w:t>+2 169,7</w:t>
            </w:r>
          </w:p>
        </w:tc>
      </w:tr>
      <w:tr>
        <w:trPr>
          <w:trHeight w:val="597"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sz w:val="26"/>
                <w:szCs w:val="26"/>
              </w:rPr>
            </w:pPr>
            <w:r>
              <w:rPr>
                <w:bCs/>
                <w:sz w:val="26"/>
                <w:szCs w:val="26"/>
              </w:rPr>
              <w:t>1.1.</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bCs/>
                <w:sz w:val="26"/>
                <w:szCs w:val="26"/>
              </w:rPr>
            </w:pPr>
            <w:r>
              <w:rPr>
                <w:bCs/>
                <w:sz w:val="26"/>
                <w:szCs w:val="26"/>
              </w:rPr>
              <w:t>фінансування з бюджету міської територіальної громади</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20 792,9</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17 260,0</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bCs/>
                <w:sz w:val="26"/>
                <w:szCs w:val="26"/>
              </w:rPr>
            </w:pPr>
            <w:r>
              <w:rPr>
                <w:bCs/>
                <w:sz w:val="26"/>
                <w:szCs w:val="26"/>
              </w:rPr>
              <w:t>+3 532,9</w:t>
            </w:r>
          </w:p>
        </w:tc>
      </w:tr>
      <w:tr>
        <w:trPr>
          <w:trHeight w:val="1180"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6"/>
                <w:szCs w:val="26"/>
              </w:rPr>
            </w:pPr>
            <w:r>
              <w:rPr>
                <w:sz w:val="26"/>
                <w:szCs w:val="26"/>
              </w:rPr>
              <w:t>2.</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6"/>
                <w:szCs w:val="26"/>
              </w:rPr>
            </w:pPr>
            <w:r>
              <w:rPr>
                <w:sz w:val="26"/>
                <w:szCs w:val="26"/>
              </w:rPr>
              <w:t>Утримання, технічне обслуговування та ремонт мереж зовнішнього освітлення та світлофорних об’єктів</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7 492,9</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7 060,0</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sz w:val="26"/>
                <w:szCs w:val="26"/>
              </w:rPr>
            </w:pPr>
            <w:r>
              <w:rPr>
                <w:sz w:val="26"/>
                <w:szCs w:val="26"/>
              </w:rPr>
              <w:t>+432,9</w:t>
            </w:r>
          </w:p>
        </w:tc>
      </w:tr>
      <w:tr>
        <w:trPr>
          <w:trHeight w:val="1479"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6"/>
                <w:szCs w:val="26"/>
                <w:lang w:val="en-US"/>
              </w:rPr>
            </w:pPr>
            <w:r>
              <w:rPr>
                <w:sz w:val="26"/>
                <w:szCs w:val="26"/>
                <w:lang w:val="en-US"/>
              </w:rPr>
              <w:t>3</w:t>
            </w:r>
            <w:r>
              <w:rPr>
                <w:sz w:val="26"/>
                <w:szCs w:val="26"/>
                <w:lang w:val="en-US"/>
              </w:rPr>
              <w:t>.</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6"/>
                <w:szCs w:val="26"/>
              </w:rPr>
            </w:pPr>
            <w:r>
              <w:rPr>
                <w:sz w:val="26"/>
                <w:szCs w:val="26"/>
              </w:rPr>
              <w:t xml:space="preserve">Електроенергія на освітлення </w:t>
            </w:r>
            <w:r>
              <w:rPr>
                <w:color w:val="auto"/>
                <w:sz w:val="26"/>
                <w:szCs w:val="26"/>
              </w:rPr>
              <w:t xml:space="preserve">вулиць Луцької міської територіальної громади </w:t>
            </w:r>
            <w:r>
              <w:rPr>
                <w:color w:val="auto"/>
                <w:sz w:val="26"/>
                <w:szCs w:val="26"/>
              </w:rPr>
              <w:t>т</w:t>
            </w:r>
            <w:r>
              <w:rPr>
                <w:sz w:val="26"/>
                <w:szCs w:val="26"/>
              </w:rPr>
              <w:t>а забезпечення роботи світлофорних об’єктів</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13 300,0</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10 200,0</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sz w:val="26"/>
                <w:szCs w:val="26"/>
              </w:rPr>
            </w:pPr>
            <w:r>
              <w:rPr>
                <w:sz w:val="26"/>
                <w:szCs w:val="26"/>
              </w:rPr>
              <w:t>+3 100,0</w:t>
            </w:r>
          </w:p>
        </w:tc>
      </w:tr>
      <w:tr>
        <w:trPr>
          <w:trHeight w:val="597"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sz w:val="26"/>
                <w:szCs w:val="26"/>
              </w:rPr>
            </w:pPr>
            <w:r>
              <w:rPr>
                <w:bCs/>
                <w:sz w:val="26"/>
                <w:szCs w:val="26"/>
              </w:rPr>
              <w:t>4.</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bCs/>
                <w:sz w:val="26"/>
                <w:szCs w:val="26"/>
              </w:rPr>
            </w:pPr>
            <w:r>
              <w:rPr>
                <w:bCs/>
                <w:sz w:val="26"/>
                <w:szCs w:val="26"/>
              </w:rPr>
              <w:t xml:space="preserve">Інші роботи, послуги, </w:t>
            </w:r>
            <w:r>
              <w:rPr>
                <w:bCs/>
                <w:sz w:val="26"/>
                <w:szCs w:val="26"/>
              </w:rPr>
              <w:t>згідно з</w:t>
            </w:r>
            <w:r>
              <w:rPr>
                <w:bCs/>
                <w:sz w:val="26"/>
                <w:szCs w:val="26"/>
              </w:rPr>
              <w:t xml:space="preserve"> договора</w:t>
            </w:r>
            <w:r>
              <w:rPr>
                <w:bCs/>
                <w:sz w:val="26"/>
                <w:szCs w:val="26"/>
              </w:rPr>
              <w:t>ми</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2 519,9</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3 883,1</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bCs/>
                <w:sz w:val="26"/>
                <w:szCs w:val="26"/>
              </w:rPr>
            </w:pPr>
            <w:r>
              <w:rPr>
                <w:bCs/>
                <w:sz w:val="26"/>
                <w:szCs w:val="26"/>
              </w:rPr>
              <w:t>-1 363,2</w:t>
            </w:r>
          </w:p>
        </w:tc>
      </w:tr>
      <w:tr>
        <w:trPr>
          <w:trHeight w:val="881"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6"/>
                <w:szCs w:val="26"/>
              </w:rPr>
            </w:pPr>
            <w:r>
              <w:rPr>
                <w:sz w:val="26"/>
                <w:szCs w:val="26"/>
              </w:rPr>
              <w:t>4.</w:t>
            </w:r>
            <w:r>
              <w:rPr>
                <w:sz w:val="26"/>
                <w:szCs w:val="26"/>
              </w:rPr>
              <w:t>1.</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6"/>
                <w:szCs w:val="26"/>
              </w:rPr>
            </w:pPr>
            <w:r>
              <w:rPr>
                <w:sz w:val="26"/>
                <w:szCs w:val="26"/>
              </w:rPr>
              <w:t>Обслуговування електромереж рекламних засобів, оптоволоконного кабелю</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443,0</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947,9</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sz w:val="26"/>
                <w:szCs w:val="26"/>
              </w:rPr>
            </w:pPr>
            <w:r>
              <w:rPr>
                <w:sz w:val="26"/>
                <w:szCs w:val="26"/>
              </w:rPr>
              <w:t>-504,9</w:t>
            </w:r>
          </w:p>
        </w:tc>
      </w:tr>
      <w:tr>
        <w:trPr>
          <w:trHeight w:val="298"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6"/>
                <w:szCs w:val="26"/>
              </w:rPr>
            </w:pPr>
            <w:r>
              <w:rPr>
                <w:sz w:val="26"/>
                <w:szCs w:val="26"/>
              </w:rPr>
              <w:t>4.</w:t>
            </w:r>
            <w:r>
              <w:rPr>
                <w:sz w:val="26"/>
                <w:szCs w:val="26"/>
              </w:rPr>
              <w:t>2.</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6"/>
                <w:szCs w:val="26"/>
              </w:rPr>
            </w:pPr>
            <w:r>
              <w:rPr>
                <w:sz w:val="26"/>
                <w:szCs w:val="26"/>
              </w:rPr>
              <w:t xml:space="preserve">Інші об’єкти  </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1 879,9</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2720</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sz w:val="26"/>
                <w:szCs w:val="26"/>
              </w:rPr>
            </w:pPr>
            <w:r>
              <w:rPr>
                <w:sz w:val="26"/>
                <w:szCs w:val="26"/>
              </w:rPr>
              <w:t>-840,1</w:t>
            </w:r>
          </w:p>
        </w:tc>
      </w:tr>
      <w:tr>
        <w:trPr>
          <w:trHeight w:val="298"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6"/>
                <w:szCs w:val="26"/>
              </w:rPr>
            </w:pPr>
            <w:r>
              <w:rPr>
                <w:sz w:val="26"/>
                <w:szCs w:val="26"/>
              </w:rPr>
              <w:t>4.</w:t>
            </w:r>
            <w:r>
              <w:rPr>
                <w:sz w:val="26"/>
                <w:szCs w:val="26"/>
              </w:rPr>
              <w:t>3.</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6"/>
                <w:szCs w:val="26"/>
              </w:rPr>
            </w:pPr>
            <w:r>
              <w:rPr>
                <w:sz w:val="26"/>
                <w:szCs w:val="26"/>
              </w:rPr>
              <w:t>Видача технічних умов</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2,8</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18,1</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sz w:val="26"/>
                <w:szCs w:val="26"/>
              </w:rPr>
            </w:pPr>
            <w:r>
              <w:rPr>
                <w:sz w:val="26"/>
                <w:szCs w:val="26"/>
              </w:rPr>
              <w:t>-15,3</w:t>
            </w:r>
          </w:p>
        </w:tc>
      </w:tr>
      <w:tr>
        <w:trPr>
          <w:trHeight w:val="283"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6"/>
                <w:szCs w:val="26"/>
              </w:rPr>
            </w:pPr>
            <w:r>
              <w:rPr>
                <w:sz w:val="26"/>
                <w:szCs w:val="26"/>
              </w:rPr>
              <w:t>4.</w:t>
            </w:r>
            <w:r>
              <w:rPr>
                <w:sz w:val="26"/>
                <w:szCs w:val="26"/>
              </w:rPr>
              <w:t>4.</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6"/>
                <w:szCs w:val="26"/>
              </w:rPr>
            </w:pPr>
            <w:r>
              <w:rPr>
                <w:sz w:val="26"/>
                <w:szCs w:val="26"/>
              </w:rPr>
              <w:t>Послуги автотранспорту</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194,3</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197,1</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sz w:val="26"/>
                <w:szCs w:val="26"/>
              </w:rPr>
            </w:pPr>
            <w:r>
              <w:rPr>
                <w:sz w:val="26"/>
                <w:szCs w:val="26"/>
              </w:rPr>
              <w:t>-2,8</w:t>
            </w:r>
          </w:p>
        </w:tc>
      </w:tr>
      <w:tr>
        <w:trPr>
          <w:trHeight w:val="1195"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sz w:val="26"/>
                <w:szCs w:val="26"/>
                <w:lang w:val="en-US"/>
              </w:rPr>
            </w:pPr>
            <w:r>
              <w:rPr>
                <w:bCs/>
                <w:sz w:val="26"/>
                <w:szCs w:val="26"/>
                <w:lang w:val="en-US"/>
              </w:rPr>
              <w:t>5.</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bCs/>
                <w:sz w:val="26"/>
                <w:szCs w:val="26"/>
              </w:rPr>
            </w:pPr>
            <w:r>
              <w:rPr>
                <w:bCs/>
                <w:sz w:val="26"/>
                <w:szCs w:val="26"/>
              </w:rPr>
              <w:t xml:space="preserve">Інші доходи </w:t>
            </w:r>
          </w:p>
          <w:p>
            <w:pPr>
              <w:pStyle w:val="Normal"/>
              <w:widowControl w:val="false"/>
              <w:rPr>
                <w:sz w:val="26"/>
                <w:szCs w:val="26"/>
              </w:rPr>
            </w:pPr>
            <w:r>
              <w:rPr>
                <w:sz w:val="26"/>
                <w:szCs w:val="26"/>
              </w:rPr>
              <w:t>(амортизація б/о ОЗ, страхове відшкодування, здача металобрухту тощо)</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6 253,8</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2 462,0</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bCs/>
                <w:sz w:val="26"/>
                <w:szCs w:val="26"/>
              </w:rPr>
            </w:pPr>
            <w:r>
              <w:rPr>
                <w:bCs/>
                <w:sz w:val="26"/>
                <w:szCs w:val="26"/>
              </w:rPr>
              <w:t>+3 791,8</w:t>
            </w:r>
          </w:p>
        </w:tc>
      </w:tr>
      <w:tr>
        <w:trPr>
          <w:trHeight w:val="283"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sz w:val="26"/>
                <w:szCs w:val="26"/>
                <w:lang w:val="en-US"/>
              </w:rPr>
            </w:pPr>
            <w:r>
              <w:rPr>
                <w:bCs/>
                <w:sz w:val="26"/>
                <w:szCs w:val="26"/>
                <w:lang w:val="en-US"/>
              </w:rPr>
              <w:t>6.</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6"/>
                <w:szCs w:val="26"/>
              </w:rPr>
            </w:pPr>
            <w:r>
              <w:rPr>
                <w:sz w:val="26"/>
                <w:szCs w:val="26"/>
              </w:rPr>
              <w:t>Податок на додану вартість</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2 825,4</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sz w:val="26"/>
                <w:szCs w:val="26"/>
              </w:rPr>
            </w:pPr>
            <w:r>
              <w:rPr>
                <w:sz w:val="26"/>
                <w:szCs w:val="26"/>
              </w:rPr>
              <w:t>2 556,1</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sz w:val="26"/>
                <w:szCs w:val="26"/>
              </w:rPr>
            </w:pPr>
            <w:r>
              <w:rPr>
                <w:sz w:val="26"/>
                <w:szCs w:val="26"/>
              </w:rPr>
              <w:t>+269,3</w:t>
            </w:r>
          </w:p>
        </w:tc>
      </w:tr>
      <w:tr>
        <w:trPr>
          <w:trHeight w:val="283" w:hRule="atLeast"/>
        </w:trPr>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sz w:val="26"/>
                <w:szCs w:val="26"/>
                <w:lang w:val="en-US"/>
              </w:rPr>
            </w:pPr>
            <w:r>
              <w:rPr>
                <w:bCs/>
                <w:sz w:val="26"/>
                <w:szCs w:val="26"/>
                <w:lang w:val="en-US"/>
              </w:rPr>
              <w:t>7.</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bCs/>
                <w:sz w:val="26"/>
                <w:szCs w:val="26"/>
              </w:rPr>
            </w:pPr>
            <w:r>
              <w:rPr>
                <w:bCs/>
                <w:sz w:val="26"/>
                <w:szCs w:val="26"/>
              </w:rPr>
              <w:t>Всього чистий дохід</w:t>
            </w:r>
          </w:p>
        </w:tc>
        <w:tc>
          <w:tcPr>
            <w:tcW w:w="1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26 741,2</w:t>
            </w:r>
          </w:p>
        </w:tc>
        <w:tc>
          <w:tcPr>
            <w:tcW w:w="17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567"/>
              <w:jc w:val="right"/>
              <w:rPr>
                <w:bCs/>
                <w:sz w:val="26"/>
                <w:szCs w:val="26"/>
              </w:rPr>
            </w:pPr>
            <w:r>
              <w:rPr>
                <w:bCs/>
                <w:sz w:val="26"/>
                <w:szCs w:val="26"/>
              </w:rPr>
              <w:t>21 049,0</w:t>
            </w:r>
          </w:p>
        </w:tc>
        <w:tc>
          <w:tcPr>
            <w:tcW w:w="16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316"/>
              <w:jc w:val="both"/>
              <w:rPr>
                <w:bCs/>
                <w:sz w:val="26"/>
                <w:szCs w:val="26"/>
              </w:rPr>
            </w:pPr>
            <w:r>
              <w:rPr>
                <w:bCs/>
                <w:sz w:val="26"/>
                <w:szCs w:val="26"/>
              </w:rPr>
              <w:t>+5 692,2</w:t>
            </w:r>
          </w:p>
        </w:tc>
      </w:tr>
    </w:tbl>
    <w:p>
      <w:pPr>
        <w:pStyle w:val="Style23"/>
        <w:spacing w:lineRule="auto" w:line="240"/>
        <w:ind w:firstLine="567"/>
        <w:jc w:val="both"/>
        <w:rPr>
          <w:sz w:val="28"/>
          <w:szCs w:val="28"/>
          <w:lang w:val="uk-UA"/>
        </w:rPr>
      </w:pPr>
      <w:r>
        <w:rPr>
          <w:sz w:val="28"/>
          <w:szCs w:val="28"/>
          <w:lang w:val="uk-UA"/>
        </w:rPr>
      </w:r>
    </w:p>
    <w:p>
      <w:pPr>
        <w:pStyle w:val="Normal"/>
        <w:ind w:firstLine="567"/>
        <w:jc w:val="both"/>
        <w:rPr>
          <w:rStyle w:val="FontStyle11"/>
          <w:sz w:val="28"/>
          <w:szCs w:val="28"/>
        </w:rPr>
      </w:pPr>
      <w:r>
        <w:rPr>
          <w:rStyle w:val="FontStyle11"/>
          <w:sz w:val="28"/>
          <w:szCs w:val="28"/>
        </w:rPr>
        <w:t xml:space="preserve">Фінансовий результат за 9 місяців 2022 року становить – 512 тис. грн збитків (за відповідний період 2021 року фінансовий результат 5,0 тис. грн прибутків). У зв’язку з введенням воєнного стану в країні значно зменшилося споживання електроенергії (2 841 738 кВт) в порівнянні з відповідним періодом 2021 року (3 477 658 кВт), а оплата за спожиту електроенергію на освітлення вулиць та забезпечення роботи світлофорних об’єктів зросла, в зв’язку з ростом ціни за 1 кВт/год електроенергії. Також відбувались відключення електроенергії на об’єктах реклами, тому доходів за надані послуги підприємство не отримувало. </w:t>
      </w:r>
    </w:p>
    <w:p>
      <w:pPr>
        <w:pStyle w:val="Normal"/>
        <w:ind w:firstLine="567"/>
        <w:jc w:val="both"/>
        <w:rPr>
          <w:rStyle w:val="FontStyle11"/>
          <w:sz w:val="28"/>
          <w:szCs w:val="28"/>
        </w:rPr>
      </w:pPr>
      <w:r>
        <w:rPr>
          <w:sz w:val="28"/>
          <w:szCs w:val="28"/>
        </w:rPr>
      </w:r>
    </w:p>
    <w:p>
      <w:pPr>
        <w:pStyle w:val="Normal"/>
        <w:ind w:firstLine="567"/>
        <w:jc w:val="both"/>
        <w:rPr/>
      </w:pPr>
      <w:r>
        <w:rPr>
          <w:sz w:val="28"/>
          <w:szCs w:val="28"/>
        </w:rPr>
        <w:t>У 2019-2021 роках ТзОВ «ТЕХ-ІНЖИНІРИНГ» були виконані роботи по заміні світильників на вулицях м. Луцька на замовлення департаменту житлово-комунального господарства. Роботи із реконструкції, вартістю 14 260,4 тис. грн було передано на баланс підприємства у 2022 році, що суттєво вплинуло на збільшення інших доходів та амортизації основних засобів.</w:t>
      </w:r>
    </w:p>
    <w:p>
      <w:pPr>
        <w:pStyle w:val="Normal"/>
        <w:ind w:firstLine="567"/>
        <w:jc w:val="both"/>
        <w:rPr>
          <w:rStyle w:val="FontStyle11"/>
          <w:sz w:val="28"/>
          <w:szCs w:val="28"/>
        </w:rPr>
      </w:pPr>
      <w:r>
        <w:rPr>
          <w:sz w:val="28"/>
          <w:szCs w:val="28"/>
        </w:rPr>
      </w:r>
    </w:p>
    <w:p>
      <w:pPr>
        <w:pStyle w:val="Normal"/>
        <w:jc w:val="center"/>
        <w:rPr>
          <w:sz w:val="28"/>
          <w:szCs w:val="28"/>
        </w:rPr>
      </w:pPr>
      <w:r>
        <w:rPr>
          <w:sz w:val="28"/>
          <w:szCs w:val="28"/>
        </w:rPr>
        <w:t>Порівняльний аналіз структури доходів та витрат</w:t>
      </w:r>
    </w:p>
    <w:p>
      <w:pPr>
        <w:pStyle w:val="Style41"/>
        <w:spacing w:lineRule="auto" w:line="240"/>
        <w:ind w:right="113" w:firstLine="567"/>
        <w:jc w:val="right"/>
        <w:rPr/>
      </w:pPr>
      <w:r>
        <w:rPr>
          <w:rStyle w:val="FontStyle11"/>
          <w:sz w:val="24"/>
          <w:szCs w:val="24"/>
          <w:lang w:val="uk-UA" w:eastAsia="uk-UA"/>
        </w:rPr>
        <w:t>тис. </w:t>
      </w:r>
      <w:r>
        <w:rPr/>
        <w:t>грн</w:t>
      </w:r>
    </w:p>
    <w:tbl>
      <w:tblPr>
        <w:tblW w:w="9180" w:type="dxa"/>
        <w:jc w:val="left"/>
        <w:tblInd w:w="137" w:type="dxa"/>
        <w:tblLayout w:type="fixed"/>
        <w:tblCellMar>
          <w:top w:w="0" w:type="dxa"/>
          <w:left w:w="108" w:type="dxa"/>
          <w:bottom w:w="0" w:type="dxa"/>
          <w:right w:w="108" w:type="dxa"/>
        </w:tblCellMar>
        <w:tblLook w:firstRow="1" w:noVBand="1" w:lastRow="0" w:firstColumn="1" w:lastColumn="0" w:noHBand="0" w:val="04a0"/>
      </w:tblPr>
      <w:tblGrid>
        <w:gridCol w:w="3510"/>
        <w:gridCol w:w="2040"/>
        <w:gridCol w:w="1815"/>
        <w:gridCol w:w="1815"/>
      </w:tblGrid>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jc w:val="center"/>
              <w:rPr>
                <w:b/>
                <w:b/>
                <w:bCs/>
                <w:sz w:val="26"/>
                <w:szCs w:val="26"/>
              </w:rPr>
            </w:pPr>
            <w:r>
              <w:rPr>
                <w:b/>
                <w:bCs/>
                <w:sz w:val="26"/>
                <w:szCs w:val="26"/>
              </w:rPr>
              <w:t>Назва показника</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41"/>
              <w:widowControl w:val="false"/>
              <w:spacing w:lineRule="auto" w:line="240"/>
              <w:jc w:val="center"/>
              <w:rPr/>
            </w:pPr>
            <w:r>
              <w:rPr>
                <w:rStyle w:val="FontStyle11"/>
                <w:b/>
                <w:bCs/>
                <w:lang w:val="uk-UA" w:eastAsia="uk-UA"/>
              </w:rPr>
              <w:t>9 місяців 2022 року</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41"/>
              <w:widowControl w:val="false"/>
              <w:spacing w:lineRule="auto" w:line="240"/>
              <w:jc w:val="center"/>
              <w:rPr/>
            </w:pPr>
            <w:r>
              <w:rPr>
                <w:rStyle w:val="FontStyle11"/>
                <w:b/>
                <w:bCs/>
                <w:lang w:val="uk-UA" w:eastAsia="uk-UA"/>
              </w:rPr>
              <w:t>9 місяців 2021 року</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41"/>
              <w:widowControl w:val="false"/>
              <w:spacing w:lineRule="auto" w:line="240"/>
              <w:jc w:val="center"/>
              <w:rPr/>
            </w:pPr>
            <w:r>
              <w:rPr>
                <w:rStyle w:val="FontStyle11"/>
                <w:b/>
                <w:bCs/>
                <w:lang w:val="uk-UA" w:eastAsia="uk-UA"/>
              </w:rPr>
              <w:t>Відхилення +,-</w:t>
            </w:r>
          </w:p>
        </w:tc>
      </w:tr>
      <w:tr>
        <w:trPr/>
        <w:tc>
          <w:tcPr>
            <w:tcW w:w="3510" w:type="dxa"/>
            <w:tcBorders>
              <w:left w:val="single" w:sz="4" w:space="0" w:color="000000"/>
              <w:bottom w:val="single" w:sz="4" w:space="0" w:color="000000"/>
              <w:right w:val="single" w:sz="4" w:space="0" w:color="000000"/>
            </w:tcBorders>
            <w:vAlign w:val="center"/>
          </w:tcPr>
          <w:p>
            <w:pPr>
              <w:pStyle w:val="Style71"/>
              <w:widowControl w:val="false"/>
              <w:rPr>
                <w:sz w:val="26"/>
                <w:szCs w:val="26"/>
              </w:rPr>
            </w:pPr>
            <w:r>
              <w:rPr>
                <w:rStyle w:val="FontStyle12"/>
                <w:b w:val="false"/>
                <w:lang w:val="uk-UA" w:eastAsia="uk-UA"/>
              </w:rPr>
              <w:t>Доходи всього, в т. ч.:</w:t>
            </w:r>
          </w:p>
        </w:tc>
        <w:tc>
          <w:tcPr>
            <w:tcW w:w="2040" w:type="dxa"/>
            <w:tcBorders>
              <w:left w:val="single" w:sz="4" w:space="0" w:color="000000"/>
              <w:bottom w:val="single" w:sz="4" w:space="0" w:color="000000"/>
              <w:right w:val="single" w:sz="4" w:space="0" w:color="000000"/>
            </w:tcBorders>
            <w:vAlign w:val="center"/>
          </w:tcPr>
          <w:p>
            <w:pPr>
              <w:pStyle w:val="Style71"/>
              <w:widowControl w:val="false"/>
              <w:jc w:val="right"/>
              <w:rPr>
                <w:bCs/>
                <w:sz w:val="26"/>
                <w:szCs w:val="26"/>
                <w:lang w:val="uk-UA"/>
              </w:rPr>
            </w:pPr>
            <w:r>
              <w:rPr>
                <w:bCs/>
                <w:sz w:val="26"/>
                <w:szCs w:val="26"/>
                <w:lang w:val="uk-UA"/>
              </w:rPr>
              <w:t>26 741,2</w:t>
            </w:r>
          </w:p>
        </w:tc>
        <w:tc>
          <w:tcPr>
            <w:tcW w:w="1815" w:type="dxa"/>
            <w:tcBorders>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21 049,0</w:t>
            </w:r>
          </w:p>
        </w:tc>
        <w:tc>
          <w:tcPr>
            <w:tcW w:w="1815" w:type="dxa"/>
            <w:tcBorders>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+5 692,2</w:t>
            </w:r>
          </w:p>
        </w:tc>
      </w:tr>
      <w:tr>
        <w:trPr>
          <w:trHeight w:val="405" w:hRule="atLeast"/>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rPr>
                <w:sz w:val="26"/>
                <w:szCs w:val="26"/>
              </w:rPr>
            </w:pPr>
            <w:r>
              <w:rPr>
                <w:rStyle w:val="FontStyle11"/>
                <w:lang w:val="uk-UA" w:eastAsia="uk-UA"/>
              </w:rPr>
              <w:t>від реалізації товарів, робіт, послуг (чистий дохід)</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23 312,8</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21 143,1</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+2 169,7</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rPr>
                <w:sz w:val="26"/>
                <w:szCs w:val="26"/>
              </w:rPr>
            </w:pPr>
            <w:r>
              <w:rPr>
                <w:rStyle w:val="FontStyle11"/>
                <w:lang w:val="uk-UA" w:eastAsia="uk-UA"/>
              </w:rPr>
              <w:t>в т. ч. фінансування з</w:t>
            </w:r>
            <w:r>
              <w:rPr>
                <w:rStyle w:val="FontStyle11"/>
                <w:color w:val="auto"/>
                <w:lang w:val="uk-UA" w:eastAsia="uk-UA"/>
              </w:rPr>
              <w:t xml:space="preserve"> </w:t>
            </w:r>
            <w:r>
              <w:rPr>
                <w:rStyle w:val="FontStyle11"/>
                <w:color w:val="auto"/>
                <w:lang w:val="uk-UA" w:eastAsia="uk-UA"/>
              </w:rPr>
              <w:t xml:space="preserve">бюджету </w:t>
            </w:r>
            <w:r>
              <w:rPr>
                <w:rStyle w:val="FontStyle11"/>
                <w:color w:val="auto"/>
                <w:lang w:val="uk-UA" w:eastAsia="uk-UA"/>
              </w:rPr>
              <w:t>Луцької МТГ</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20 792,9</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17 260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+3 532,9</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jc w:val="both"/>
              <w:rPr>
                <w:sz w:val="26"/>
                <w:szCs w:val="26"/>
              </w:rPr>
            </w:pPr>
            <w:r>
              <w:rPr>
                <w:rStyle w:val="FontStyle11"/>
                <w:lang w:val="uk-UA" w:eastAsia="uk-UA"/>
              </w:rPr>
              <w:t xml:space="preserve">роботи за договорами  </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2 519,9</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3 883,1</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-1 363,2</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jc w:val="both"/>
              <w:rPr>
                <w:sz w:val="26"/>
                <w:szCs w:val="26"/>
              </w:rPr>
            </w:pPr>
            <w:r>
              <w:rPr>
                <w:rStyle w:val="FontStyle11"/>
                <w:lang w:val="uk-UA" w:eastAsia="uk-UA"/>
              </w:rPr>
              <w:t>інші доходи</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6 253,8</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2 462</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+3 791,8</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jc w:val="both"/>
              <w:rPr>
                <w:sz w:val="26"/>
                <w:szCs w:val="26"/>
              </w:rPr>
            </w:pPr>
            <w:r>
              <w:rPr>
                <w:rStyle w:val="FontStyle11"/>
                <w:lang w:val="uk-UA" w:eastAsia="uk-UA"/>
              </w:rPr>
              <w:t>ПДВ</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2 825,4</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2 556,1</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ind w:firstLine="567"/>
              <w:jc w:val="right"/>
              <w:rPr>
                <w:sz w:val="26"/>
                <w:szCs w:val="26"/>
              </w:rPr>
            </w:pPr>
            <w:r>
              <w:rPr>
                <w:rStyle w:val="FontStyle11"/>
                <w:lang w:val="uk-UA" w:eastAsia="uk-UA"/>
              </w:rPr>
              <w:t>+269,3</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rPr>
                <w:sz w:val="26"/>
                <w:szCs w:val="26"/>
              </w:rPr>
            </w:pPr>
            <w:r>
              <w:rPr>
                <w:rStyle w:val="FontStyle12"/>
                <w:b w:val="false"/>
                <w:lang w:val="uk-UA" w:eastAsia="uk-UA"/>
              </w:rPr>
              <w:t>Витрати всього:</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27 261,0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21 044,0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+6 217,0</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jc w:val="both"/>
              <w:rPr>
                <w:sz w:val="26"/>
                <w:szCs w:val="26"/>
              </w:rPr>
            </w:pPr>
            <w:r>
              <w:rPr>
                <w:rStyle w:val="FontStyle11"/>
                <w:lang w:val="uk-UA" w:eastAsia="uk-UA"/>
              </w:rPr>
              <w:t>матеріальні затрати</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2 100,0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1 584,0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+516,0</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jc w:val="both"/>
              <w:rPr>
                <w:sz w:val="26"/>
                <w:szCs w:val="26"/>
              </w:rPr>
            </w:pPr>
            <w:r>
              <w:rPr>
                <w:rStyle w:val="FontStyle11"/>
                <w:lang w:val="uk-UA" w:eastAsia="uk-UA"/>
              </w:rPr>
              <w:t>оплата праці</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5 242,0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5 295,0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-53,0</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jc w:val="both"/>
              <w:rPr>
                <w:sz w:val="26"/>
                <w:szCs w:val="26"/>
              </w:rPr>
            </w:pPr>
            <w:r>
              <w:rPr>
                <w:rStyle w:val="FontStyle11"/>
                <w:lang w:val="uk-UA" w:eastAsia="uk-UA"/>
              </w:rPr>
              <w:t>відрахування на соціальні заходи</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1 063,0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1 092,0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-29,0</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31"/>
              <w:widowControl w:val="false"/>
              <w:jc w:val="both"/>
              <w:rPr>
                <w:sz w:val="26"/>
                <w:szCs w:val="26"/>
              </w:rPr>
            </w:pPr>
            <w:r>
              <w:rPr>
                <w:rStyle w:val="FontStyle11"/>
                <w:lang w:val="uk-UA" w:eastAsia="uk-UA"/>
              </w:rPr>
              <w:t xml:space="preserve">амортизація </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61"/>
              <w:widowControl w:val="false"/>
              <w:spacing w:lineRule="auto" w:line="240"/>
              <w:ind w:firstLine="567"/>
              <w:jc w:val="right"/>
              <w:rPr>
                <w:sz w:val="26"/>
                <w:szCs w:val="26"/>
              </w:rPr>
            </w:pPr>
            <w:r>
              <w:rPr>
                <w:rStyle w:val="FontStyle11"/>
                <w:lang w:val="uk-UA" w:eastAsia="uk-UA"/>
              </w:rPr>
              <w:t>6 087</w:t>
            </w:r>
            <w:r>
              <w:rPr>
                <w:rStyle w:val="FontStyle12"/>
                <w:b w:val="false"/>
                <w:lang w:val="uk-UA" w:eastAsia="uk-UA"/>
              </w:rPr>
              <w:t>,0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61"/>
              <w:widowControl w:val="false"/>
              <w:spacing w:lineRule="auto" w:line="240"/>
              <w:ind w:firstLine="567"/>
              <w:jc w:val="right"/>
              <w:rPr>
                <w:sz w:val="26"/>
                <w:szCs w:val="26"/>
              </w:rPr>
            </w:pPr>
            <w:r>
              <w:rPr>
                <w:rStyle w:val="FontStyle11"/>
                <w:lang w:val="uk-UA" w:eastAsia="uk-UA"/>
              </w:rPr>
              <w:t>2 799</w:t>
            </w:r>
            <w:r>
              <w:rPr>
                <w:rStyle w:val="FontStyle12"/>
                <w:b w:val="false"/>
                <w:lang w:val="uk-UA" w:eastAsia="uk-UA"/>
              </w:rPr>
              <w:t>,0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61"/>
              <w:widowControl w:val="false"/>
              <w:spacing w:lineRule="auto" w:line="240"/>
              <w:ind w:firstLine="567"/>
              <w:jc w:val="right"/>
              <w:rPr>
                <w:sz w:val="26"/>
                <w:szCs w:val="26"/>
              </w:rPr>
            </w:pPr>
            <w:r>
              <w:rPr>
                <w:rStyle w:val="FontStyle11"/>
                <w:lang w:val="uk-UA" w:eastAsia="uk-UA"/>
              </w:rPr>
              <w:t>+3 288</w:t>
            </w:r>
            <w:r>
              <w:rPr>
                <w:rStyle w:val="FontStyle12"/>
                <w:b w:val="false"/>
                <w:lang w:val="uk-UA" w:eastAsia="uk-UA"/>
              </w:rPr>
              <w:t>,0</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41"/>
              <w:widowControl w:val="false"/>
              <w:spacing w:lineRule="auto" w:line="240"/>
              <w:rPr>
                <w:sz w:val="26"/>
                <w:szCs w:val="26"/>
              </w:rPr>
            </w:pPr>
            <w:r>
              <w:rPr>
                <w:rStyle w:val="FontStyle11"/>
                <w:lang w:val="uk-UA" w:eastAsia="uk-UA"/>
              </w:rPr>
              <w:t>інші операційні витра</w:t>
            </w:r>
            <w:r>
              <w:rPr>
                <w:rStyle w:val="FontStyle12"/>
                <w:b w:val="false"/>
                <w:bCs w:val="false"/>
                <w:lang w:val="uk-UA" w:eastAsia="uk-UA"/>
              </w:rPr>
              <w:t>ти</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12 769,0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10 274,0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71"/>
              <w:widowControl w:val="false"/>
              <w:ind w:firstLine="567"/>
              <w:jc w:val="right"/>
              <w:rPr>
                <w:sz w:val="26"/>
                <w:szCs w:val="26"/>
              </w:rPr>
            </w:pPr>
            <w:r>
              <w:rPr>
                <w:rStyle w:val="FontStyle12"/>
                <w:b w:val="false"/>
                <w:lang w:val="uk-UA" w:eastAsia="uk-UA"/>
              </w:rPr>
              <w:t>+2 495,0</w:t>
            </w:r>
          </w:p>
        </w:tc>
      </w:tr>
      <w:tr>
        <w:trPr/>
        <w:tc>
          <w:tcPr>
            <w:tcW w:w="3510" w:type="dxa"/>
            <w:tcBorders>
              <w:top w:val="single" w:sz="4" w:space="0" w:color="000000"/>
              <w:left w:val="single" w:sz="4" w:space="0" w:color="000000"/>
              <w:bottom w:val="single" w:sz="4" w:space="0" w:color="000000"/>
              <w:right w:val="single" w:sz="4" w:space="0" w:color="000000"/>
            </w:tcBorders>
            <w:vAlign w:val="center"/>
          </w:tcPr>
          <w:p>
            <w:pPr>
              <w:pStyle w:val="Style51"/>
              <w:widowControl w:val="false"/>
              <w:rPr>
                <w:sz w:val="26"/>
                <w:szCs w:val="26"/>
              </w:rPr>
            </w:pPr>
            <w:r>
              <w:rPr>
                <w:rStyle w:val="FontStyle11"/>
                <w:bCs/>
                <w:lang w:val="uk-UA" w:eastAsia="uk-UA"/>
              </w:rPr>
              <w:t>Фінансовий результат (+;</w:t>
            </w:r>
            <w:r>
              <w:rPr>
                <w:bCs/>
                <w:sz w:val="26"/>
                <w:szCs w:val="26"/>
              </w:rPr>
              <w:t>–</w:t>
            </w:r>
            <w:r>
              <w:rPr>
                <w:rStyle w:val="FontStyle11"/>
                <w:bCs/>
                <w:lang w:val="uk-UA" w:eastAsia="uk-UA"/>
              </w:rPr>
              <w:t>)</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Style51"/>
              <w:widowControl w:val="false"/>
              <w:ind w:firstLine="567"/>
              <w:jc w:val="right"/>
              <w:rPr>
                <w:sz w:val="26"/>
                <w:szCs w:val="26"/>
              </w:rPr>
            </w:pPr>
            <w:r>
              <w:rPr>
                <w:sz w:val="26"/>
                <w:szCs w:val="26"/>
                <w:lang w:val="uk-UA"/>
              </w:rPr>
              <w:t>- 512</w:t>
            </w:r>
            <w:r>
              <w:rPr>
                <w:rStyle w:val="FontStyle12"/>
                <w:b w:val="false"/>
                <w:lang w:val="uk-UA" w:eastAsia="uk-UA"/>
              </w:rPr>
              <w:t>,0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51"/>
              <w:widowControl w:val="false"/>
              <w:ind w:firstLine="567"/>
              <w:jc w:val="right"/>
              <w:rPr>
                <w:sz w:val="26"/>
                <w:szCs w:val="26"/>
              </w:rPr>
            </w:pPr>
            <w:r>
              <w:rPr>
                <w:sz w:val="26"/>
                <w:szCs w:val="26"/>
                <w:lang w:val="uk-UA"/>
              </w:rPr>
              <w:t>+ 5</w:t>
            </w:r>
            <w:r>
              <w:rPr>
                <w:rStyle w:val="FontStyle12"/>
                <w:b w:val="false"/>
                <w:lang w:val="uk-UA" w:eastAsia="uk-UA"/>
              </w:rPr>
              <w:t>,0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Style51"/>
              <w:widowControl w:val="false"/>
              <w:ind w:firstLine="567"/>
              <w:jc w:val="right"/>
              <w:rPr>
                <w:sz w:val="26"/>
                <w:szCs w:val="26"/>
              </w:rPr>
            </w:pPr>
            <w:r>
              <w:rPr>
                <w:sz w:val="26"/>
                <w:szCs w:val="26"/>
                <w:lang w:val="uk-UA"/>
              </w:rPr>
              <w:t>- 507</w:t>
            </w:r>
            <w:r>
              <w:rPr>
                <w:rStyle w:val="FontStyle12"/>
                <w:b w:val="false"/>
                <w:lang w:val="uk-UA" w:eastAsia="uk-UA"/>
              </w:rPr>
              <w:t>,0</w:t>
            </w:r>
          </w:p>
        </w:tc>
      </w:tr>
    </w:tbl>
    <w:p>
      <w:pPr>
        <w:pStyle w:val="Style23"/>
        <w:spacing w:lineRule="auto" w:line="240"/>
        <w:ind w:firstLine="567"/>
        <w:jc w:val="both"/>
        <w:rPr>
          <w:sz w:val="28"/>
          <w:szCs w:val="28"/>
        </w:rPr>
      </w:pPr>
      <w:r>
        <w:rPr>
          <w:sz w:val="28"/>
          <w:szCs w:val="28"/>
        </w:rPr>
      </w:r>
    </w:p>
    <w:p>
      <w:pPr>
        <w:pStyle w:val="Normal"/>
        <w:ind w:firstLine="567"/>
        <w:jc w:val="both"/>
        <w:rPr>
          <w:sz w:val="28"/>
          <w:szCs w:val="28"/>
        </w:rPr>
      </w:pPr>
      <w:r>
        <w:rPr>
          <w:sz w:val="28"/>
          <w:szCs w:val="28"/>
        </w:rPr>
        <w:t>Для реалізації основної мети діяльності підприємство має необхідну виробничу базу.</w:t>
      </w:r>
    </w:p>
    <w:p>
      <w:pPr>
        <w:pStyle w:val="Normal"/>
        <w:ind w:firstLine="567"/>
        <w:jc w:val="both"/>
        <w:rPr>
          <w:sz w:val="28"/>
          <w:szCs w:val="28"/>
        </w:rPr>
      </w:pPr>
      <w:r>
        <w:rPr>
          <w:sz w:val="28"/>
          <w:szCs w:val="28"/>
        </w:rPr>
        <w:t>11 одиниць автовишок та іншої спеціальної техніки дають можливість  виконувати необхідні роботи:</w:t>
      </w:r>
    </w:p>
    <w:p>
      <w:pPr>
        <w:pStyle w:val="PlainText"/>
        <w:ind w:firstLine="567"/>
        <w:jc w:val="both"/>
        <w:rPr>
          <w:rFonts w:ascii="Times New Roman" w:hAnsi="Times New Roman"/>
          <w:sz w:val="28"/>
          <w:szCs w:val="28"/>
        </w:rPr>
      </w:pPr>
      <w:r>
        <w:rPr>
          <w:rFonts w:ascii="Times New Roman" w:hAnsi="Times New Roman"/>
          <w:sz w:val="28"/>
          <w:szCs w:val="28"/>
        </w:rPr>
        <w:t>спецавтовишка ТВГ-15м ГАЗ-5201 - 1983 року випуску;</w:t>
      </w:r>
    </w:p>
    <w:p>
      <w:pPr>
        <w:pStyle w:val="PlainText"/>
        <w:ind w:firstLine="567"/>
        <w:jc w:val="both"/>
        <w:rPr>
          <w:rFonts w:ascii="Times New Roman" w:hAnsi="Times New Roman"/>
          <w:sz w:val="28"/>
          <w:szCs w:val="28"/>
        </w:rPr>
      </w:pPr>
      <w:r>
        <w:rPr>
          <w:rFonts w:ascii="Times New Roman" w:hAnsi="Times New Roman"/>
          <w:sz w:val="28"/>
          <w:szCs w:val="28"/>
        </w:rPr>
        <w:t>спецавтовишка ТВГ-15м ГАЗ-5204 - 1988 року випуску;</w:t>
      </w:r>
    </w:p>
    <w:p>
      <w:pPr>
        <w:pStyle w:val="PlainText"/>
        <w:ind w:firstLine="567"/>
        <w:jc w:val="both"/>
        <w:rPr>
          <w:rFonts w:ascii="Times New Roman" w:hAnsi="Times New Roman"/>
          <w:sz w:val="28"/>
          <w:szCs w:val="28"/>
        </w:rPr>
      </w:pPr>
      <w:r>
        <w:rPr>
          <w:rFonts w:ascii="Times New Roman" w:hAnsi="Times New Roman"/>
          <w:sz w:val="28"/>
          <w:szCs w:val="28"/>
        </w:rPr>
        <w:t>спецавтовишка ТВГ-15м ГАЗ-5314 - 1987 року випуску;</w:t>
      </w:r>
    </w:p>
    <w:p>
      <w:pPr>
        <w:pStyle w:val="PlainText"/>
        <w:ind w:firstLine="567"/>
        <w:jc w:val="both"/>
        <w:rPr>
          <w:rFonts w:ascii="Times New Roman" w:hAnsi="Times New Roman"/>
          <w:sz w:val="28"/>
          <w:szCs w:val="28"/>
        </w:rPr>
      </w:pPr>
      <w:r>
        <w:rPr>
          <w:rFonts w:ascii="Times New Roman" w:hAnsi="Times New Roman"/>
          <w:sz w:val="28"/>
          <w:szCs w:val="28"/>
        </w:rPr>
        <w:t>спецавтовишка ТВГ-15м ГАЗ-5204 - 1991 року випуску;</w:t>
      </w:r>
    </w:p>
    <w:p>
      <w:pPr>
        <w:pStyle w:val="PlainText"/>
        <w:ind w:firstLine="567"/>
        <w:jc w:val="both"/>
        <w:rPr>
          <w:rFonts w:ascii="Times New Roman" w:hAnsi="Times New Roman"/>
          <w:sz w:val="28"/>
          <w:szCs w:val="28"/>
        </w:rPr>
      </w:pPr>
      <w:r>
        <w:rPr>
          <w:rFonts w:ascii="Times New Roman" w:hAnsi="Times New Roman"/>
          <w:sz w:val="28"/>
          <w:szCs w:val="28"/>
        </w:rPr>
        <w:t>спецавтовишка АП-17А ГАЗ-5312 - 1992 року випуску;</w:t>
      </w:r>
    </w:p>
    <w:p>
      <w:pPr>
        <w:pStyle w:val="PlainText"/>
        <w:ind w:firstLine="567"/>
        <w:jc w:val="both"/>
        <w:rPr>
          <w:rFonts w:ascii="Times New Roman" w:hAnsi="Times New Roman"/>
          <w:sz w:val="28"/>
          <w:szCs w:val="28"/>
        </w:rPr>
      </w:pPr>
      <w:r>
        <w:rPr>
          <w:rFonts w:ascii="Times New Roman" w:hAnsi="Times New Roman"/>
          <w:sz w:val="28"/>
          <w:szCs w:val="28"/>
        </w:rPr>
        <w:t>автопідіймач АП-1810 ГАЗ-3309 - 2007 року випуску;</w:t>
      </w:r>
    </w:p>
    <w:p>
      <w:pPr>
        <w:pStyle w:val="PlainText"/>
        <w:ind w:firstLine="567"/>
        <w:jc w:val="both"/>
        <w:rPr>
          <w:rFonts w:ascii="Times New Roman" w:hAnsi="Times New Roman"/>
          <w:sz w:val="28"/>
          <w:szCs w:val="28"/>
        </w:rPr>
      </w:pPr>
      <w:r>
        <w:rPr>
          <w:rFonts w:ascii="Times New Roman" w:hAnsi="Times New Roman"/>
          <w:sz w:val="28"/>
          <w:szCs w:val="28"/>
        </w:rPr>
        <w:t>автопідіймач АП-1810 ГАЗ-3309 - 2008 року випуску;</w:t>
      </w:r>
    </w:p>
    <w:p>
      <w:pPr>
        <w:pStyle w:val="PlainText"/>
        <w:ind w:firstLine="567"/>
        <w:jc w:val="both"/>
        <w:rPr>
          <w:rFonts w:ascii="Times New Roman" w:hAnsi="Times New Roman"/>
          <w:sz w:val="28"/>
          <w:szCs w:val="28"/>
        </w:rPr>
      </w:pPr>
      <w:r>
        <w:rPr>
          <w:rFonts w:ascii="Times New Roman" w:hAnsi="Times New Roman"/>
          <w:sz w:val="28"/>
          <w:szCs w:val="28"/>
        </w:rPr>
        <w:t>автокран КС-2561Д ЗІЛ-431412 - 1992 року випуску;</w:t>
      </w:r>
    </w:p>
    <w:p>
      <w:pPr>
        <w:pStyle w:val="PlainText"/>
        <w:ind w:firstLine="567"/>
        <w:jc w:val="both"/>
        <w:rPr>
          <w:rFonts w:ascii="Times New Roman" w:hAnsi="Times New Roman"/>
          <w:sz w:val="28"/>
          <w:szCs w:val="28"/>
        </w:rPr>
      </w:pPr>
      <w:r>
        <w:rPr>
          <w:rFonts w:ascii="Times New Roman" w:hAnsi="Times New Roman"/>
          <w:sz w:val="28"/>
          <w:szCs w:val="28"/>
        </w:rPr>
        <w:t>бурова машина БМ-250 ТР43-82 - 1984 року випуску;</w:t>
      </w:r>
    </w:p>
    <w:p>
      <w:pPr>
        <w:pStyle w:val="PlainText"/>
        <w:ind w:firstLine="567"/>
        <w:jc w:val="both"/>
        <w:rPr>
          <w:rFonts w:ascii="Times New Roman" w:hAnsi="Times New Roman"/>
          <w:sz w:val="28"/>
          <w:szCs w:val="28"/>
        </w:rPr>
      </w:pPr>
      <w:r>
        <w:rPr>
          <w:rFonts w:ascii="Times New Roman" w:hAnsi="Times New Roman"/>
          <w:sz w:val="28"/>
          <w:szCs w:val="28"/>
        </w:rPr>
        <w:t>бортова машина ГАЗ 307 - 1992 року випуску;</w:t>
      </w:r>
    </w:p>
    <w:p>
      <w:pPr>
        <w:pStyle w:val="PlainText"/>
        <w:ind w:firstLine="567"/>
        <w:jc w:val="both"/>
        <w:rPr>
          <w:rFonts w:ascii="Times New Roman" w:hAnsi="Times New Roman"/>
          <w:sz w:val="28"/>
          <w:szCs w:val="28"/>
        </w:rPr>
      </w:pPr>
      <w:r>
        <w:rPr>
          <w:rFonts w:ascii="Times New Roman" w:hAnsi="Times New Roman"/>
          <w:sz w:val="28"/>
          <w:szCs w:val="28"/>
        </w:rPr>
        <w:t>спец фургон ОМГК-452 УАЗ-3741 - 1986 року випуску.</w:t>
      </w:r>
    </w:p>
    <w:p>
      <w:pPr>
        <w:pStyle w:val="Normal"/>
        <w:ind w:firstLine="567"/>
        <w:jc w:val="both"/>
        <w:rPr>
          <w:sz w:val="28"/>
          <w:szCs w:val="28"/>
        </w:rPr>
      </w:pPr>
      <w:r>
        <w:rPr>
          <w:sz w:val="28"/>
          <w:szCs w:val="28"/>
        </w:rPr>
        <w:t xml:space="preserve">Застаріла транспортна база підприємства постійно потребує значних капіталовкладень для підтримання автомобілів у справному стані. Більшість автовишок відпрацювали свій термін експлуатації і вимагають додаткових значних витрат на їх утримання. Згідно з правилами Держпраці максимальний термін дії використання вищезазначеної техніки становить 10 років. </w:t>
      </w:r>
    </w:p>
    <w:p>
      <w:pPr>
        <w:pStyle w:val="Normal"/>
        <w:ind w:firstLine="567"/>
        <w:jc w:val="both"/>
        <w:rPr/>
      </w:pPr>
      <w:r>
        <w:rPr>
          <w:sz w:val="28"/>
          <w:szCs w:val="28"/>
        </w:rPr>
        <w:t>Протягом звітного періоду якісного поліпшення спеціальної автотранспортної техніки не відбулося, що передбачає Програма утримання та ремонту мереж зовнішнього освітлення та світлофорних об’єктів Луцької міської територіальної громади на 2021-2023 роки, тому ця необхідність переходить на наступні періоди.</w:t>
      </w:r>
      <w:r>
        <w:rPr>
          <w:sz w:val="28"/>
          <w:szCs w:val="28"/>
          <w:lang w:eastAsia="uk-UA"/>
        </w:rPr>
        <w:t xml:space="preserve"> Придбання автопідйомника для оперативно-диспетчерської бригади дозволить працівникам якісніше та швидше реагувати на несправності в мережі зовнішнього освітлення та світлофорних об’єктів. З утворенням Луцької міської територіальної громади збільшилась зона обслуговування. Наявний спецтранспорт оперативно-диспетчерської бригади не дозволяє</w:t>
      </w:r>
      <w:r>
        <w:rPr>
          <w:sz w:val="28"/>
          <w:szCs w:val="28"/>
        </w:rPr>
        <w:t xml:space="preserve"> </w:t>
      </w:r>
      <w:r>
        <w:rPr>
          <w:sz w:val="28"/>
          <w:szCs w:val="28"/>
          <w:lang w:eastAsia="uk-UA"/>
        </w:rPr>
        <w:t>забезпечити мобільність та оперативність доставки спецзасобу до об'єкта, а також проводити роботи на висоті де ускладнений доступ до об'єкта.</w:t>
      </w:r>
    </w:p>
    <w:p>
      <w:pPr>
        <w:pStyle w:val="Normal"/>
        <w:ind w:firstLine="567"/>
        <w:jc w:val="both"/>
        <w:rPr>
          <w:sz w:val="28"/>
          <w:szCs w:val="28"/>
        </w:rPr>
      </w:pPr>
      <w:r>
        <w:rPr>
          <w:sz w:val="28"/>
          <w:szCs w:val="28"/>
        </w:rPr>
      </w:r>
    </w:p>
    <w:p>
      <w:pPr>
        <w:pStyle w:val="Normal"/>
        <w:ind w:firstLine="567"/>
        <w:jc w:val="both"/>
        <w:rPr>
          <w:sz w:val="28"/>
          <w:szCs w:val="28"/>
        </w:rPr>
      </w:pPr>
      <w:r>
        <w:rPr>
          <w:sz w:val="28"/>
          <w:szCs w:val="28"/>
        </w:rPr>
        <w:t>Підприємством за 9 місяців 2022 р. сплачено податків та зборів до бюджетів усіх рівнів та цільових фондів на суму 2 386,8 тис. грн.</w:t>
      </w:r>
    </w:p>
    <w:p>
      <w:pPr>
        <w:pStyle w:val="Normal"/>
        <w:ind w:firstLine="567"/>
        <w:jc w:val="both"/>
        <w:rPr>
          <w:sz w:val="28"/>
          <w:szCs w:val="28"/>
        </w:rPr>
      </w:pPr>
      <w:r>
        <w:rPr>
          <w:sz w:val="28"/>
          <w:szCs w:val="28"/>
        </w:rPr>
        <w:t>Станом на 01.10.2022 дебіторська заборгованість КП «Луцьксвітло» за товари, роботи і послуги становила 681,8 тис. грн, заборгованість є поточною.</w:t>
      </w:r>
    </w:p>
    <w:p>
      <w:pPr>
        <w:pStyle w:val="Normal"/>
        <w:ind w:firstLine="567"/>
        <w:jc w:val="both"/>
        <w:rPr>
          <w:sz w:val="28"/>
          <w:szCs w:val="28"/>
        </w:rPr>
      </w:pPr>
      <w:r>
        <w:rPr>
          <w:sz w:val="28"/>
          <w:szCs w:val="28"/>
        </w:rPr>
        <w:t>Кредиторська заборгованість за звітний період склала:</w:t>
      </w:r>
    </w:p>
    <w:p>
      <w:pPr>
        <w:pStyle w:val="Normal"/>
        <w:ind w:firstLine="567"/>
        <w:jc w:val="both"/>
        <w:rPr>
          <w:sz w:val="28"/>
          <w:szCs w:val="28"/>
        </w:rPr>
      </w:pPr>
      <w:r>
        <w:rPr>
          <w:sz w:val="28"/>
          <w:szCs w:val="28"/>
        </w:rPr>
        <w:t>за товари, роботи, послуги – 2 140,7 тис. грн;</w:t>
      </w:r>
    </w:p>
    <w:p>
      <w:pPr>
        <w:pStyle w:val="Normal"/>
        <w:ind w:firstLine="567"/>
        <w:jc w:val="both"/>
        <w:rPr>
          <w:sz w:val="28"/>
          <w:szCs w:val="28"/>
        </w:rPr>
      </w:pPr>
      <w:r>
        <w:rPr>
          <w:sz w:val="28"/>
          <w:szCs w:val="28"/>
        </w:rPr>
        <w:t>за розрахунками з бюджетом – 7,0 тис. грн;</w:t>
      </w:r>
    </w:p>
    <w:p>
      <w:pPr>
        <w:pStyle w:val="Normal"/>
        <w:ind w:firstLine="567"/>
        <w:jc w:val="both"/>
        <w:rPr>
          <w:sz w:val="28"/>
          <w:szCs w:val="28"/>
        </w:rPr>
      </w:pPr>
      <w:r>
        <w:rPr>
          <w:sz w:val="28"/>
          <w:szCs w:val="28"/>
        </w:rPr>
        <w:t>з оплати праці – 227,0 тис. грн;</w:t>
      </w:r>
    </w:p>
    <w:p>
      <w:pPr>
        <w:pStyle w:val="Normal"/>
        <w:ind w:firstLine="567"/>
        <w:jc w:val="both"/>
        <w:rPr>
          <w:sz w:val="28"/>
          <w:szCs w:val="28"/>
        </w:rPr>
      </w:pPr>
      <w:r>
        <w:rPr>
          <w:sz w:val="28"/>
          <w:szCs w:val="28"/>
        </w:rPr>
        <w:t>по відрахуваннях до соціальних фондів – 365,0 тис. грн.</w:t>
      </w:r>
    </w:p>
    <w:p>
      <w:pPr>
        <w:pStyle w:val="Normal"/>
        <w:ind w:firstLine="567"/>
        <w:jc w:val="both"/>
        <w:rPr>
          <w:sz w:val="28"/>
          <w:szCs w:val="28"/>
        </w:rPr>
      </w:pPr>
      <w:r>
        <w:rPr>
          <w:sz w:val="28"/>
          <w:szCs w:val="28"/>
        </w:rPr>
        <w:t>Вся кредиторська заборгованість підприємства станом на 01.10.2022 є поточною. Простроченої дебіторської і кредиторської заборгованості КП «Луцьксвітло» не має.</w:t>
      </w:r>
    </w:p>
    <w:p>
      <w:pPr>
        <w:pStyle w:val="Normal"/>
        <w:ind w:firstLine="567"/>
        <w:jc w:val="both"/>
        <w:rPr>
          <w:sz w:val="28"/>
          <w:szCs w:val="28"/>
        </w:rPr>
      </w:pPr>
      <w:r>
        <w:rPr>
          <w:sz w:val="28"/>
          <w:szCs w:val="28"/>
        </w:rPr>
        <w:t>Середньооблікова чисельність штатних працівників</w:t>
      </w:r>
      <w:r>
        <w:rPr>
          <w:color w:val="auto"/>
          <w:sz w:val="28"/>
          <w:szCs w:val="28"/>
        </w:rPr>
        <w:t xml:space="preserve"> </w:t>
      </w:r>
      <w:r>
        <w:rPr>
          <w:color w:val="auto"/>
          <w:sz w:val="28"/>
          <w:szCs w:val="28"/>
        </w:rPr>
        <w:t>за 9 місяців 2022 року</w:t>
      </w:r>
      <w:r>
        <w:rPr>
          <w:sz w:val="28"/>
          <w:szCs w:val="28"/>
        </w:rPr>
        <w:t xml:space="preserve"> 44 (особи). Середньомісячна заробітна плата одного штатного працівника за 9 місяців 2022 року – 13 765,3 грн. Заборгованості з виплати заробітної плати, строк виплати якої минув, на підприємстві немає.</w:t>
      </w:r>
    </w:p>
    <w:p>
      <w:pPr>
        <w:pStyle w:val="Normal"/>
        <w:ind w:firstLine="567"/>
        <w:jc w:val="both"/>
        <w:rPr>
          <w:sz w:val="28"/>
          <w:szCs w:val="28"/>
        </w:rPr>
      </w:pPr>
      <w:r>
        <w:rPr>
          <w:sz w:val="28"/>
          <w:szCs w:val="28"/>
        </w:rPr>
        <w:t xml:space="preserve">Режим цілодобового чергування на підприємстві забезпечують 4 електромонтери, 4 водії та 4 оператори пульта керування. </w:t>
      </w:r>
    </w:p>
    <w:p>
      <w:pPr>
        <w:pStyle w:val="Normal"/>
        <w:jc w:val="center"/>
        <w:rPr>
          <w:sz w:val="28"/>
          <w:szCs w:val="28"/>
        </w:rPr>
      </w:pPr>
      <w:r>
        <w:rPr/>
      </w:r>
    </w:p>
    <w:p>
      <w:pPr>
        <w:pStyle w:val="Normal"/>
        <w:jc w:val="center"/>
        <w:rPr/>
      </w:pPr>
      <w:r>
        <w:rPr>
          <w:sz w:val="28"/>
          <w:szCs w:val="28"/>
        </w:rPr>
        <w:t xml:space="preserve">Перспективний план розвитку підприємства на 2023 рік </w:t>
      </w:r>
    </w:p>
    <w:p>
      <w:pPr>
        <w:pStyle w:val="Normal"/>
        <w:jc w:val="center"/>
        <w:rPr>
          <w:sz w:val="28"/>
          <w:szCs w:val="28"/>
        </w:rPr>
      </w:pPr>
      <w:r>
        <w:rPr>
          <w:sz w:val="28"/>
          <w:szCs w:val="28"/>
        </w:rPr>
      </w:r>
    </w:p>
    <w:p>
      <w:pPr>
        <w:pStyle w:val="Normal"/>
        <w:ind w:firstLine="567"/>
        <w:jc w:val="both"/>
        <w:rPr>
          <w:sz w:val="28"/>
          <w:szCs w:val="28"/>
        </w:rPr>
      </w:pPr>
      <w:r>
        <w:rPr>
          <w:sz w:val="28"/>
          <w:szCs w:val="28"/>
        </w:rPr>
        <w:t>1. Для забезпечення безперебійної та якісної роботи мереж зовнішнього освітлення планується підвищення експлуатаційних якостей мереж вуличного освітлення, а саме: заміна неізольованого проводу на ізольований на повітряних лініях мереж зовнішнього освітлення</w:t>
      </w:r>
      <w:r>
        <w:rPr>
          <w:sz w:val="28"/>
          <w:szCs w:val="28"/>
          <w:lang w:val="en-US"/>
        </w:rPr>
        <w:t xml:space="preserve">; </w:t>
      </w:r>
      <w:r>
        <w:rPr>
          <w:sz w:val="28"/>
          <w:szCs w:val="28"/>
        </w:rPr>
        <w:t>заміна ламп у світильниках; фарбування металевих опор та кронштейнів; ремонт шаф управління; заміна кабельних коробок; модернізація морально та фізично застарілого обладнання.</w:t>
      </w:r>
    </w:p>
    <w:p>
      <w:pPr>
        <w:pStyle w:val="Normal"/>
        <w:ind w:firstLine="567"/>
        <w:jc w:val="both"/>
        <w:rPr>
          <w:sz w:val="28"/>
          <w:szCs w:val="28"/>
        </w:rPr>
      </w:pPr>
      <w:r>
        <w:rPr>
          <w:sz w:val="28"/>
          <w:szCs w:val="28"/>
        </w:rPr>
        <w:t>2. Забезпечення безперебійного живлення світлофор</w:t>
      </w:r>
      <w:r>
        <w:rPr>
          <w:sz w:val="28"/>
          <w:szCs w:val="28"/>
          <w:lang w:val="en-US"/>
        </w:rPr>
        <w:t>ів</w:t>
      </w:r>
      <w:r>
        <w:rPr>
          <w:sz w:val="28"/>
          <w:szCs w:val="28"/>
        </w:rPr>
        <w:t>.</w:t>
      </w:r>
    </w:p>
    <w:p>
      <w:pPr>
        <w:pStyle w:val="Normal"/>
        <w:ind w:firstLine="567"/>
        <w:jc w:val="both"/>
        <w:rPr>
          <w:sz w:val="28"/>
          <w:szCs w:val="28"/>
        </w:rPr>
      </w:pPr>
      <w:r>
        <w:rPr>
          <w:sz w:val="28"/>
          <w:szCs w:val="28"/>
        </w:rPr>
        <w:t>3. Зі створенням Луцької міської територіальної громади збільшилась зона обслуговування, тому для зменшення кількості об’їздів та витрат на паливно-мастильні матеріали, планується встановлення приладів дистанційного контролю за станом мережі освітлення. Збільшення шаф керування зовнішнім освітленням, обладнаних терміналами системи управління та контролю об’єктами міського освітлення, дасть змогу раціональніше та ефективніше розподілити навантаження та мінімізувати споживання електричної енергії системою зовнішнього освітлення в денний період часу.</w:t>
      </w:r>
    </w:p>
    <w:p>
      <w:pPr>
        <w:pStyle w:val="Normal"/>
        <w:ind w:firstLine="567"/>
        <w:jc w:val="both"/>
        <w:rPr>
          <w:sz w:val="28"/>
          <w:szCs w:val="28"/>
        </w:rPr>
      </w:pPr>
      <w:r>
        <w:rPr>
          <w:sz w:val="28"/>
          <w:szCs w:val="28"/>
        </w:rPr>
        <w:t xml:space="preserve">4. Впровадження системи автоматизованого комерційного обліку електроенергії (АСКОЕ). Дистанційне зняття показників лічильників, контроль за роботою обладнання, що сприятиме економії коштів на паливно-мастильні матеріали та затрат часу на огляди обладнання. Включення лічильників електроенергії в систему АСКОЕ сприятиме економії витрат за спожиту електричну енергію для зовнішнього освітлення. </w:t>
      </w:r>
    </w:p>
    <w:p>
      <w:pPr>
        <w:pStyle w:val="Normal"/>
        <w:ind w:firstLine="567"/>
        <w:jc w:val="both"/>
        <w:rPr>
          <w:sz w:val="28"/>
          <w:szCs w:val="28"/>
        </w:rPr>
      </w:pPr>
      <w:r>
        <w:rPr>
          <w:sz w:val="28"/>
          <w:szCs w:val="28"/>
        </w:rPr>
        <w:t>5. Реконструкція, будівництво об'єктів зовнішнього освітлення для забезпечення максимального освітлення житлових районів, парків та інших територій міської територіальної громади.</w:t>
      </w:r>
    </w:p>
    <w:p>
      <w:pPr>
        <w:pStyle w:val="Style28"/>
        <w:spacing w:lineRule="auto" w:line="240"/>
        <w:ind w:left="0" w:hanging="0"/>
        <w:jc w:val="both"/>
        <w:rPr>
          <w:sz w:val="28"/>
          <w:szCs w:val="28"/>
        </w:rPr>
      </w:pPr>
      <w:r>
        <w:rPr>
          <w:sz w:val="28"/>
          <w:szCs w:val="28"/>
        </w:rPr>
      </w:r>
    </w:p>
    <w:p>
      <w:pPr>
        <w:pStyle w:val="Style28"/>
        <w:spacing w:lineRule="auto" w:line="240"/>
        <w:ind w:left="0" w:hanging="0"/>
        <w:jc w:val="both"/>
        <w:rPr>
          <w:sz w:val="28"/>
          <w:szCs w:val="28"/>
        </w:rPr>
      </w:pPr>
      <w:r>
        <w:rPr>
          <w:sz w:val="28"/>
          <w:szCs w:val="28"/>
        </w:rPr>
      </w:r>
    </w:p>
    <w:p>
      <w:pPr>
        <w:pStyle w:val="Normal"/>
        <w:rPr>
          <w:sz w:val="28"/>
          <w:szCs w:val="28"/>
        </w:rPr>
      </w:pPr>
      <w:r>
        <w:rPr>
          <w:sz w:val="28"/>
          <w:szCs w:val="28"/>
        </w:rPr>
        <w:t xml:space="preserve">Директор КП «Луцьке електротехнічне </w:t>
      </w:r>
    </w:p>
    <w:p>
      <w:pPr>
        <w:pStyle w:val="Normal"/>
        <w:rPr/>
      </w:pPr>
      <w:r>
        <w:rPr>
          <w:sz w:val="28"/>
          <w:szCs w:val="28"/>
        </w:rPr>
        <w:t>підприємство – Луцьксвітло</w:t>
      </w:r>
      <w:r>
        <w:rPr>
          <w:sz w:val="28"/>
          <w:szCs w:val="28"/>
          <w:lang w:eastAsia="uk-UA"/>
        </w:rPr>
        <w:t>»</w:t>
        <w:tab/>
        <w:tab/>
        <w:tab/>
        <w:tab/>
        <w:tab/>
        <w:tab/>
        <w:t xml:space="preserve">   Валерій МАЗІН</w:t>
      </w:r>
    </w:p>
    <w:sectPr>
      <w:headerReference w:type="default" r:id="rId2"/>
      <w:type w:val="nextPage"/>
      <w:pgSz w:w="11906" w:h="16838"/>
      <w:pgMar w:left="1985" w:right="567" w:gutter="0" w:header="709" w:top="851" w:footer="0"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Verdana">
    <w:charset w:val="cc"/>
    <w:family w:val="roman"/>
    <w:pitch w:val="variable"/>
  </w:font>
  <w:font w:name="Calibri">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414472724"/>
    </w:sdtPr>
    <w:sdtContent>
      <w:p>
        <w:pPr>
          <w:pStyle w:val="Style26"/>
          <w:jc w:val="center"/>
          <w:rPr/>
        </w:pPr>
        <w:r>
          <w:rPr/>
          <w:fldChar w:fldCharType="begin"/>
        </w:r>
        <w:r>
          <w:rPr/>
          <w:instrText> PAGE </w:instrText>
        </w:r>
        <w:r>
          <w:rPr/>
          <w:fldChar w:fldCharType="separate"/>
        </w:r>
        <w:r>
          <w:rPr/>
          <w:t>4</w:t>
        </w:r>
        <w:r>
          <w:rPr/>
          <w:fldChar w:fldCharType="end"/>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pStyle w:val="4"/>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bidi="ar-SA" w:val="uk-UA" w:eastAsia="zh-CN"/>
    </w:rPr>
  </w:style>
  <w:style w:type="paragraph" w:styleId="4">
    <w:name w:val="Heading 4"/>
    <w:basedOn w:val="Style18"/>
    <w:next w:val="Style19"/>
    <w:qFormat/>
    <w:pPr>
      <w:numPr>
        <w:ilvl w:val="3"/>
        <w:numId w:val="1"/>
      </w:numPr>
      <w:spacing w:before="120" w:after="120"/>
      <w:outlineLvl w:val="3"/>
    </w:pPr>
    <w:rPr>
      <w:b/>
      <w:bCs/>
      <w:i/>
      <w:iCs/>
      <w:sz w:val="27"/>
      <w:szCs w:val="27"/>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Times New Roman" w:hAnsi="Times New Roman" w:cs="Times New Roman"/>
      <w:sz w:val="28"/>
      <w:szCs w:val="28"/>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2z3" w:customStyle="1">
    <w:name w:val="WW8Num2z3"/>
    <w:qFormat/>
    <w:rPr>
      <w:rFonts w:ascii="Symbol" w:hAnsi="Symbol" w:cs="Symbol"/>
    </w:rPr>
  </w:style>
  <w:style w:type="character" w:styleId="WW8Num3z0" w:customStyle="1">
    <w:name w:val="WW8Num3z0"/>
    <w:qFormat/>
    <w:rPr>
      <w:rFonts w:ascii="Times New Roman" w:hAnsi="Times New Roman" w:eastAsia="Times New Roman" w:cs="Times New Roman"/>
      <w:sz w:val="28"/>
      <w:szCs w:val="28"/>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0" w:customStyle="1">
    <w:name w:val="WW8Num4z0"/>
    <w:qFormat/>
    <w:rPr>
      <w:rFonts w:ascii="Times New Roman" w:hAnsi="Times New Roman" w:eastAsia="Times New Roman" w:cs="Times New Roman"/>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Style13" w:customStyle="1">
    <w:name w:val="Основной шрифт абзаца"/>
    <w:qFormat/>
    <w:rPr/>
  </w:style>
  <w:style w:type="character" w:styleId="FontStyle11" w:customStyle="1">
    <w:name w:val="Font Style11"/>
    <w:qFormat/>
    <w:rPr>
      <w:rFonts w:ascii="Times New Roman" w:hAnsi="Times New Roman" w:cs="Times New Roman"/>
      <w:sz w:val="26"/>
      <w:szCs w:val="26"/>
    </w:rPr>
  </w:style>
  <w:style w:type="character" w:styleId="FontStyle12" w:customStyle="1">
    <w:name w:val="Font Style12"/>
    <w:qFormat/>
    <w:rPr>
      <w:rFonts w:ascii="Times New Roman" w:hAnsi="Times New Roman" w:cs="Times New Roman"/>
      <w:b/>
      <w:bCs/>
      <w:sz w:val="26"/>
      <w:szCs w:val="26"/>
    </w:rPr>
  </w:style>
  <w:style w:type="character" w:styleId="Style14" w:customStyle="1">
    <w:name w:val="Верхний колонтитул Знак"/>
    <w:qFormat/>
    <w:rPr>
      <w:sz w:val="24"/>
      <w:szCs w:val="24"/>
      <w:lang w:val="uk-UA"/>
    </w:rPr>
  </w:style>
  <w:style w:type="character" w:styleId="Style15" w:customStyle="1">
    <w:name w:val="Нижний колонтитул Знак"/>
    <w:qFormat/>
    <w:rPr>
      <w:sz w:val="24"/>
      <w:szCs w:val="24"/>
      <w:lang w:val="uk-UA"/>
    </w:rPr>
  </w:style>
  <w:style w:type="character" w:styleId="Style16" w:customStyle="1">
    <w:name w:val="Текст Знак"/>
    <w:qFormat/>
    <w:rPr>
      <w:rFonts w:ascii="Courier New" w:hAnsi="Courier New" w:cs="Courier New"/>
    </w:rPr>
  </w:style>
  <w:style w:type="character" w:styleId="Style17" w:customStyle="1">
    <w:name w:val="Верхній колонтитул Знак"/>
    <w:basedOn w:val="DefaultParagraphFont"/>
    <w:link w:val="ae"/>
    <w:uiPriority w:val="99"/>
    <w:qFormat/>
    <w:rsid w:val="00c917a8"/>
    <w:rPr>
      <w:rFonts w:ascii="Times New Roman" w:hAnsi="Times New Roman" w:eastAsia="Times New Roman" w:cs="Times New Roman"/>
      <w:lang w:bidi="ar-SA"/>
    </w:rPr>
  </w:style>
  <w:style w:type="paragraph" w:styleId="Style18" w:customStyle="1">
    <w:name w:val="Заголовок"/>
    <w:basedOn w:val="Normal"/>
    <w:next w:val="Style19"/>
    <w:qFormat/>
    <w:pPr>
      <w:keepNext w:val="true"/>
      <w:spacing w:before="240" w:after="120"/>
    </w:pPr>
    <w:rPr>
      <w:rFonts w:ascii="Liberation Sans;Arial" w:hAnsi="Liberation Sans;Arial"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Style23" w:customStyle="1">
    <w:name w:val="Style2"/>
    <w:basedOn w:val="Normal"/>
    <w:qFormat/>
    <w:pPr>
      <w:widowControl w:val="false"/>
      <w:spacing w:lineRule="exact" w:line="322"/>
      <w:ind w:firstLine="686"/>
    </w:pPr>
    <w:rPr>
      <w:lang w:val="ru-RU"/>
    </w:rPr>
  </w:style>
  <w:style w:type="paragraph" w:styleId="Style31" w:customStyle="1">
    <w:name w:val="Style3"/>
    <w:basedOn w:val="Normal"/>
    <w:qFormat/>
    <w:pPr>
      <w:widowControl w:val="false"/>
    </w:pPr>
    <w:rPr>
      <w:lang w:val="ru-RU"/>
    </w:rPr>
  </w:style>
  <w:style w:type="paragraph" w:styleId="Style41" w:customStyle="1">
    <w:name w:val="Style4"/>
    <w:basedOn w:val="Normal"/>
    <w:qFormat/>
    <w:pPr>
      <w:widowControl w:val="false"/>
      <w:spacing w:lineRule="exact" w:line="322"/>
      <w:jc w:val="both"/>
    </w:pPr>
    <w:rPr>
      <w:lang w:val="ru-RU"/>
    </w:rPr>
  </w:style>
  <w:style w:type="paragraph" w:styleId="Style51" w:customStyle="1">
    <w:name w:val="Style5"/>
    <w:basedOn w:val="Normal"/>
    <w:qFormat/>
    <w:pPr>
      <w:widowControl w:val="false"/>
    </w:pPr>
    <w:rPr>
      <w:lang w:val="ru-RU"/>
    </w:rPr>
  </w:style>
  <w:style w:type="paragraph" w:styleId="Style61" w:customStyle="1">
    <w:name w:val="Style6"/>
    <w:basedOn w:val="Normal"/>
    <w:qFormat/>
    <w:pPr>
      <w:widowControl w:val="false"/>
      <w:spacing w:lineRule="exact" w:line="319"/>
      <w:ind w:firstLine="691"/>
      <w:jc w:val="both"/>
    </w:pPr>
    <w:rPr>
      <w:lang w:val="ru-RU"/>
    </w:rPr>
  </w:style>
  <w:style w:type="paragraph" w:styleId="Style71" w:customStyle="1">
    <w:name w:val="Style7"/>
    <w:basedOn w:val="Normal"/>
    <w:qFormat/>
    <w:pPr>
      <w:widowControl w:val="false"/>
    </w:pPr>
    <w:rPr>
      <w:lang w:val="ru-RU"/>
    </w:rPr>
  </w:style>
  <w:style w:type="paragraph" w:styleId="Style24" w:customStyle="1">
    <w:name w:val="Знак Знак"/>
    <w:basedOn w:val="Normal"/>
    <w:qFormat/>
    <w:pPr/>
    <w:rPr>
      <w:rFonts w:ascii="Verdana" w:hAnsi="Verdana" w:cs="Verdana"/>
      <w:sz w:val="20"/>
      <w:szCs w:val="20"/>
      <w:lang w:val="en-US"/>
    </w:rPr>
  </w:style>
  <w:style w:type="paragraph" w:styleId="Style25"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6">
    <w:name w:val="Header"/>
    <w:basedOn w:val="Normal"/>
    <w:link w:val="af"/>
    <w:uiPriority w:val="99"/>
    <w:pPr>
      <w:tabs>
        <w:tab w:val="clear" w:pos="708"/>
        <w:tab w:val="center" w:pos="4677" w:leader="none"/>
        <w:tab w:val="right" w:pos="9355" w:leader="none"/>
      </w:tabs>
    </w:pPr>
    <w:rPr/>
  </w:style>
  <w:style w:type="paragraph" w:styleId="Style27">
    <w:name w:val="Footer"/>
    <w:basedOn w:val="Normal"/>
    <w:pPr>
      <w:tabs>
        <w:tab w:val="clear" w:pos="708"/>
        <w:tab w:val="center" w:pos="4677" w:leader="none"/>
        <w:tab w:val="right" w:pos="9355" w:leader="none"/>
      </w:tabs>
    </w:pPr>
    <w:rPr/>
  </w:style>
  <w:style w:type="paragraph" w:styleId="Style28" w:customStyle="1">
    <w:name w:val="Абзац списка"/>
    <w:basedOn w:val="Normal"/>
    <w:qFormat/>
    <w:pPr>
      <w:spacing w:lineRule="auto" w:line="276" w:before="0" w:after="200"/>
      <w:ind w:left="720" w:hanging="0"/>
      <w:contextualSpacing/>
    </w:pPr>
    <w:rPr>
      <w:rFonts w:ascii="Calibri" w:hAnsi="Calibri" w:eastAsia="Calibri" w:cs="Calibri"/>
      <w:sz w:val="22"/>
      <w:szCs w:val="22"/>
      <w:lang w:val="ru-RU"/>
    </w:rPr>
  </w:style>
  <w:style w:type="paragraph" w:styleId="PlainText">
    <w:name w:val="Plain Text"/>
    <w:basedOn w:val="Normal"/>
    <w:qFormat/>
    <w:pPr/>
    <w:rPr>
      <w:rFonts w:ascii="Courier New" w:hAnsi="Courier New" w:cs="Courier New"/>
      <w:sz w:val="20"/>
      <w:szCs w:val="20"/>
    </w:rPr>
  </w:style>
  <w:style w:type="paragraph" w:styleId="Style29" w:customStyle="1">
    <w:name w:val="Вміст таблиці"/>
    <w:basedOn w:val="Normal"/>
    <w:qFormat/>
    <w:pPr>
      <w:widowControl w:val="false"/>
      <w:suppressLineNumbers/>
    </w:pPr>
    <w:rPr/>
  </w:style>
  <w:style w:type="paragraph" w:styleId="Style30" w:customStyle="1">
    <w:name w:val="Заголовок таблиці"/>
    <w:basedOn w:val="Style29"/>
    <w:qFormat/>
    <w:pPr>
      <w:jc w:val="center"/>
    </w:pPr>
    <w:rPr>
      <w:b/>
      <w:bCs/>
    </w:rPr>
  </w:style>
  <w:style w:type="paragraph" w:styleId="1" w:customStyle="1">
    <w:name w:val="Абзац списка1"/>
    <w:basedOn w:val="Normal"/>
    <w:qFormat/>
    <w:pPr>
      <w:spacing w:lineRule="auto" w:line="276" w:before="0" w:after="200"/>
      <w:ind w:left="720" w:hanging="0"/>
      <w:contextualSpacing/>
    </w:pPr>
    <w:rPr>
      <w:rFonts w:ascii="Calibri" w:hAnsi="Calibri" w:cs="Calibri"/>
      <w:sz w:val="22"/>
      <w:szCs w:val="22"/>
      <w:lang w:val="ru-RU"/>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Application>LibreOffice/7.2.3.2$Windows_X86_64 LibreOffice_project/d166454616c1632304285822f9c83ce2e660fd92</Application>
  <AppVersion>15.0000</AppVersion>
  <Pages>6</Pages>
  <Words>1660</Words>
  <Characters>10843</Characters>
  <CharactersWithSpaces>12372</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2022-11-17T14:53:00Z</dcterms:created>
  <dc:creator>Admin</dc:creator>
  <dc:description/>
  <dc:language>uk-UA</dc:language>
  <cp:lastModifiedBy/>
  <cp:lastPrinted>2021-11-26T09:13:00Z</cp:lastPrinted>
  <dcterms:modified xsi:type="dcterms:W3CDTF">2022-11-30T12:59:28Z</dcterms:modified>
  <cp:revision>23</cp:revision>
  <dc:subject/>
  <dc:title>ЗВІТ</dc:title>
</cp:coreProperties>
</file>

<file path=docProps/custom.xml><?xml version="1.0" encoding="utf-8"?>
<Properties xmlns="http://schemas.openxmlformats.org/officeDocument/2006/custom-properties" xmlns:vt="http://schemas.openxmlformats.org/officeDocument/2006/docPropsVTypes"/>
</file>