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546537282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0"/>
          <w:szCs w:val="17"/>
          <w:lang w:val="uk-UA"/>
        </w:rPr>
      </w:pPr>
      <w:r>
        <w:rPr>
          <w:b/>
          <w:bCs/>
          <w:sz w:val="20"/>
          <w:szCs w:val="17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0"/>
          <w:szCs w:val="20"/>
        </w:rPr>
      </w:pPr>
      <w:r>
        <w:rPr>
          <w:sz w:val="20"/>
          <w:szCs w:val="20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 xml:space="preserve">Про надання </w:t>
      </w:r>
      <w:r>
        <w:rPr>
          <w:rFonts w:cs="Times New Roman"/>
          <w:sz w:val="28"/>
          <w:szCs w:val="28"/>
          <w:lang w:val="uk-UA" w:eastAsia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 xml:space="preserve">Сад О.А на умовах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оренди  земельної  ділянки</w:t>
      </w:r>
      <w:r>
        <w:rPr>
          <w:rFonts w:eastAsia="Times New Roman" w:cs="Times New Roman"/>
          <w:b/>
          <w:bCs/>
          <w:color w:val="auto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для  розміщення</w:t>
      </w:r>
    </w:p>
    <w:p>
      <w:pPr>
        <w:pStyle w:val="Normal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та  експлуатації будівель  і споруд  додаткових</w:t>
      </w:r>
    </w:p>
    <w:p>
      <w:pPr>
        <w:pStyle w:val="Normal"/>
        <w:rPr>
          <w:spacing w:val="-12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транспортних  послуг та допоміжних операцій</w:t>
      </w:r>
      <w:r>
        <w:rPr>
          <w:rFonts w:cs="Times New Roman"/>
          <w:spacing w:val="-12"/>
          <w:sz w:val="28"/>
          <w:szCs w:val="28"/>
          <w:lang w:val="uk-UA"/>
        </w:rPr>
        <w:t xml:space="preserve"> </w:t>
      </w:r>
    </w:p>
    <w:p>
      <w:pPr>
        <w:pStyle w:val="Normal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/>
        </w:rPr>
        <w:t>(12.08)  на  вул. 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ar-SA" w:bidi="ar-SA"/>
        </w:rPr>
        <w:t xml:space="preserve">Данила  Галицького,  61-ч  у 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Жидичин   Луцького   району  Волинської</w:t>
      </w:r>
    </w:p>
    <w:p>
      <w:pPr>
        <w:pStyle w:val="Normal"/>
        <w:rPr>
          <w:spacing w:val="0"/>
        </w:rPr>
      </w:pP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області</w:t>
      </w:r>
    </w:p>
    <w:p>
      <w:pPr>
        <w:pStyle w:val="Normal"/>
        <w:widowControl w:val="false"/>
        <w:rPr>
          <w:rFonts w:ascii="Times New Roman" w:hAnsi="Times New Roman" w:cs="Times New Roman"/>
          <w:sz w:val="20"/>
          <w:szCs w:val="17"/>
          <w:lang w:val="uk-UA"/>
        </w:rPr>
      </w:pPr>
      <w:r>
        <w:rPr>
          <w:rFonts w:cs="Times New Roman"/>
          <w:sz w:val="20"/>
          <w:szCs w:val="17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0"/>
          <w:sz w:val="28"/>
          <w:szCs w:val="28"/>
        </w:rPr>
      </w:pPr>
      <w:r>
        <w:rPr>
          <w:rFonts w:cs="Times New Roman"/>
          <w:spacing w:val="0"/>
          <w:sz w:val="28"/>
          <w:szCs w:val="28"/>
          <w:lang w:val="uk-UA"/>
        </w:rPr>
        <w:t>Розглянувши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клопотання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bCs/>
          <w:spacing w:val="0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0"/>
          <w:sz w:val="28"/>
          <w:szCs w:val="28"/>
          <w:lang w:val="uk-UA"/>
        </w:rPr>
        <w:t>нки</w:t>
      </w:r>
      <w:r>
        <w:rPr>
          <w:rFonts w:cs="Times New Roman"/>
          <w:bCs/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Сад</w:t>
      </w:r>
      <w:r>
        <w:rPr>
          <w:rFonts w:eastAsia="Times New Roman" w:cs="Times New Roman"/>
          <w:bCs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Олени</w:t>
      </w:r>
      <w:r>
        <w:rPr>
          <w:rFonts w:eastAsia="Times New Roman" w:cs="Times New Roman"/>
          <w:bCs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Анатоліївни</w:t>
      </w:r>
      <w:r>
        <w:rPr>
          <w:rFonts w:cs="Times New Roman"/>
          <w:bCs/>
          <w:color w:val="000000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Данила Галицького, 61-ч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 xml:space="preserve"> у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Жидичин</w:t>
      </w:r>
      <w:r>
        <w:rPr>
          <w:rFonts w:cs="Times New Roman"/>
          <w:b/>
          <w:bCs/>
          <w:color w:val="000000"/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району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області</w:t>
      </w:r>
      <w:r>
        <w:rPr>
          <w:rFonts w:eastAsia="Times New Roman" w:cs="Times New Roman"/>
          <w:b w:val="false"/>
          <w:bCs w:val="false"/>
          <w:color w:val="000000"/>
          <w:spacing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b w:val="false"/>
          <w:bCs w:val="false"/>
          <w:color w:val="000000"/>
          <w:spacing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розміщення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та експлуатації будівель і споруд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додаткових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транспортних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послуг та допоміжних операцій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12.08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zh-CN" w:bidi="ar-SA"/>
        </w:rPr>
        <w:t>)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24.10.2022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№ НВ  - 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00001146242022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,</w:t>
      </w:r>
      <w:r>
        <w:rPr>
          <w:rFonts w:cs="Times New Roman"/>
          <w:b w:val="false"/>
          <w:bCs w:val="false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інформацію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з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Державного реєстру речових прав на нерухоме майно,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відповідно до якої право власності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Луцької міської територіальної громади</w:t>
      </w:r>
      <w:r>
        <w:rPr>
          <w:rFonts w:cs="Times New Roman"/>
          <w:spacing w:val="0"/>
          <w:sz w:val="28"/>
          <w:szCs w:val="28"/>
          <w:lang w:val="uk-UA"/>
        </w:rPr>
        <w:t>, від імені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якої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діє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Луцька міська рада, на земельну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ділянку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площею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0,3441 </w:t>
      </w:r>
      <w:r>
        <w:rPr>
          <w:rFonts w:cs="Times New Roman"/>
          <w:spacing w:val="0"/>
          <w:sz w:val="28"/>
          <w:szCs w:val="28"/>
          <w:lang w:val="uk-UA"/>
        </w:rPr>
        <w:t>га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зареєстровано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у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Державному реєстрі речових прав на нерухоме майно від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01.10.2021</w:t>
      </w:r>
      <w:r>
        <w:rPr>
          <w:rFonts w:cs="Times New Roman"/>
          <w:spacing w:val="0"/>
          <w:sz w:val="28"/>
          <w:szCs w:val="28"/>
          <w:lang w:val="uk-UA"/>
        </w:rPr>
        <w:t>,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номер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запису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про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право власності: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44312716</w:t>
      </w:r>
      <w:r>
        <w:rPr>
          <w:rFonts w:cs="Times New Roman"/>
          <w:spacing w:val="0"/>
          <w:sz w:val="28"/>
          <w:szCs w:val="28"/>
          <w:lang w:val="uk-UA"/>
        </w:rPr>
        <w:t>,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документи,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що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посвідчують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право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власності</w:t>
      </w:r>
      <w:r>
        <w:rPr>
          <w:rFonts w:cs="Times New Roman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bCs/>
          <w:spacing w:val="0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нки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Сад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Олени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Анатоліївни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об’єкти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нерухомого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майна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16"/>
          <w:szCs w:val="1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на вул. Данила Галицького, 61-ч у с. Жидичин Луцького району Волинської області: договір купівлі-продажу приміщення від 29.06.2021 за № 391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відповідно до якого право власності на приміщення транспортерної № 1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зареєстровано 09.06.2021,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номер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запису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право власності/довірчої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власності: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42403209,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технічний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паспорт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на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об’єкт нерухомого майна (приміщення транспортерної № 1) від 29.06.2022, керуючись статтями 12, 79-1, 93, 96, 122, 123-126, пунктом 2 статті 134 Земельного кодексу України, статтями 4-6, 16, 19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sz w:val="28"/>
          <w:szCs w:val="28"/>
          <w:u w:val="none"/>
          <w:em w:val="none"/>
          <w:lang w:val="uk-UA" w:eastAsia="zh-CN" w:bidi="ar-SA"/>
        </w:rPr>
        <w:t xml:space="preserve">Закону України «Про оренду землі», статтею 4, 6 Закону України «Про державну реєстрацію речових прав на нерухоме майно та їх обтяжень»,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0"/>
          <w:sz w:val="28"/>
          <w:szCs w:val="28"/>
          <w:u w:val="none"/>
          <w:em w:val="none"/>
          <w:lang w:val="uk-UA" w:eastAsia="zh-CN" w:bidi="ar-SA"/>
        </w:rPr>
        <w:t xml:space="preserve">Прикінцевими та перехідними положеннями Закону України «Про внесення змін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до деяких законодавчих актів України щодо розмежування земель державної та комунальної власності», пунктами 66-67, 75, 101-102 постанови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Міністрів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17.10.2012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№ 1051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«Про 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Порядку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ведення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Державного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земельного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кадастру, розпорядженням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Кабінету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Міністрів України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від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12.06.2020 № 708-р «Про визначення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адміністративних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центрів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та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затвердження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16"/>
          <w:szCs w:val="16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рішенням Луцької міської ради від 23.06.2021 № 13/67 «Про встановлення ставок земельного податку», витягом з протоколу засідання постійної комісії з питань земельних відносин та земельного кадастру від 15.09.2021 № 18, статтями 26, 59 та пунктом 6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розділу 5 Прикінцевих та перехідних положень Закону України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, 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17"/>
        </w:rPr>
      </w:pPr>
      <w:r>
        <w:rPr>
          <w:rFonts w:cs="Times New Roman"/>
          <w:sz w:val="20"/>
          <w:szCs w:val="17"/>
        </w:rPr>
      </w:r>
    </w:p>
    <w:p>
      <w:pPr>
        <w:pStyle w:val="Normal"/>
        <w:widowControl w:val="false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17"/>
          <w:lang w:val="uk-UA"/>
        </w:rPr>
      </w:pPr>
      <w:r>
        <w:rPr>
          <w:rFonts w:cs="Times New Roman"/>
          <w:sz w:val="20"/>
          <w:szCs w:val="17"/>
          <w:lang w:val="uk-UA"/>
        </w:rPr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spacing w:val="0"/>
          <w:sz w:val="28"/>
          <w:szCs w:val="28"/>
          <w:lang w:val="uk-UA"/>
        </w:rPr>
        <w:t xml:space="preserve">1. Надати </w:t>
      </w:r>
      <w:r>
        <w:rPr>
          <w:rFonts w:cs="Times New Roman"/>
          <w:bCs/>
          <w:spacing w:val="0"/>
          <w:sz w:val="28"/>
          <w:szCs w:val="28"/>
          <w:lang w:val="uk-UA" w:eastAsia="ar-SA"/>
        </w:rPr>
        <w:t>громадя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нці </w:t>
      </w:r>
      <w:r>
        <w:rPr>
          <w:rFonts w:eastAsia="Times New Roman" w:cs="Times New Roman"/>
          <w:bCs/>
          <w:color w:val="000000"/>
          <w:spacing w:val="0"/>
          <w:kern w:val="0"/>
          <w:sz w:val="28"/>
          <w:szCs w:val="28"/>
          <w:lang w:val="uk-UA" w:eastAsia="zh-CN" w:bidi="ar-SA"/>
        </w:rPr>
        <w:t>Сад Олені Анатоліївні</w:t>
      </w:r>
      <w:r>
        <w:rPr>
          <w:rFonts w:cs="Times New Roman"/>
          <w:bCs/>
          <w:spacing w:val="0"/>
          <w:sz w:val="28"/>
          <w:szCs w:val="28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color w:val="000000"/>
          <w:spacing w:val="0"/>
          <w:sz w:val="28"/>
          <w:szCs w:val="28"/>
          <w:lang w:val="uk-UA" w:eastAsia="ar-SA"/>
        </w:rPr>
        <w:t>вул. 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lang w:val="uk-UA" w:eastAsia="ar-SA" w:bidi="ar-SA"/>
        </w:rPr>
        <w:t>Данила Галицького, 61-ч</w:t>
      </w:r>
      <w:r>
        <w:rPr>
          <w:rFonts w:cs="Times New Roman"/>
          <w:b w:val="false"/>
          <w:bCs w:val="false"/>
          <w:color w:val="000000"/>
          <w:spacing w:val="0"/>
          <w:sz w:val="16"/>
          <w:szCs w:val="16"/>
          <w:lang w:val="uk-UA"/>
        </w:rPr>
        <w:t xml:space="preserve"> 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у</w:t>
      </w:r>
      <w:r>
        <w:rPr>
          <w:rFonts w:cs="Times New Roman"/>
          <w:b w:val="false"/>
          <w:bCs w:val="false"/>
          <w:color w:val="000000"/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с</w:t>
      </w:r>
      <w:r>
        <w:rPr>
          <w:rFonts w:cs="Times New Roman"/>
          <w:b w:val="false"/>
          <w:bCs w:val="false"/>
          <w:color w:val="000000"/>
          <w:spacing w:val="0"/>
          <w:sz w:val="28"/>
          <w:szCs w:val="28"/>
          <w:lang w:val="uk-U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Жидичин</w:t>
      </w:r>
      <w:r>
        <w:rPr>
          <w:rFonts w:cs="Times New Roman"/>
          <w:b/>
          <w:bCs/>
          <w:color w:val="000000"/>
          <w:spacing w:val="0"/>
          <w:sz w:val="16"/>
          <w:szCs w:val="1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0"/>
          <w:kern w:val="0"/>
          <w:sz w:val="28"/>
          <w:szCs w:val="28"/>
          <w:lang w:val="uk-UA" w:eastAsia="zh-CN" w:bidi="ar-SA"/>
        </w:rPr>
        <w:t>Луцького району Волинської області</w:t>
      </w:r>
      <w:r>
        <w:rPr>
          <w:rFonts w:cs="Times New Roman"/>
          <w:spacing w:val="0"/>
          <w:sz w:val="28"/>
          <w:szCs w:val="28"/>
          <w:lang w:val="uk-UA"/>
        </w:rPr>
        <w:t xml:space="preserve"> на умовах оренди строком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 xml:space="preserve">строком на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5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 xml:space="preserve"> років з дати укладення договору</w:t>
      </w:r>
      <w:r>
        <w:rPr>
          <w:rFonts w:eastAsia="Times New Roman" w:cs="Times New Roman"/>
          <w:color w:val="auto"/>
          <w:spacing w:val="2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оренди</w:t>
      </w:r>
      <w:r>
        <w:rPr>
          <w:rFonts w:eastAsia="Times New Roman" w:cs="Times New Roman"/>
          <w:color w:val="auto"/>
          <w:spacing w:val="2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землі</w:t>
      </w:r>
      <w:r>
        <w:rPr>
          <w:rFonts w:cs="Times New Roman"/>
          <w:spacing w:val="2"/>
          <w:sz w:val="28"/>
          <w:szCs w:val="28"/>
          <w:lang w:val="uk-UA"/>
        </w:rPr>
        <w:t>,</w:t>
      </w:r>
      <w:r>
        <w:rPr>
          <w:rFonts w:cs="Times New Roman"/>
          <w:spacing w:val="2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площею</w:t>
      </w:r>
      <w:r>
        <w:rPr>
          <w:rFonts w:cs="Times New Roman"/>
          <w:spacing w:val="0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0,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3441 </w:t>
      </w:r>
      <w:r>
        <w:rPr>
          <w:rFonts w:cs="Times New Roman"/>
          <w:spacing w:val="0"/>
          <w:sz w:val="28"/>
          <w:szCs w:val="28"/>
          <w:lang w:val="uk-UA"/>
        </w:rPr>
        <w:t>га,</w:t>
      </w:r>
      <w:r>
        <w:rPr>
          <w:rFonts w:cs="Times New Roman"/>
          <w:spacing w:val="0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>кадастровим</w:t>
      </w:r>
      <w:r>
        <w:rPr>
          <w:rFonts w:cs="Times New Roman"/>
          <w:spacing w:val="0"/>
          <w:sz w:val="12"/>
          <w:szCs w:val="12"/>
          <w:lang w:val="uk-UA"/>
        </w:rPr>
        <w:t xml:space="preserve"> </w:t>
      </w:r>
      <w:r>
        <w:rPr>
          <w:rFonts w:cs="Times New Roman"/>
          <w:spacing w:val="0"/>
          <w:sz w:val="28"/>
          <w:szCs w:val="28"/>
          <w:lang w:val="uk-UA"/>
        </w:rPr>
        <w:t xml:space="preserve">номером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cs="Times New Roman"/>
          <w:spacing w:val="0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для розміщення та експлуатації будівель і споруд додаткових транспортних послуг та допоміжних операцій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(12.08),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згідно з додатком.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2. Укласти з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 xml:space="preserve">Сад Оленою Анатоліївною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договір оренди землі на земельну ділянку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3. Встановити орендн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у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 плату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в розмірі подвійної ставки земельного податку, затвердженого </w:t>
      </w:r>
      <w:r>
        <w:rPr>
          <w:rFonts w:eastAsia="Times New Roman" w:cs="Times New Roman"/>
          <w:b w:val="false"/>
          <w:bCs/>
          <w:color w:val="000000"/>
          <w:spacing w:val="0"/>
          <w:sz w:val="28"/>
          <w:szCs w:val="28"/>
          <w:lang w:val="uk-UA" w:eastAsia="zh-CN" w:bidi="ar-SA"/>
        </w:rPr>
        <w:t>рішенням Луцької міської ради від 23.06.2021 № 13/67 «Про встановлення ставок земельного податку»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, що становить 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6 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% нормативної грошової оцінки земельної ділянки площею 0,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3441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 xml:space="preserve"> га, кадастровим номером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0721882700:01:001:1499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 xml:space="preserve">. Зобов’язати 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u w:val="none"/>
          <w:lang w:val="uk-UA" w:eastAsia="ar-SA" w:bidi="ar-SA"/>
        </w:rPr>
        <w:t>громадя</w:t>
      </w:r>
      <w:r>
        <w:rPr>
          <w:rFonts w:eastAsia="Times New Roman" w:cs="Times New Roman"/>
          <w:b w:val="false"/>
          <w:bCs w:val="false"/>
          <w:color w:val="auto"/>
          <w:spacing w:val="0"/>
          <w:sz w:val="28"/>
          <w:szCs w:val="28"/>
          <w:u w:val="none"/>
          <w:lang w:val="uk-UA" w:eastAsia="zh-CN" w:bidi="ar-SA"/>
        </w:rPr>
        <w:t xml:space="preserve">нку </w:t>
      </w:r>
      <w:r>
        <w:rPr>
          <w:rFonts w:eastAsia="Times New Roman" w:cs="Times New Roman"/>
          <w:b w:val="false"/>
          <w:bCs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Сад Олену Анатоліївну</w:t>
      </w: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cs="Times New Roman"/>
          <w:b w:val="false"/>
          <w:bCs w:val="false"/>
          <w:spacing w:val="0"/>
          <w:sz w:val="28"/>
          <w:szCs w:val="28"/>
          <w:lang w:val="uk-UA"/>
        </w:rPr>
        <w:t>4.1. 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0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4.2. 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4.3. 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4.4.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0"/>
          <w:kern w:val="0"/>
          <w:sz w:val="28"/>
          <w:szCs w:val="28"/>
          <w:lang w:val="uk-UA" w:eastAsia="zh-CN" w:bidi="ar-SA"/>
        </w:rPr>
        <w:t>4.5. </w:t>
      </w:r>
      <w:r>
        <w:rPr>
          <w:rFonts w:eastAsia="Times New Roman" w:cs="Times New Roman"/>
          <w:b w:val="false"/>
          <w:bCs w:val="false"/>
          <w:color w:val="auto"/>
          <w:spacing w:val="0"/>
          <w:kern w:val="0"/>
          <w:sz w:val="28"/>
          <w:szCs w:val="28"/>
          <w:lang w:val="uk-UA" w:eastAsia="zh-CN" w:bidi="ar-SA"/>
        </w:rPr>
        <w:t>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>
          <w:spacing w:val="0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5</w:t>
      </w:r>
      <w:r>
        <w:rPr>
          <w:rFonts w:cs="Times New Roman"/>
          <w:color w:val="000000"/>
          <w:spacing w:val="0"/>
          <w:sz w:val="28"/>
          <w:szCs w:val="28"/>
          <w:lang w:val="uk-UA"/>
        </w:rPr>
        <w:t xml:space="preserve">. 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пункти 1-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4</w:t>
      </w:r>
      <w:r>
        <w:rPr>
          <w:rFonts w:cs="Times New Roman"/>
          <w:color w:val="000000"/>
          <w:spacing w:val="0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ють</w:t>
      </w:r>
      <w:r>
        <w:rPr>
          <w:rFonts w:cs="Times New Roman"/>
          <w:color w:val="000000"/>
          <w:spacing w:val="0"/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ind w:left="0" w:right="0" w:firstLine="654"/>
        <w:jc w:val="both"/>
        <w:rPr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sz w:val="28"/>
          <w:szCs w:val="28"/>
          <w:highlight w:val="white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4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/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7111111111111">
    <w:name w:val="WW-WW8Num1ztrue7111111111111"/>
    <w:qFormat/>
    <w:rPr/>
  </w:style>
  <w:style w:type="character" w:styleId="WWWW8Num1ztrue6111111111111">
    <w:name w:val="WW-WW8Num1ztrue6111111111111"/>
    <w:qFormat/>
    <w:rPr/>
  </w:style>
  <w:style w:type="character" w:styleId="WWWW8Num1ztrue5111111111111">
    <w:name w:val="WW-WW8Num1ztrue5111111111111"/>
    <w:qFormat/>
    <w:rPr/>
  </w:style>
  <w:style w:type="character" w:styleId="WWWW8Num1ztrue4111111111111">
    <w:name w:val="WW-WW8Num1ztrue4111111111111"/>
    <w:qFormat/>
    <w:rPr/>
  </w:style>
  <w:style w:type="character" w:styleId="WWWW8Num1ztrue3111111111111">
    <w:name w:val="WW-WW8Num1ztrue3111111111111"/>
    <w:qFormat/>
    <w:rPr/>
  </w:style>
  <w:style w:type="character" w:styleId="WWWW8Num1ztrue2111111111111">
    <w:name w:val="WW-WW8Num1ztrue2111111111111"/>
    <w:qFormat/>
    <w:rPr/>
  </w:style>
  <w:style w:type="character" w:styleId="WWWW8Num1ztrue1111111111111">
    <w:name w:val="WW-WW8Num1ztrue1111111111111"/>
    <w:qFormat/>
    <w:rPr/>
  </w:style>
  <w:style w:type="character" w:styleId="WWWW8Num1ztrue711111111111">
    <w:name w:val="WW-WW8Num1ztrue711111111111"/>
    <w:qFormat/>
    <w:rPr/>
  </w:style>
  <w:style w:type="character" w:styleId="WWWW8Num1ztrue611111111111">
    <w:name w:val="WW-WW8Num1ztrue611111111111"/>
    <w:qFormat/>
    <w:rPr/>
  </w:style>
  <w:style w:type="character" w:styleId="WWWW8Num1ztrue511111111111">
    <w:name w:val="WW-WW8Num1ztrue511111111111"/>
    <w:qFormat/>
    <w:rPr/>
  </w:style>
  <w:style w:type="character" w:styleId="WWWW8Num1ztrue411111111111">
    <w:name w:val="WW-WW8Num1ztrue411111111111"/>
    <w:qFormat/>
    <w:rPr/>
  </w:style>
  <w:style w:type="character" w:styleId="WWWW8Num1ztrue311111111111">
    <w:name w:val="WW-WW8Num1ztrue311111111111"/>
    <w:qFormat/>
    <w:rPr/>
  </w:style>
  <w:style w:type="character" w:styleId="WWWW8Num1ztrue211111111111">
    <w:name w:val="WW-WW8Num1ztrue211111111111"/>
    <w:qFormat/>
    <w:rPr/>
  </w:style>
  <w:style w:type="character" w:styleId="WWWW8Num1ztrue111111111111">
    <w:name w:val="WW-WW8Num1ztrue111111111111"/>
    <w:qFormat/>
    <w:rPr/>
  </w:style>
  <w:style w:type="character" w:styleId="WWWW8Num1ztrue71111111111">
    <w:name w:val="WW-WW8Num1ztrue71111111111"/>
    <w:qFormat/>
    <w:rPr/>
  </w:style>
  <w:style w:type="character" w:styleId="WWWW8Num1ztrue61111111111">
    <w:name w:val="WW-WW8Num1ztrue61111111111"/>
    <w:qFormat/>
    <w:rPr/>
  </w:style>
  <w:style w:type="character" w:styleId="WWWW8Num1ztrue51111111111">
    <w:name w:val="WW-WW8Num1ztrue51111111111"/>
    <w:qFormat/>
    <w:rPr/>
  </w:style>
  <w:style w:type="character" w:styleId="WWWW8Num1ztrue41111111111">
    <w:name w:val="WW-WW8Num1ztrue41111111111"/>
    <w:qFormat/>
    <w:rPr/>
  </w:style>
  <w:style w:type="character" w:styleId="WWWW8Num1ztrue31111111111">
    <w:name w:val="WW-WW8Num1ztrue31111111111"/>
    <w:qFormat/>
    <w:rPr/>
  </w:style>
  <w:style w:type="character" w:styleId="WWWW8Num1ztrue21111111111">
    <w:name w:val="WW-WW8Num1ztrue21111111111"/>
    <w:qFormat/>
    <w:rPr/>
  </w:style>
  <w:style w:type="character" w:styleId="WWWW8Num1ztrue11111111111">
    <w:name w:val="WW-WW8Num1ztrue11111111111"/>
    <w:qFormat/>
    <w:rPr/>
  </w:style>
  <w:style w:type="character" w:styleId="WWWW8Num1ztrue7111111111">
    <w:name w:val="WW-WW8Num1ztrue7111111111"/>
    <w:qFormat/>
    <w:rPr/>
  </w:style>
  <w:style w:type="character" w:styleId="WWWW8Num1ztrue6111111111">
    <w:name w:val="WW-WW8Num1ztrue6111111111"/>
    <w:qFormat/>
    <w:rPr/>
  </w:style>
  <w:style w:type="character" w:styleId="WWWW8Num1ztrue5111111111">
    <w:name w:val="WW-WW8Num1ztrue5111111111"/>
    <w:qFormat/>
    <w:rPr/>
  </w:style>
  <w:style w:type="character" w:styleId="WWWW8Num1ztrue4111111111">
    <w:name w:val="WW-WW8Num1ztrue4111111111"/>
    <w:qFormat/>
    <w:rPr/>
  </w:style>
  <w:style w:type="character" w:styleId="WWWW8Num1ztrue3111111111">
    <w:name w:val="WW-WW8Num1ztrue3111111111"/>
    <w:qFormat/>
    <w:rPr/>
  </w:style>
  <w:style w:type="character" w:styleId="WWWW8Num1ztrue2111111111">
    <w:name w:val="WW-WW8Num1ztrue2111111111"/>
    <w:qFormat/>
    <w:rPr/>
  </w:style>
  <w:style w:type="character" w:styleId="WWWW8Num1ztrue1111111111">
    <w:name w:val="WW-WW8Num1ztrue1111111111"/>
    <w:qFormat/>
    <w:rPr/>
  </w:style>
  <w:style w:type="character" w:styleId="WWWW8Num1ztrue711111111">
    <w:name w:val="WW-WW8Num1ztrue711111111"/>
    <w:qFormat/>
    <w:rPr/>
  </w:style>
  <w:style w:type="character" w:styleId="WWWW8Num1ztrue611111111">
    <w:name w:val="WW-WW8Num1ztrue611111111"/>
    <w:qFormat/>
    <w:rPr/>
  </w:style>
  <w:style w:type="character" w:styleId="WWWW8Num1ztrue511111111">
    <w:name w:val="WW-WW8Num1ztrue511111111"/>
    <w:qFormat/>
    <w:rPr/>
  </w:style>
  <w:style w:type="character" w:styleId="WWWW8Num1ztrue411111111">
    <w:name w:val="WW-WW8Num1ztrue411111111"/>
    <w:qFormat/>
    <w:rPr/>
  </w:style>
  <w:style w:type="character" w:styleId="WWWW8Num1ztrue311111111">
    <w:name w:val="WW-WW8Num1ztrue311111111"/>
    <w:qFormat/>
    <w:rPr/>
  </w:style>
  <w:style w:type="character" w:styleId="WWWW8Num1ztrue211111111">
    <w:name w:val="WW-WW8Num1ztrue211111111"/>
    <w:qFormat/>
    <w:rPr/>
  </w:style>
  <w:style w:type="character" w:styleId="WWWW8Num1ztrue111111111">
    <w:name w:val="WW-WW8Num1ztrue111111111"/>
    <w:qFormat/>
    <w:rPr/>
  </w:style>
  <w:style w:type="character" w:styleId="WWWW8Num1ztrue71111111">
    <w:name w:val="WW-WW8Num1ztrue71111111"/>
    <w:qFormat/>
    <w:rPr/>
  </w:style>
  <w:style w:type="character" w:styleId="WWWW8Num1ztrue61111111">
    <w:name w:val="WW-WW8Num1ztrue61111111"/>
    <w:qFormat/>
    <w:rPr/>
  </w:style>
  <w:style w:type="character" w:styleId="WWWW8Num1ztrue51111111">
    <w:name w:val="WW-WW8Num1ztrue51111111"/>
    <w:qFormat/>
    <w:rPr/>
  </w:style>
  <w:style w:type="character" w:styleId="WWWW8Num1ztrue41111111">
    <w:name w:val="WW-WW8Num1ztrue41111111"/>
    <w:qFormat/>
    <w:rPr/>
  </w:style>
  <w:style w:type="character" w:styleId="WWWW8Num1ztrue31111111">
    <w:name w:val="WW-WW8Num1ztrue31111111"/>
    <w:qFormat/>
    <w:rPr/>
  </w:style>
  <w:style w:type="character" w:styleId="WWWW8Num1ztrue21111111">
    <w:name w:val="WW-WW8Num1ztrue21111111"/>
    <w:qFormat/>
    <w:rPr/>
  </w:style>
  <w:style w:type="character" w:styleId="WWWW8Num1ztrue11111111">
    <w:name w:val="WW-WW8Num1ztrue11111111"/>
    <w:qFormat/>
    <w:rPr/>
  </w:style>
  <w:style w:type="character" w:styleId="WWWW8Num1ztrue7111111">
    <w:name w:val="WW-WW8Num1ztrue7111111"/>
    <w:qFormat/>
    <w:rPr/>
  </w:style>
  <w:style w:type="character" w:styleId="WWWW8Num1ztrue6111111">
    <w:name w:val="WW-WW8Num1ztrue6111111"/>
    <w:qFormat/>
    <w:rPr/>
  </w:style>
  <w:style w:type="character" w:styleId="WWWW8Num1ztrue5111111">
    <w:name w:val="WW-WW8Num1ztrue5111111"/>
    <w:qFormat/>
    <w:rPr/>
  </w:style>
  <w:style w:type="character" w:styleId="WWWW8Num1ztrue4111111">
    <w:name w:val="WW-WW8Num1ztrue4111111"/>
    <w:qFormat/>
    <w:rPr/>
  </w:style>
  <w:style w:type="character" w:styleId="WWWW8Num1ztrue3111111">
    <w:name w:val="WW-WW8Num1ztrue3111111"/>
    <w:qFormat/>
    <w:rPr/>
  </w:style>
  <w:style w:type="character" w:styleId="WWWW8Num1ztrue2111111">
    <w:name w:val="WW-WW8Num1ztrue2111111"/>
    <w:qFormat/>
    <w:rPr/>
  </w:style>
  <w:style w:type="character" w:styleId="WWWW8Num1ztrue1111111">
    <w:name w:val="WW-WW8Num1ztrue1111111"/>
    <w:qFormat/>
    <w:rPr/>
  </w:style>
  <w:style w:type="character" w:styleId="WWWW8Num1ztrue711111">
    <w:name w:val="WW-WW8Num1ztrue711111"/>
    <w:qFormat/>
    <w:rPr/>
  </w:style>
  <w:style w:type="character" w:styleId="WWWW8Num1ztrue611111">
    <w:name w:val="WW-WW8Num1ztrue611111"/>
    <w:qFormat/>
    <w:rPr/>
  </w:style>
  <w:style w:type="character" w:styleId="WWWW8Num1ztrue511111">
    <w:name w:val="WW-WW8Num1ztrue511111"/>
    <w:qFormat/>
    <w:rPr/>
  </w:style>
  <w:style w:type="character" w:styleId="WWWW8Num1ztrue411111">
    <w:name w:val="WW-WW8Num1ztrue411111"/>
    <w:qFormat/>
    <w:rPr/>
  </w:style>
  <w:style w:type="character" w:styleId="WWWW8Num1ztrue311111">
    <w:name w:val="WW-WW8Num1ztrue311111"/>
    <w:qFormat/>
    <w:rPr/>
  </w:style>
  <w:style w:type="character" w:styleId="WWWW8Num1ztrue211111">
    <w:name w:val="WW-WW8Num1ztrue211111"/>
    <w:qFormat/>
    <w:rPr/>
  </w:style>
  <w:style w:type="character" w:styleId="WWWW8Num1ztrue111111">
    <w:name w:val="WW-WW8Num1ztrue111111"/>
    <w:qFormat/>
    <w:rPr/>
  </w:style>
  <w:style w:type="character" w:styleId="WWWW8Num1ztrue71111">
    <w:name w:val="WW-WW8Num1ztrue71111"/>
    <w:qFormat/>
    <w:rPr/>
  </w:style>
  <w:style w:type="character" w:styleId="WWWW8Num1ztrue61111">
    <w:name w:val="WW-WW8Num1ztrue61111"/>
    <w:qFormat/>
    <w:rPr/>
  </w:style>
  <w:style w:type="character" w:styleId="WWWW8Num1ztrue51111">
    <w:name w:val="WW-WW8Num1ztrue51111"/>
    <w:qFormat/>
    <w:rPr/>
  </w:style>
  <w:style w:type="character" w:styleId="WWWW8Num1ztrue41111">
    <w:name w:val="WW-WW8Num1ztrue41111"/>
    <w:qFormat/>
    <w:rPr/>
  </w:style>
  <w:style w:type="character" w:styleId="WWWW8Num1ztrue31111">
    <w:name w:val="WW-WW8Num1ztrue31111"/>
    <w:qFormat/>
    <w:rPr/>
  </w:style>
  <w:style w:type="character" w:styleId="WWWW8Num1ztrue21111">
    <w:name w:val="WW-WW8Num1ztrue21111"/>
    <w:qFormat/>
    <w:rPr/>
  </w:style>
  <w:style w:type="character" w:styleId="WWWW8Num1ztrue11111">
    <w:name w:val="WW-WW8Num1ztrue11111"/>
    <w:qFormat/>
    <w:rPr/>
  </w:style>
  <w:style w:type="character" w:styleId="WWWW8Num1ztrue7111">
    <w:name w:val="WW-WW8Num1ztrue7111"/>
    <w:qFormat/>
    <w:rPr/>
  </w:style>
  <w:style w:type="character" w:styleId="WWWW8Num1ztrue6111">
    <w:name w:val="WW-WW8Num1ztrue6111"/>
    <w:qFormat/>
    <w:rPr/>
  </w:style>
  <w:style w:type="character" w:styleId="WWWW8Num1ztrue5111">
    <w:name w:val="WW-WW8Num1ztrue5111"/>
    <w:qFormat/>
    <w:rPr/>
  </w:style>
  <w:style w:type="character" w:styleId="WWWW8Num1ztrue4111">
    <w:name w:val="WW-WW8Num1ztrue4111"/>
    <w:qFormat/>
    <w:rPr/>
  </w:style>
  <w:style w:type="character" w:styleId="WWWW8Num1ztrue3111">
    <w:name w:val="WW-WW8Num1ztrue3111"/>
    <w:qFormat/>
    <w:rPr/>
  </w:style>
  <w:style w:type="character" w:styleId="WWWW8Num1ztrue2111">
    <w:name w:val="WW-WW8Num1ztrue2111"/>
    <w:qFormat/>
    <w:rPr/>
  </w:style>
  <w:style w:type="character" w:styleId="WWWW8Num1ztrue1111">
    <w:name w:val="WW-WW8Num1ztrue1111"/>
    <w:qFormat/>
    <w:rPr/>
  </w:style>
  <w:style w:type="character" w:styleId="WWWW8Num1ztrue711">
    <w:name w:val="WW-WW8Num1ztrue711"/>
    <w:qFormat/>
    <w:rPr/>
  </w:style>
  <w:style w:type="character" w:styleId="WWWW8Num1ztrue611">
    <w:name w:val="WW-WW8Num1ztrue611"/>
    <w:qFormat/>
    <w:rPr/>
  </w:style>
  <w:style w:type="character" w:styleId="WWWW8Num1ztrue511">
    <w:name w:val="WW-WW8Num1ztrue511"/>
    <w:qFormat/>
    <w:rPr/>
  </w:style>
  <w:style w:type="character" w:styleId="WWWW8Num1ztrue411">
    <w:name w:val="WW-WW8Num1ztrue411"/>
    <w:qFormat/>
    <w:rPr/>
  </w:style>
  <w:style w:type="character" w:styleId="WWWW8Num1ztrue311">
    <w:name w:val="WW-WW8Num1ztrue311"/>
    <w:qFormat/>
    <w:rPr/>
  </w:style>
  <w:style w:type="character" w:styleId="WWWW8Num1ztrue211">
    <w:name w:val="WW-WW8Num1ztrue211"/>
    <w:qFormat/>
    <w:rPr/>
  </w:style>
  <w:style w:type="character" w:styleId="WWWW8Num1ztrue111">
    <w:name w:val="WW-WW8Num1ztrue111"/>
    <w:qFormat/>
    <w:rPr/>
  </w:style>
  <w:style w:type="character" w:styleId="WWWW8Num1ztrue71">
    <w:name w:val="WW-WW8Num1ztrue71"/>
    <w:qFormat/>
    <w:rPr/>
  </w:style>
  <w:style w:type="character" w:styleId="WWWW8Num1ztrue61">
    <w:name w:val="WW-WW8Num1ztrue61"/>
    <w:qFormat/>
    <w:rPr/>
  </w:style>
  <w:style w:type="character" w:styleId="WWWW8Num1ztrue51">
    <w:name w:val="WW-WW8Num1ztrue51"/>
    <w:qFormat/>
    <w:rPr/>
  </w:style>
  <w:style w:type="character" w:styleId="WWWW8Num1ztrue41">
    <w:name w:val="WW-WW8Num1ztrue41"/>
    <w:qFormat/>
    <w:rPr/>
  </w:style>
  <w:style w:type="character" w:styleId="WWWW8Num1ztrue31">
    <w:name w:val="WW-WW8Num1ztrue31"/>
    <w:qFormat/>
    <w:rPr/>
  </w:style>
  <w:style w:type="character" w:styleId="WWWW8Num1ztrue21">
    <w:name w:val="WW-WW8Num1ztrue21"/>
    <w:qFormat/>
    <w:rPr/>
  </w:style>
  <w:style w:type="character" w:styleId="WWWW8Num1ztrue11">
    <w:name w:val="WW-WW8Num1ztrue11"/>
    <w:qFormat/>
    <w:rPr/>
  </w:style>
  <w:style w:type="character" w:styleId="WWWW8Num1ztrue7">
    <w:name w:val="WW-WW8Num1ztrue7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">
    <w:name w:val="WW-WW8Num1ztrue6"/>
    <w:qFormat/>
    <w:rPr/>
  </w:style>
  <w:style w:type="character" w:styleId="WWWW8Num1ztrue5">
    <w:name w:val="WW-WW8Num1ztrue5"/>
    <w:qFormat/>
    <w:rPr/>
  </w:style>
  <w:style w:type="character" w:styleId="WWWW8Num1ztrue4">
    <w:name w:val="WW-WW8Num1ztrue4"/>
    <w:qFormat/>
    <w:rPr/>
  </w:style>
  <w:style w:type="character" w:styleId="WWWW8Num1ztrue3">
    <w:name w:val="WW-WW8Num1ztrue3"/>
    <w:qFormat/>
    <w:rPr/>
  </w:style>
  <w:style w:type="character" w:styleId="WWWW8Num1ztrue2">
    <w:name w:val="WW-WW8Num1ztrue2"/>
    <w:qFormat/>
    <w:rPr/>
  </w:style>
  <w:style w:type="character" w:styleId="WWWW8Num1ztrue1">
    <w:name w:val="WW-WW8Num1ztrue1"/>
    <w:qFormat/>
    <w:rPr/>
  </w:style>
  <w:style w:type="character" w:styleId="WWWW8Num1ztrue">
    <w:name w:val="WW-WW8Num1ztrue"/>
    <w:qFormat/>
    <w:rPr/>
  </w:style>
  <w:style w:type="character" w:styleId="WW8Num1ztrue">
    <w:name w:val="WW8Num1ztrue"/>
    <w:qFormat/>
    <w:rPr/>
  </w:style>
  <w:style w:type="character" w:styleId="WW8Num1zfalse">
    <w:name w:val="WW8Num1zfalse"/>
    <w:qFormat/>
    <w:rPr/>
  </w:style>
  <w:style w:type="character" w:styleId="21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DefaultParagraphFont">
    <w:name w:val="Default Paragraph Font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Указатель1"/>
    <w:basedOn w:val="Normal"/>
    <w:qFormat/>
    <w:pPr/>
    <w:rPr>
      <w:rFonts w:cs="Mangal"/>
    </w:rPr>
  </w:style>
  <w:style w:type="paragraph" w:styleId="13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paragraph" w:styleId="Caption">
    <w:name w:val="caption"/>
    <w:basedOn w:val="Normal"/>
    <w:qFormat/>
    <w:pPr>
      <w:spacing w:before="120" w:after="120"/>
    </w:pPr>
    <w:rPr>
      <w:rFonts w:cs="Mangal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Application>LibreOffice/7.1.3.2$Windows_X86_64 LibreOffice_project/47f78053abe362b9384784d31a6e56f8511eb1c1</Application>
  <AppVersion>15.0000</AppVersion>
  <Pages>2</Pages>
  <Words>635</Words>
  <Characters>4087</Characters>
  <CharactersWithSpaces>4939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2022-12-01T14:02:29Z</dcterms:modified>
  <cp:revision>137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