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6660" w:leader="none"/>
        </w:tabs>
        <w:jc w:val="center"/>
        <w:rPr/>
      </w:pPr>
      <w:r>
        <w:rPr>
          <w:b/>
          <w:sz w:val="28"/>
          <w:szCs w:val="28"/>
          <w:lang w:val="uk-UA"/>
        </w:rPr>
        <w:t>Звіт міського голови</w:t>
      </w:r>
    </w:p>
    <w:p>
      <w:pPr>
        <w:pStyle w:val="Normal"/>
        <w:tabs>
          <w:tab w:val="clear" w:pos="709"/>
          <w:tab w:val="left" w:pos="6660" w:leader="none"/>
        </w:tabs>
        <w:jc w:val="center"/>
        <w:rPr>
          <w:b/>
          <w:b/>
          <w:sz w:val="28"/>
          <w:szCs w:val="28"/>
          <w:lang w:val="uk-UA"/>
        </w:rPr>
      </w:pPr>
      <w:r>
        <w:rPr>
          <w:b/>
          <w:sz w:val="28"/>
          <w:szCs w:val="28"/>
          <w:lang w:val="uk-UA"/>
        </w:rPr>
        <w:t xml:space="preserve">про здійснення державної регуляторної політики </w:t>
      </w:r>
    </w:p>
    <w:p>
      <w:pPr>
        <w:pStyle w:val="Normal"/>
        <w:tabs>
          <w:tab w:val="clear" w:pos="709"/>
          <w:tab w:val="left" w:pos="6660" w:leader="none"/>
        </w:tabs>
        <w:jc w:val="center"/>
        <w:rPr>
          <w:b/>
          <w:b/>
          <w:sz w:val="28"/>
          <w:szCs w:val="28"/>
          <w:lang w:val="uk-UA"/>
        </w:rPr>
      </w:pPr>
      <w:r>
        <w:rPr>
          <w:b/>
          <w:sz w:val="28"/>
          <w:szCs w:val="28"/>
          <w:lang w:val="uk-UA"/>
        </w:rPr>
        <w:t>виконавчими органами Луцької міської ради</w:t>
      </w:r>
    </w:p>
    <w:p>
      <w:pPr>
        <w:pStyle w:val="Normal"/>
        <w:tabs>
          <w:tab w:val="clear" w:pos="709"/>
          <w:tab w:val="left" w:pos="6660" w:leader="none"/>
        </w:tabs>
        <w:jc w:val="center"/>
        <w:rPr/>
      </w:pPr>
      <w:r>
        <w:rPr>
          <w:b/>
          <w:sz w:val="28"/>
          <w:szCs w:val="28"/>
          <w:lang w:val="uk-UA"/>
        </w:rPr>
        <w:t>у 2022 році</w:t>
      </w:r>
    </w:p>
    <w:p>
      <w:pPr>
        <w:pStyle w:val="Normal"/>
        <w:ind w:firstLine="567"/>
        <w:jc w:val="both"/>
        <w:rPr>
          <w:sz w:val="28"/>
          <w:szCs w:val="28"/>
          <w:lang w:val="uk-UA"/>
        </w:rPr>
      </w:pPr>
      <w:r>
        <w:rPr>
          <w:sz w:val="28"/>
          <w:szCs w:val="28"/>
          <w:lang w:val="uk-UA"/>
        </w:rPr>
      </w:r>
    </w:p>
    <w:p>
      <w:pPr>
        <w:pStyle w:val="Normal"/>
        <w:ind w:firstLine="567"/>
        <w:jc w:val="both"/>
        <w:rPr>
          <w:sz w:val="28"/>
          <w:szCs w:val="28"/>
        </w:rPr>
      </w:pPr>
      <w:r>
        <w:rPr>
          <w:sz w:val="28"/>
          <w:szCs w:val="28"/>
          <w:lang w:val="uk-UA"/>
        </w:rPr>
        <w:t>В умовах дії правового режиму воєнного стану одним із пріоритетних напрямків діяльності Луцької міської ради є створення сприятливих умов для ведення бізнесу, що є запорукою економічної перемоги над ворогом. До таких заходів відноситься, у тому числі, неухильне додержання виконавчими органами Луцької міської ради процедури, передбаченої Законом України «Про засади державної регуляторної політики у сфері господарської діяльності» від 11.09.2003 № 1160-</w:t>
      </w:r>
      <w:r>
        <w:rPr>
          <w:sz w:val="28"/>
          <w:szCs w:val="28"/>
        </w:rPr>
        <w:t>IV</w:t>
      </w:r>
      <w:r>
        <w:rPr>
          <w:sz w:val="28"/>
          <w:szCs w:val="28"/>
          <w:lang w:val="uk-UA"/>
        </w:rPr>
        <w:t xml:space="preserve"> (далі</w:t>
      </w:r>
      <w:r>
        <w:rPr>
          <w:color w:val="000000"/>
          <w:sz w:val="28"/>
          <w:szCs w:val="28"/>
          <w:lang w:val="uk-UA"/>
        </w:rPr>
        <w:t xml:space="preserve"> – </w:t>
      </w:r>
      <w:r>
        <w:rPr>
          <w:sz w:val="28"/>
          <w:szCs w:val="28"/>
          <w:lang w:val="uk-UA"/>
        </w:rPr>
        <w:t>Закон №</w:t>
      </w:r>
      <w:r>
        <w:rPr>
          <w:sz w:val="28"/>
          <w:szCs w:val="28"/>
        </w:rPr>
        <w:t> </w:t>
      </w:r>
      <w:r>
        <w:rPr>
          <w:sz w:val="28"/>
          <w:szCs w:val="28"/>
          <w:lang w:val="uk-UA"/>
        </w:rPr>
        <w:t>1160</w:t>
      </w:r>
      <w:r>
        <w:rPr>
          <w:b/>
          <w:i/>
          <w:sz w:val="28"/>
          <w:szCs w:val="28"/>
          <w:lang w:val="uk-UA"/>
        </w:rPr>
        <w:t>)</w:t>
      </w:r>
      <w:r>
        <w:rPr>
          <w:sz w:val="28"/>
          <w:szCs w:val="28"/>
          <w:lang w:val="uk-UA"/>
        </w:rPr>
        <w:t>, при прийнятті та відстеженні результативності дії регуляторних актів, якими регламентується діяльність суб’єктів господарювання на території Луцької міської територіальної громади.</w:t>
      </w:r>
    </w:p>
    <w:p>
      <w:pPr>
        <w:pStyle w:val="Normal"/>
        <w:ind w:firstLine="567"/>
        <w:jc w:val="both"/>
        <w:rPr>
          <w:sz w:val="28"/>
          <w:szCs w:val="28"/>
        </w:rPr>
      </w:pPr>
      <w:r>
        <w:rPr>
          <w:sz w:val="28"/>
          <w:szCs w:val="28"/>
          <w:lang w:val="uk-UA"/>
        </w:rPr>
        <w:t>В Луцькій міській раді повноваження щодо організаційного забезпечення здійснення державної регуляторної політики покладено на департамент економічної політики (рішення міської ради від 24.11.2021 № 22/54).</w:t>
      </w:r>
    </w:p>
    <w:p>
      <w:pPr>
        <w:pStyle w:val="Normal"/>
        <w:ind w:firstLine="567"/>
        <w:jc w:val="both"/>
        <w:rPr>
          <w:sz w:val="28"/>
          <w:szCs w:val="28"/>
        </w:rPr>
      </w:pPr>
      <w:r>
        <w:rPr>
          <w:sz w:val="28"/>
          <w:szCs w:val="28"/>
          <w:lang w:val="uk-UA"/>
        </w:rPr>
        <w:t xml:space="preserve">З метою забезпечення виконання </w:t>
      </w:r>
      <w:r>
        <w:rPr>
          <w:sz w:val="28"/>
          <w:szCs w:val="28"/>
        </w:rPr>
        <w:t>Закон</w:t>
      </w:r>
      <w:r>
        <w:rPr>
          <w:sz w:val="28"/>
          <w:szCs w:val="28"/>
          <w:lang w:val="uk-UA"/>
        </w:rPr>
        <w:t>у</w:t>
      </w:r>
      <w:r>
        <w:rPr>
          <w:sz w:val="28"/>
          <w:szCs w:val="28"/>
        </w:rPr>
        <w:t xml:space="preserve"> № 1160</w:t>
      </w:r>
      <w:r>
        <w:rPr>
          <w:sz w:val="28"/>
          <w:szCs w:val="28"/>
          <w:lang w:val="uk-UA"/>
        </w:rPr>
        <w:t xml:space="preserve"> протягом 2022 року в Луцькій міській раді вжито такі заходи:</w:t>
      </w:r>
    </w:p>
    <w:p>
      <w:pPr>
        <w:pStyle w:val="Normal"/>
        <w:ind w:firstLine="567"/>
        <w:jc w:val="both"/>
        <w:rPr>
          <w:sz w:val="28"/>
          <w:szCs w:val="28"/>
        </w:rPr>
      </w:pPr>
      <w:r>
        <w:rPr>
          <w:sz w:val="28"/>
          <w:szCs w:val="28"/>
          <w:lang w:val="uk-UA"/>
        </w:rPr>
        <w:t xml:space="preserve">1. Відповідно до статті 7 </w:t>
      </w:r>
      <w:r>
        <w:rPr>
          <w:sz w:val="28"/>
          <w:szCs w:val="28"/>
        </w:rPr>
        <w:t>Закон</w:t>
      </w:r>
      <w:r>
        <w:rPr>
          <w:sz w:val="28"/>
          <w:szCs w:val="28"/>
          <w:lang w:val="uk-UA"/>
        </w:rPr>
        <w:t>у</w:t>
      </w:r>
      <w:r>
        <w:rPr>
          <w:sz w:val="28"/>
          <w:szCs w:val="28"/>
        </w:rPr>
        <w:t xml:space="preserve"> № 1160</w:t>
      </w:r>
      <w:r>
        <w:rPr>
          <w:sz w:val="28"/>
          <w:szCs w:val="28"/>
          <w:lang w:val="uk-UA"/>
        </w:rPr>
        <w:t xml:space="preserve"> затверджено плани діяльності з підготовки проєктів регуляторних актів на 2023  рік:</w:t>
      </w:r>
    </w:p>
    <w:p>
      <w:pPr>
        <w:pStyle w:val="Normal"/>
        <w:widowControl w:val="false"/>
        <w:ind w:firstLine="567"/>
        <w:jc w:val="both"/>
        <w:rPr/>
      </w:pPr>
      <w:r>
        <w:rPr>
          <w:rStyle w:val="11"/>
          <w:sz w:val="28"/>
          <w:szCs w:val="28"/>
          <w:lang w:val="uk-UA"/>
        </w:rPr>
        <w:t xml:space="preserve">рішенням міської ради від 26.10.2022 № 36/31 </w:t>
      </w:r>
      <w:r>
        <w:rPr>
          <w:rStyle w:val="11"/>
          <w:spacing w:val="1"/>
          <w:sz w:val="28"/>
          <w:szCs w:val="28"/>
          <w:lang w:val="uk-UA"/>
        </w:rPr>
        <w:t>«</w:t>
      </w:r>
      <w:r>
        <w:rPr>
          <w:rStyle w:val="11"/>
          <w:sz w:val="28"/>
          <w:szCs w:val="28"/>
          <w:lang w:val="uk-UA"/>
        </w:rPr>
        <w:t>Про затвердження плану діяльності з підготовки проєктів регуляторних актів на 2023 рік</w:t>
      </w:r>
      <w:r>
        <w:rPr>
          <w:rStyle w:val="11"/>
          <w:spacing w:val="1"/>
          <w:sz w:val="28"/>
          <w:szCs w:val="28"/>
          <w:lang w:val="uk-UA"/>
        </w:rPr>
        <w:t>»</w:t>
      </w:r>
      <w:r>
        <w:rPr>
          <w:rStyle w:val="11"/>
          <w:sz w:val="28"/>
          <w:szCs w:val="28"/>
          <w:lang w:val="uk-UA"/>
        </w:rPr>
        <w:t>;</w:t>
      </w:r>
    </w:p>
    <w:p>
      <w:pPr>
        <w:pStyle w:val="Normal"/>
        <w:widowControl w:val="false"/>
        <w:ind w:firstLine="567"/>
        <w:jc w:val="both"/>
        <w:rPr/>
      </w:pPr>
      <w:r>
        <w:rPr>
          <w:rStyle w:val="11"/>
          <w:sz w:val="28"/>
          <w:szCs w:val="28"/>
          <w:lang w:val="uk-UA"/>
        </w:rPr>
        <w:t xml:space="preserve">рішенням виконавчого комітету міської ради від 23.11.2022 № 584-1 </w:t>
      </w:r>
      <w:r>
        <w:rPr>
          <w:rStyle w:val="11"/>
          <w:spacing w:val="1"/>
          <w:sz w:val="28"/>
          <w:szCs w:val="28"/>
          <w:lang w:val="uk-UA"/>
        </w:rPr>
        <w:t>«</w:t>
      </w:r>
      <w:r>
        <w:rPr>
          <w:rStyle w:val="11"/>
          <w:sz w:val="28"/>
          <w:szCs w:val="28"/>
          <w:lang w:val="uk-UA"/>
        </w:rPr>
        <w:t>Про затвердження плану діяльності з підготовки проєктів регуляторних актів на 2023 рік</w:t>
      </w:r>
      <w:r>
        <w:rPr>
          <w:rStyle w:val="11"/>
          <w:spacing w:val="1"/>
          <w:sz w:val="28"/>
          <w:szCs w:val="28"/>
          <w:lang w:val="uk-UA"/>
        </w:rPr>
        <w:t>»</w:t>
      </w:r>
      <w:r>
        <w:rPr>
          <w:rStyle w:val="11"/>
          <w:sz w:val="28"/>
          <w:szCs w:val="28"/>
          <w:lang w:val="uk-UA"/>
        </w:rPr>
        <w:t>.</w:t>
      </w:r>
    </w:p>
    <w:p>
      <w:pPr>
        <w:pStyle w:val="Normal"/>
        <w:tabs>
          <w:tab w:val="clear" w:pos="709"/>
          <w:tab w:val="left" w:pos="6660" w:leader="none"/>
        </w:tabs>
        <w:ind w:firstLine="567"/>
        <w:jc w:val="both"/>
        <w:rPr>
          <w:sz w:val="28"/>
          <w:szCs w:val="28"/>
        </w:rPr>
      </w:pPr>
      <w:r>
        <w:rPr>
          <w:sz w:val="28"/>
          <w:szCs w:val="28"/>
          <w:lang w:val="uk-UA"/>
        </w:rPr>
        <w:t>Враховуючи ініціативи виконавчих органів міської ради та комунальних підприємств, внесено зміни в основні плани діяльності з підготовки проєктів регуляторних актів на 2022 рік (рішення міської ради від 27.01.2022 №</w:t>
      </w:r>
      <w:r>
        <w:rPr>
          <w:sz w:val="28"/>
          <w:szCs w:val="28"/>
        </w:rPr>
        <w:t> </w:t>
      </w:r>
      <w:r>
        <w:rPr>
          <w:sz w:val="28"/>
          <w:szCs w:val="28"/>
          <w:lang w:val="uk-UA"/>
        </w:rPr>
        <w:t>25/67, рішення виконавчого комітету міської ради від 12.10.2022 №</w:t>
      </w:r>
      <w:r>
        <w:rPr>
          <w:sz w:val="28"/>
          <w:szCs w:val="28"/>
        </w:rPr>
        <w:t> </w:t>
      </w:r>
      <w:r>
        <w:rPr>
          <w:sz w:val="28"/>
          <w:szCs w:val="28"/>
          <w:lang w:val="uk-UA"/>
        </w:rPr>
        <w:t>505-1, від 23.11.2022 №</w:t>
      </w:r>
      <w:r>
        <w:rPr>
          <w:sz w:val="28"/>
          <w:szCs w:val="28"/>
        </w:rPr>
        <w:t> </w:t>
      </w:r>
      <w:r>
        <w:rPr>
          <w:sz w:val="28"/>
          <w:szCs w:val="28"/>
          <w:lang w:val="uk-UA"/>
        </w:rPr>
        <w:t>583-1).</w:t>
      </w:r>
    </w:p>
    <w:p>
      <w:pPr>
        <w:pStyle w:val="Normal"/>
        <w:tabs>
          <w:tab w:val="clear" w:pos="709"/>
          <w:tab w:val="left" w:pos="6660" w:leader="none"/>
        </w:tabs>
        <w:ind w:firstLine="567"/>
        <w:jc w:val="both"/>
        <w:rPr>
          <w:sz w:val="28"/>
          <w:szCs w:val="28"/>
        </w:rPr>
      </w:pPr>
      <w:r>
        <w:rPr>
          <w:color w:val="000000"/>
          <w:sz w:val="28"/>
          <w:szCs w:val="28"/>
          <w:lang w:val="uk-UA"/>
        </w:rPr>
        <w:t>Плани діяльності з підготовки проєктів регуляторних актів та доповнення до них оприлюднено в газеті «Луцький замок» та розміщено на офіційному сайті Луцької міської ради в розділі «Регуляторна політика».</w:t>
      </w:r>
    </w:p>
    <w:p>
      <w:pPr>
        <w:pStyle w:val="Normal"/>
        <w:tabs>
          <w:tab w:val="clear" w:pos="709"/>
          <w:tab w:val="left" w:pos="6660" w:leader="none"/>
        </w:tabs>
        <w:ind w:firstLine="567"/>
        <w:jc w:val="both"/>
        <w:rPr>
          <w:sz w:val="28"/>
          <w:szCs w:val="28"/>
        </w:rPr>
      </w:pPr>
      <w:r>
        <w:rPr>
          <w:sz w:val="28"/>
          <w:szCs w:val="28"/>
          <w:lang w:val="uk-UA"/>
        </w:rPr>
        <w:t xml:space="preserve">2. Враховуючи кадрові зміни, оновлено склад </w:t>
      </w:r>
      <w:r>
        <w:rPr>
          <w:color w:val="000000"/>
          <w:sz w:val="28"/>
          <w:szCs w:val="28"/>
          <w:lang w:val="uk-UA"/>
        </w:rPr>
        <w:t>постійної комісії з питань реалізації державної регуляторної політики у виконавчих органах міської ради (далі – постійна комісія).</w:t>
      </w:r>
    </w:p>
    <w:p>
      <w:pPr>
        <w:pStyle w:val="Normal"/>
        <w:tabs>
          <w:tab w:val="clear" w:pos="709"/>
          <w:tab w:val="left" w:pos="6660" w:leader="none"/>
        </w:tabs>
        <w:ind w:firstLine="567"/>
        <w:jc w:val="both"/>
        <w:rPr>
          <w:sz w:val="28"/>
          <w:szCs w:val="28"/>
        </w:rPr>
      </w:pPr>
      <w:r>
        <w:rPr>
          <w:color w:val="000000"/>
          <w:sz w:val="28"/>
          <w:szCs w:val="28"/>
          <w:lang w:val="uk-UA"/>
        </w:rPr>
        <w:t>Проведено 7 засідань постійної комісії та складено відповідні протоколи. На засіданнях розглянуто 11</w:t>
      </w:r>
      <w:r>
        <w:rPr>
          <w:color w:val="FF0000"/>
          <w:sz w:val="28"/>
          <w:szCs w:val="28"/>
          <w:lang w:val="uk-UA"/>
        </w:rPr>
        <w:t xml:space="preserve"> </w:t>
      </w:r>
      <w:r>
        <w:rPr>
          <w:color w:val="000000" w:themeColor="text1"/>
          <w:sz w:val="28"/>
          <w:szCs w:val="28"/>
          <w:lang w:val="uk-UA"/>
        </w:rPr>
        <w:t>проєктів</w:t>
      </w:r>
      <w:r>
        <w:rPr>
          <w:color w:val="FF0000"/>
          <w:sz w:val="28"/>
          <w:szCs w:val="28"/>
          <w:lang w:val="uk-UA"/>
        </w:rPr>
        <w:t xml:space="preserve"> </w:t>
      </w:r>
      <w:r>
        <w:rPr>
          <w:color w:val="000000"/>
          <w:sz w:val="28"/>
          <w:szCs w:val="28"/>
          <w:lang w:val="uk-UA"/>
        </w:rPr>
        <w:t xml:space="preserve">рішень міської ради та її виконавчого комітету на відповідність </w:t>
      </w:r>
      <w:r>
        <w:rPr>
          <w:sz w:val="28"/>
          <w:szCs w:val="28"/>
          <w:lang w:val="uk-UA"/>
        </w:rPr>
        <w:t>Закону №</w:t>
      </w:r>
      <w:r>
        <w:rPr>
          <w:sz w:val="28"/>
          <w:szCs w:val="28"/>
        </w:rPr>
        <w:t> </w:t>
      </w:r>
      <w:r>
        <w:rPr>
          <w:sz w:val="28"/>
          <w:szCs w:val="28"/>
          <w:lang w:val="uk-UA"/>
        </w:rPr>
        <w:t>1160, з них:</w:t>
      </w:r>
    </w:p>
    <w:p>
      <w:pPr>
        <w:pStyle w:val="Normal"/>
        <w:tabs>
          <w:tab w:val="clear" w:pos="709"/>
          <w:tab w:val="left" w:pos="6660" w:leader="none"/>
        </w:tabs>
        <w:ind w:firstLine="567"/>
        <w:jc w:val="both"/>
        <w:rPr>
          <w:sz w:val="28"/>
          <w:szCs w:val="28"/>
        </w:rPr>
      </w:pPr>
      <w:r>
        <w:rPr>
          <w:color w:val="000000"/>
          <w:sz w:val="28"/>
          <w:szCs w:val="28"/>
          <w:lang w:val="uk-UA"/>
        </w:rPr>
        <w:t>2.1. Визнано такими, що пройшли всю регуляторну процедуру та рекомендовані до прийняття:</w:t>
      </w:r>
    </w:p>
    <w:p>
      <w:pPr>
        <w:pStyle w:val="Normal"/>
        <w:tabs>
          <w:tab w:val="clear" w:pos="709"/>
          <w:tab w:val="left" w:pos="6660" w:leader="none"/>
        </w:tabs>
        <w:ind w:firstLine="567"/>
        <w:jc w:val="both"/>
        <w:rPr>
          <w:sz w:val="28"/>
          <w:szCs w:val="28"/>
        </w:rPr>
      </w:pPr>
      <w:r>
        <w:rPr>
          <w:color w:val="000000"/>
          <w:sz w:val="28"/>
          <w:szCs w:val="28"/>
          <w:lang w:val="uk-UA"/>
        </w:rPr>
        <w:t>проєкт рішення виконавчого комітету міської ради «Про</w:t>
      </w:r>
      <w:r>
        <w:rPr>
          <w:color w:val="000000"/>
          <w:sz w:val="28"/>
          <w:szCs w:val="28"/>
          <w:shd w:fill="FFFFFF" w:val="clear"/>
          <w:lang w:val="uk-UA"/>
        </w:rPr>
        <w:t xml:space="preserve"> затвердження Положення про порядок здійснення контролю оплати (реєстрації) проїзду у пасажирському транспорті загального користування Луцької міської територіальної громади у новій редакції»;</w:t>
      </w:r>
    </w:p>
    <w:p>
      <w:pPr>
        <w:pStyle w:val="Normal"/>
        <w:tabs>
          <w:tab w:val="clear" w:pos="709"/>
          <w:tab w:val="left" w:pos="6660" w:leader="none"/>
        </w:tabs>
        <w:ind w:firstLine="567"/>
        <w:jc w:val="both"/>
        <w:rPr>
          <w:sz w:val="28"/>
          <w:szCs w:val="28"/>
        </w:rPr>
      </w:pPr>
      <w:r>
        <w:rPr>
          <w:sz w:val="28"/>
          <w:szCs w:val="28"/>
          <w:lang w:val="uk-UA"/>
        </w:rPr>
        <w:t xml:space="preserve">проєкт рішення виконавчого комітету міської ради </w:t>
      </w:r>
      <w:r>
        <w:rPr>
          <w:color w:val="000000"/>
          <w:sz w:val="28"/>
          <w:szCs w:val="28"/>
          <w:shd w:fill="FFFFFF" w:val="clear"/>
          <w:lang w:val="uk-UA"/>
        </w:rPr>
        <w:t>«Про внесення змін до рішення виконавчого комітету від 21.11.2018 № 745-1 “Про оператора електронних систем у місті Луцьку”»;</w:t>
      </w:r>
    </w:p>
    <w:p>
      <w:pPr>
        <w:pStyle w:val="Normal"/>
        <w:tabs>
          <w:tab w:val="clear" w:pos="709"/>
          <w:tab w:val="left" w:pos="6660" w:leader="none"/>
        </w:tabs>
        <w:ind w:firstLine="567"/>
        <w:jc w:val="both"/>
        <w:rPr>
          <w:sz w:val="28"/>
          <w:szCs w:val="28"/>
        </w:rPr>
      </w:pPr>
      <w:r>
        <w:rPr>
          <w:color w:val="222222"/>
          <w:sz w:val="28"/>
          <w:szCs w:val="28"/>
          <w:shd w:fill="FFFFFF" w:val="clear"/>
          <w:lang w:val="uk-UA"/>
        </w:rPr>
        <w:t xml:space="preserve">проєкт </w:t>
      </w:r>
      <w:r>
        <w:rPr>
          <w:sz w:val="28"/>
          <w:szCs w:val="28"/>
          <w:lang w:val="uk-UA"/>
        </w:rPr>
        <w:t>рішення міської ради «Про затвердження Правил додержання тиші в громадських місцях на території Луцької міської територіальної громади» (попередньо затверджено експертний висновок, надіслано документи до Державної регуляторної служби України та отримано пропозиції щодо удосконалення проєкту рішення міської</w:t>
      </w:r>
      <w:r>
        <w:rPr>
          <w:color w:val="000000"/>
          <w:sz w:val="28"/>
          <w:szCs w:val="28"/>
          <w:lang w:val="uk-UA"/>
        </w:rPr>
        <w:t xml:space="preserve"> ради);</w:t>
      </w:r>
    </w:p>
    <w:p>
      <w:pPr>
        <w:pStyle w:val="Normal"/>
        <w:tabs>
          <w:tab w:val="clear" w:pos="709"/>
          <w:tab w:val="left" w:pos="6660" w:leader="none"/>
        </w:tabs>
        <w:ind w:firstLine="567"/>
        <w:jc w:val="both"/>
        <w:rPr>
          <w:sz w:val="28"/>
          <w:szCs w:val="28"/>
        </w:rPr>
      </w:pPr>
      <w:r>
        <w:rPr>
          <w:sz w:val="28"/>
          <w:szCs w:val="28"/>
          <w:lang w:val="uk-UA"/>
        </w:rPr>
        <w:t xml:space="preserve">проєкт рішення виконавчого комітету міської ради </w:t>
      </w:r>
      <w:r>
        <w:rPr>
          <w:sz w:val="28"/>
          <w:szCs w:val="28"/>
          <w:shd w:fill="FFFFFF" w:val="clear"/>
          <w:lang w:val="uk-UA"/>
        </w:rPr>
        <w:t>«Про внесення змін до рішення виконавчого комітету міської ради від 19.09.2018 № 595-1 “Про затвердження Правил приймання стічних вод до систем централізованого водовідведення міста Луцька на 2018–2022 роки”».</w:t>
      </w:r>
    </w:p>
    <w:p>
      <w:pPr>
        <w:pStyle w:val="Normal"/>
        <w:tabs>
          <w:tab w:val="clear" w:pos="709"/>
          <w:tab w:val="left" w:pos="6660" w:leader="none"/>
        </w:tabs>
        <w:ind w:firstLine="567"/>
        <w:jc w:val="both"/>
        <w:rPr>
          <w:sz w:val="28"/>
          <w:szCs w:val="28"/>
        </w:rPr>
      </w:pPr>
      <w:r>
        <w:rPr>
          <w:color w:val="000000"/>
          <w:sz w:val="28"/>
          <w:szCs w:val="28"/>
          <w:lang w:val="uk-UA"/>
        </w:rPr>
        <w:t xml:space="preserve">2.2. Затверджено експертний висновок та надіслано документи до Державної регуляторної служби України для отримання пропозицій щодо проєкту рішення міської ради </w:t>
      </w:r>
      <w:r>
        <w:rPr>
          <w:sz w:val="28"/>
          <w:szCs w:val="28"/>
          <w:lang w:val="uk-UA"/>
        </w:rPr>
        <w:t>«</w:t>
      </w:r>
      <w:r>
        <w:rPr>
          <w:color w:val="000000"/>
          <w:sz w:val="28"/>
          <w:szCs w:val="28"/>
          <w:lang w:val="uk-UA"/>
        </w:rPr>
        <w:t>Про тимчасове користування окремими елементами благоустрою комунальної власності для розміщення тимчасових споруд з метою провадження підприємницької діяльності на території Луцької міської територіальної громади».</w:t>
      </w:r>
    </w:p>
    <w:p>
      <w:pPr>
        <w:pStyle w:val="Normal"/>
        <w:tabs>
          <w:tab w:val="clear" w:pos="709"/>
          <w:tab w:val="left" w:pos="6660" w:leader="none"/>
        </w:tabs>
        <w:ind w:firstLine="567"/>
        <w:jc w:val="both"/>
        <w:rPr>
          <w:sz w:val="28"/>
          <w:szCs w:val="28"/>
        </w:rPr>
      </w:pPr>
      <w:r>
        <w:rPr>
          <w:sz w:val="28"/>
          <w:szCs w:val="28"/>
          <w:lang w:val="uk-UA"/>
        </w:rPr>
        <w:t xml:space="preserve">2.3. Визнано такими, що не відповідають статті 1 </w:t>
      </w:r>
      <w:r>
        <w:rPr>
          <w:sz w:val="28"/>
          <w:szCs w:val="28"/>
        </w:rPr>
        <w:t>Закон</w:t>
      </w:r>
      <w:r>
        <w:rPr>
          <w:sz w:val="28"/>
          <w:szCs w:val="28"/>
          <w:lang w:val="uk-UA"/>
        </w:rPr>
        <w:t>у</w:t>
      </w:r>
      <w:r>
        <w:rPr>
          <w:sz w:val="28"/>
          <w:szCs w:val="28"/>
        </w:rPr>
        <w:t xml:space="preserve"> № 1160</w:t>
      </w:r>
      <w:r>
        <w:rPr>
          <w:sz w:val="28"/>
          <w:szCs w:val="28"/>
          <w:lang w:val="uk-UA"/>
        </w:rPr>
        <w:t>:</w:t>
      </w:r>
    </w:p>
    <w:p>
      <w:pPr>
        <w:pStyle w:val="Normal"/>
        <w:tabs>
          <w:tab w:val="clear" w:pos="709"/>
          <w:tab w:val="left" w:pos="6660" w:leader="none"/>
        </w:tabs>
        <w:ind w:firstLine="567"/>
        <w:jc w:val="both"/>
        <w:rPr>
          <w:sz w:val="28"/>
          <w:szCs w:val="28"/>
        </w:rPr>
      </w:pPr>
      <w:r>
        <w:rPr>
          <w:sz w:val="28"/>
          <w:szCs w:val="28"/>
          <w:lang w:val="uk-UA"/>
        </w:rPr>
        <w:t xml:space="preserve">проєкт рішення виконавчого комітету міської ради </w:t>
      </w:r>
      <w:r>
        <w:rPr>
          <w:spacing w:val="1"/>
          <w:sz w:val="28"/>
          <w:szCs w:val="28"/>
          <w:lang w:val="uk-UA"/>
        </w:rPr>
        <w:t>«</w:t>
      </w:r>
      <w:r>
        <w:rPr>
          <w:sz w:val="28"/>
          <w:szCs w:val="28"/>
          <w:lang w:val="uk-UA"/>
        </w:rPr>
        <w:t>Про вартість послуги ДКП “Луцьктепло” з підготовки та видачі технічних умов на відключення будівлі, в тому числі житлового будинку від зовнішніх інженерних мереж теплопостачання та гарячого водопостачання»;</w:t>
      </w:r>
    </w:p>
    <w:p>
      <w:pPr>
        <w:pStyle w:val="Normal"/>
        <w:tabs>
          <w:tab w:val="clear" w:pos="709"/>
          <w:tab w:val="left" w:pos="6660" w:leader="none"/>
        </w:tabs>
        <w:ind w:firstLine="567"/>
        <w:jc w:val="both"/>
        <w:rPr>
          <w:sz w:val="28"/>
          <w:szCs w:val="28"/>
        </w:rPr>
      </w:pPr>
      <w:r>
        <w:rPr>
          <w:sz w:val="28"/>
          <w:szCs w:val="28"/>
          <w:lang w:val="uk-UA"/>
        </w:rPr>
        <w:t>проєкт рішення виконавчого комітету міської ради «Про вартість послуги ДКП “Луцьктепло” з підготовки та видачі технічних умов на відключення квартири чи нежитлового приміщення багатоквартирних будівель від централізованого опалення та гарячого водопостачання»;</w:t>
      </w:r>
    </w:p>
    <w:p>
      <w:pPr>
        <w:pStyle w:val="Normal"/>
        <w:tabs>
          <w:tab w:val="clear" w:pos="709"/>
          <w:tab w:val="left" w:pos="6660" w:leader="none"/>
        </w:tabs>
        <w:ind w:firstLine="567"/>
        <w:jc w:val="both"/>
        <w:rPr>
          <w:sz w:val="28"/>
          <w:szCs w:val="28"/>
        </w:rPr>
      </w:pPr>
      <w:r>
        <w:rPr>
          <w:sz w:val="28"/>
          <w:szCs w:val="28"/>
          <w:lang w:val="uk-UA"/>
        </w:rPr>
        <w:t>п</w:t>
      </w:r>
      <w:r>
        <w:rPr>
          <w:sz w:val="28"/>
          <w:szCs w:val="28"/>
        </w:rPr>
        <w:t>роєк</w:t>
      </w:r>
      <w:r>
        <w:rPr>
          <w:sz w:val="28"/>
          <w:szCs w:val="28"/>
          <w:lang w:val="uk-UA"/>
        </w:rPr>
        <w:t>т</w:t>
      </w:r>
      <w:r>
        <w:rPr>
          <w:sz w:val="28"/>
          <w:szCs w:val="28"/>
        </w:rPr>
        <w:t xml:space="preserve"> рішен</w:t>
      </w:r>
      <w:r>
        <w:rPr>
          <w:sz w:val="28"/>
          <w:szCs w:val="28"/>
          <w:lang w:val="uk-UA"/>
        </w:rPr>
        <w:t>ня</w:t>
      </w:r>
      <w:r>
        <w:rPr>
          <w:sz w:val="28"/>
          <w:szCs w:val="28"/>
        </w:rPr>
        <w:t xml:space="preserve"> виконавчого комітету міської ради</w:t>
      </w:r>
      <w:r>
        <w:rPr>
          <w:sz w:val="28"/>
          <w:szCs w:val="28"/>
          <w:lang w:val="uk-UA"/>
        </w:rPr>
        <w:t> </w:t>
      </w:r>
      <w:r>
        <w:rPr>
          <w:sz w:val="28"/>
          <w:szCs w:val="28"/>
        </w:rPr>
        <w:t xml:space="preserve">«Про вартість послуги ДКП </w:t>
      </w:r>
      <w:r>
        <w:rPr>
          <w:sz w:val="28"/>
          <w:szCs w:val="28"/>
          <w:lang w:val="uk-UA"/>
        </w:rPr>
        <w:t>“</w:t>
      </w:r>
      <w:r>
        <w:rPr>
          <w:sz w:val="28"/>
          <w:szCs w:val="28"/>
        </w:rPr>
        <w:t>Луцьктепло” з підготовки та видачі технічних умов на перенесення (прокладання) теплових мереж»</w:t>
      </w:r>
      <w:r>
        <w:rPr>
          <w:sz w:val="28"/>
          <w:szCs w:val="28"/>
          <w:lang w:val="uk-UA"/>
        </w:rPr>
        <w:t>;</w:t>
      </w:r>
      <w:r>
        <w:rPr>
          <w:sz w:val="28"/>
          <w:szCs w:val="28"/>
        </w:rPr>
        <w:t xml:space="preserve"> </w:t>
      </w:r>
    </w:p>
    <w:p>
      <w:pPr>
        <w:pStyle w:val="Normal"/>
        <w:tabs>
          <w:tab w:val="clear" w:pos="709"/>
          <w:tab w:val="left" w:pos="6660" w:leader="none"/>
        </w:tabs>
        <w:ind w:firstLine="567"/>
        <w:jc w:val="both"/>
        <w:rPr>
          <w:sz w:val="28"/>
          <w:szCs w:val="28"/>
        </w:rPr>
      </w:pPr>
      <w:r>
        <w:rPr>
          <w:sz w:val="28"/>
          <w:szCs w:val="28"/>
          <w:lang w:val="uk-UA"/>
        </w:rPr>
        <w:t>п</w:t>
      </w:r>
      <w:r>
        <w:rPr>
          <w:sz w:val="28"/>
          <w:szCs w:val="28"/>
        </w:rPr>
        <w:t>роєк</w:t>
      </w:r>
      <w:r>
        <w:rPr>
          <w:sz w:val="28"/>
          <w:szCs w:val="28"/>
          <w:lang w:val="uk-UA"/>
        </w:rPr>
        <w:t>т</w:t>
      </w:r>
      <w:r>
        <w:rPr>
          <w:sz w:val="28"/>
          <w:szCs w:val="28"/>
        </w:rPr>
        <w:t xml:space="preserve"> рішен</w:t>
      </w:r>
      <w:r>
        <w:rPr>
          <w:sz w:val="28"/>
          <w:szCs w:val="28"/>
          <w:lang w:val="uk-UA"/>
        </w:rPr>
        <w:t>ня</w:t>
      </w:r>
      <w:r>
        <w:rPr>
          <w:sz w:val="28"/>
          <w:szCs w:val="28"/>
        </w:rPr>
        <w:t xml:space="preserve"> виконавчого комітету міської ради «Про вартість послуги ДКП </w:t>
      </w:r>
      <w:r>
        <w:rPr>
          <w:sz w:val="28"/>
          <w:szCs w:val="28"/>
          <w:lang w:val="uk-UA"/>
        </w:rPr>
        <w:t>“</w:t>
      </w:r>
      <w:r>
        <w:rPr>
          <w:sz w:val="28"/>
          <w:szCs w:val="28"/>
        </w:rPr>
        <w:t>Луцьктепло” з підготовки та видачі технічних умов на теплопостачання об’єкта архітектури (розширення із збільшенням теплового навантаження)»</w:t>
      </w:r>
      <w:r>
        <w:rPr>
          <w:sz w:val="28"/>
          <w:szCs w:val="28"/>
          <w:lang w:val="uk-UA"/>
        </w:rPr>
        <w:t>;</w:t>
      </w:r>
    </w:p>
    <w:p>
      <w:pPr>
        <w:pStyle w:val="Normal"/>
        <w:tabs>
          <w:tab w:val="clear" w:pos="709"/>
          <w:tab w:val="left" w:pos="6660" w:leader="none"/>
        </w:tabs>
        <w:ind w:firstLine="567"/>
        <w:jc w:val="both"/>
        <w:rPr>
          <w:sz w:val="28"/>
          <w:szCs w:val="28"/>
        </w:rPr>
      </w:pPr>
      <w:r>
        <w:rPr>
          <w:sz w:val="28"/>
          <w:szCs w:val="28"/>
          <w:lang w:val="uk-UA"/>
        </w:rPr>
        <w:t>п</w:t>
      </w:r>
      <w:r>
        <w:rPr>
          <w:sz w:val="28"/>
          <w:szCs w:val="28"/>
        </w:rPr>
        <w:t>роєк</w:t>
      </w:r>
      <w:r>
        <w:rPr>
          <w:sz w:val="28"/>
          <w:szCs w:val="28"/>
          <w:lang w:val="uk-UA"/>
        </w:rPr>
        <w:t>т</w:t>
      </w:r>
      <w:r>
        <w:rPr>
          <w:sz w:val="28"/>
          <w:szCs w:val="28"/>
        </w:rPr>
        <w:t xml:space="preserve"> рішен</w:t>
      </w:r>
      <w:r>
        <w:rPr>
          <w:sz w:val="28"/>
          <w:szCs w:val="28"/>
          <w:lang w:val="uk-UA"/>
        </w:rPr>
        <w:t>ня</w:t>
      </w:r>
      <w:r>
        <w:rPr>
          <w:sz w:val="28"/>
          <w:szCs w:val="28"/>
        </w:rPr>
        <w:t xml:space="preserve"> виконавчого комітету міської ради «Про вартість послуги ДКП </w:t>
      </w:r>
      <w:r>
        <w:rPr>
          <w:sz w:val="28"/>
          <w:szCs w:val="28"/>
          <w:lang w:val="uk-UA"/>
        </w:rPr>
        <w:t>“</w:t>
      </w:r>
      <w:r>
        <w:rPr>
          <w:sz w:val="28"/>
          <w:szCs w:val="28"/>
        </w:rPr>
        <w:t>Луцьктепло” на відкриття, закриття засувки»</w:t>
      </w:r>
      <w:r>
        <w:rPr>
          <w:sz w:val="28"/>
          <w:szCs w:val="28"/>
          <w:lang w:val="uk-UA"/>
        </w:rPr>
        <w:t>.</w:t>
      </w:r>
    </w:p>
    <w:p>
      <w:pPr>
        <w:pStyle w:val="Normal"/>
        <w:tabs>
          <w:tab w:val="clear" w:pos="709"/>
          <w:tab w:val="left" w:pos="6660" w:leader="none"/>
        </w:tabs>
        <w:ind w:firstLine="567"/>
        <w:jc w:val="both"/>
        <w:rPr>
          <w:sz w:val="28"/>
          <w:szCs w:val="28"/>
        </w:rPr>
      </w:pPr>
      <w:r>
        <w:rPr>
          <w:sz w:val="28"/>
          <w:szCs w:val="28"/>
          <w:lang w:val="uk-UA"/>
        </w:rPr>
        <w:t>2.4. В</w:t>
      </w:r>
      <w:r>
        <w:rPr>
          <w:color w:val="000000"/>
          <w:sz w:val="28"/>
          <w:szCs w:val="28"/>
          <w:lang w:val="uk-UA"/>
        </w:rPr>
        <w:t xml:space="preserve">изнано таким, що в період дії воєнного стану не є доцільним для прийняття </w:t>
      </w:r>
      <w:r>
        <w:rPr>
          <w:sz w:val="28"/>
          <w:szCs w:val="28"/>
        </w:rPr>
        <w:t>проєкт рішення міської ради «Про заборону продажу пива, алкогольних, слабоалкогольних напоїв та вин столових на території Луцької міської територіальної громади»</w:t>
      </w:r>
      <w:r>
        <w:rPr>
          <w:sz w:val="28"/>
          <w:szCs w:val="28"/>
          <w:lang w:val="uk-UA"/>
        </w:rPr>
        <w:t>.</w:t>
      </w:r>
    </w:p>
    <w:p>
      <w:pPr>
        <w:pStyle w:val="Normal"/>
        <w:tabs>
          <w:tab w:val="clear" w:pos="709"/>
          <w:tab w:val="left" w:pos="6660" w:leader="none"/>
        </w:tabs>
        <w:ind w:firstLine="567"/>
        <w:jc w:val="both"/>
        <w:rPr>
          <w:sz w:val="28"/>
          <w:szCs w:val="28"/>
        </w:rPr>
      </w:pPr>
      <w:r>
        <w:rPr>
          <w:color w:val="000000"/>
          <w:sz w:val="28"/>
          <w:szCs w:val="28"/>
          <w:lang w:val="uk-UA"/>
        </w:rPr>
        <w:t xml:space="preserve">Крім того, на засіданні постійної комісії 3 чинні регуляторні акти виключено з Реєстру регуляторних актів міської ради та її виконавчого комітету, як такі, на які не поширюються вимоги </w:t>
      </w:r>
      <w:r>
        <w:rPr>
          <w:sz w:val="28"/>
          <w:szCs w:val="28"/>
          <w:lang w:val="uk-UA"/>
        </w:rPr>
        <w:t>Закону №</w:t>
      </w:r>
      <w:r>
        <w:rPr>
          <w:sz w:val="28"/>
          <w:szCs w:val="28"/>
        </w:rPr>
        <w:t> </w:t>
      </w:r>
      <w:r>
        <w:rPr>
          <w:sz w:val="28"/>
          <w:szCs w:val="28"/>
          <w:lang w:val="uk-UA"/>
        </w:rPr>
        <w:t>1160</w:t>
      </w:r>
      <w:r>
        <w:rPr>
          <w:color w:val="000000"/>
          <w:sz w:val="28"/>
          <w:szCs w:val="28"/>
          <w:lang w:val="uk-UA"/>
        </w:rPr>
        <w:t>:</w:t>
      </w:r>
    </w:p>
    <w:p>
      <w:pPr>
        <w:pStyle w:val="Normal"/>
        <w:widowControl/>
        <w:suppressAutoHyphens w:val="true"/>
        <w:bidi w:val="0"/>
        <w:spacing w:before="0" w:after="0"/>
        <w:ind w:left="0" w:right="0" w:firstLine="624"/>
        <w:jc w:val="both"/>
        <w:rPr>
          <w:sz w:val="28"/>
          <w:szCs w:val="28"/>
        </w:rPr>
      </w:pPr>
      <w:r>
        <w:rPr>
          <w:sz w:val="28"/>
          <w:szCs w:val="28"/>
          <w:lang w:val="uk-UA"/>
        </w:rPr>
        <w:t>рішення виконавчого комітету міської ради від 02.08.2017 №</w:t>
      </w:r>
      <w:r>
        <w:rPr>
          <w:sz w:val="28"/>
          <w:szCs w:val="28"/>
        </w:rPr>
        <w:t> </w:t>
      </w:r>
      <w:r>
        <w:rPr>
          <w:sz w:val="28"/>
          <w:szCs w:val="28"/>
          <w:lang w:val="uk-UA"/>
        </w:rPr>
        <w:t>428-1 «Про вартість послуг ДКП “Луцьктепло” з підготовки та видачі технічних умов»;</w:t>
      </w:r>
    </w:p>
    <w:p>
      <w:pPr>
        <w:pStyle w:val="Normal"/>
        <w:widowControl/>
        <w:suppressAutoHyphens w:val="true"/>
        <w:bidi w:val="0"/>
        <w:spacing w:before="0" w:after="0"/>
        <w:ind w:left="0" w:right="0" w:firstLine="567"/>
        <w:jc w:val="both"/>
        <w:rPr>
          <w:sz w:val="28"/>
          <w:szCs w:val="28"/>
        </w:rPr>
      </w:pPr>
      <w:r>
        <w:rPr>
          <w:sz w:val="28"/>
          <w:szCs w:val="28"/>
          <w:lang w:val="uk-UA"/>
        </w:rPr>
        <w:t>рішення виконавчого комітету міської ради від 02.08.2017 №</w:t>
      </w:r>
      <w:r>
        <w:rPr>
          <w:sz w:val="28"/>
          <w:szCs w:val="28"/>
        </w:rPr>
        <w:t> </w:t>
      </w:r>
      <w:r>
        <w:rPr>
          <w:sz w:val="28"/>
          <w:szCs w:val="28"/>
          <w:lang w:val="uk-UA"/>
        </w:rPr>
        <w:t>427-1 «Про вартість послуг з видачі технічних умов, що надаються                                                         КП “Луцькводоканал”»;</w:t>
      </w:r>
    </w:p>
    <w:p>
      <w:pPr>
        <w:pStyle w:val="Normal"/>
        <w:widowControl/>
        <w:suppressAutoHyphens w:val="true"/>
        <w:bidi w:val="0"/>
        <w:spacing w:before="0" w:after="0"/>
        <w:ind w:left="0" w:right="0" w:firstLine="624"/>
        <w:jc w:val="both"/>
        <w:rPr>
          <w:sz w:val="28"/>
          <w:szCs w:val="28"/>
        </w:rPr>
      </w:pPr>
      <w:r>
        <w:rPr>
          <w:sz w:val="28"/>
          <w:szCs w:val="28"/>
        </w:rPr>
        <w:t>рішення міської ради від</w:t>
      </w:r>
      <w:r>
        <w:rPr>
          <w:sz w:val="28"/>
          <w:szCs w:val="28"/>
          <w:lang w:val="uk-UA"/>
        </w:rPr>
        <w:t> </w:t>
      </w:r>
      <w:r>
        <w:rPr>
          <w:sz w:val="28"/>
          <w:szCs w:val="28"/>
        </w:rPr>
        <w:t>28.01.8.2015</w:t>
      </w:r>
      <w:r>
        <w:rPr>
          <w:sz w:val="28"/>
          <w:szCs w:val="28"/>
          <w:lang w:val="uk-UA"/>
        </w:rPr>
        <w:t> </w:t>
      </w:r>
      <w:r>
        <w:rPr>
          <w:sz w:val="28"/>
          <w:szCs w:val="28"/>
        </w:rPr>
        <w:t>№ 69/3 «Про</w:t>
      </w:r>
      <w:r>
        <w:rPr>
          <w:sz w:val="28"/>
          <w:szCs w:val="28"/>
          <w:lang w:val="uk-UA"/>
        </w:rPr>
        <w:t> </w:t>
      </w:r>
      <w:r>
        <w:rPr>
          <w:sz w:val="28"/>
          <w:szCs w:val="28"/>
        </w:rPr>
        <w:t>Порядок відрахування до бюджету міста частини чистого прибутку (доходу) комунальними підприємствами»</w:t>
      </w:r>
      <w:r>
        <w:rPr>
          <w:sz w:val="28"/>
          <w:szCs w:val="28"/>
          <w:lang w:val="uk-UA"/>
        </w:rPr>
        <w:t>.</w:t>
      </w:r>
    </w:p>
    <w:p>
      <w:pPr>
        <w:pStyle w:val="Normal"/>
        <w:tabs>
          <w:tab w:val="clear" w:pos="709"/>
          <w:tab w:val="left" w:pos="6660" w:leader="none"/>
        </w:tabs>
        <w:ind w:firstLine="567"/>
        <w:jc w:val="both"/>
        <w:rPr>
          <w:sz w:val="28"/>
          <w:szCs w:val="28"/>
        </w:rPr>
      </w:pPr>
      <w:r>
        <w:rPr>
          <w:color w:val="000000"/>
          <w:sz w:val="28"/>
          <w:szCs w:val="28"/>
          <w:lang w:val="uk-UA"/>
        </w:rPr>
        <w:t>3. Прийнято 4 регуляторних акти, які були рекомендовані постійною комісією до прийняття.</w:t>
      </w:r>
    </w:p>
    <w:p>
      <w:pPr>
        <w:pStyle w:val="Normal"/>
        <w:ind w:firstLine="567"/>
        <w:jc w:val="both"/>
        <w:rPr>
          <w:sz w:val="28"/>
          <w:szCs w:val="28"/>
        </w:rPr>
      </w:pPr>
      <w:r>
        <w:rPr>
          <w:sz w:val="28"/>
          <w:szCs w:val="28"/>
          <w:lang w:val="uk-UA"/>
        </w:rPr>
        <w:t>Відповідно до вимог:</w:t>
      </w:r>
    </w:p>
    <w:p>
      <w:pPr>
        <w:pStyle w:val="Normal"/>
        <w:ind w:firstLine="567"/>
        <w:jc w:val="both"/>
        <w:rPr>
          <w:sz w:val="28"/>
          <w:szCs w:val="28"/>
        </w:rPr>
      </w:pPr>
      <w:r>
        <w:rPr>
          <w:sz w:val="28"/>
          <w:szCs w:val="28"/>
          <w:lang w:val="uk-UA"/>
        </w:rPr>
        <w:t>статті 13 Закону №</w:t>
      </w:r>
      <w:r>
        <w:rPr>
          <w:sz w:val="28"/>
          <w:szCs w:val="28"/>
        </w:rPr>
        <w:t> </w:t>
      </w:r>
      <w:r>
        <w:rPr>
          <w:sz w:val="28"/>
          <w:szCs w:val="28"/>
          <w:lang w:val="uk-UA"/>
        </w:rPr>
        <w:t>1160 проєкти цих регуляторних актів та відповідні документи до них, підготовлені в процесі здійснення регуляторної діяльності, оприлюднено на офіційному сайті міської ради в розділі «Регуляторна політика»;</w:t>
      </w:r>
    </w:p>
    <w:p>
      <w:pPr>
        <w:pStyle w:val="Normal"/>
        <w:ind w:firstLine="567"/>
        <w:jc w:val="both"/>
        <w:rPr>
          <w:sz w:val="28"/>
          <w:szCs w:val="28"/>
        </w:rPr>
      </w:pPr>
      <w:r>
        <w:rPr>
          <w:sz w:val="28"/>
          <w:szCs w:val="28"/>
          <w:lang w:val="uk-UA"/>
        </w:rPr>
        <w:t>статті 12 Закону №</w:t>
      </w:r>
      <w:r>
        <w:rPr>
          <w:sz w:val="28"/>
          <w:szCs w:val="28"/>
        </w:rPr>
        <w:t> </w:t>
      </w:r>
      <w:r>
        <w:rPr>
          <w:sz w:val="28"/>
          <w:szCs w:val="28"/>
          <w:lang w:val="uk-UA"/>
        </w:rPr>
        <w:t>1160 усі прийняті регуляторні акти оприлюднено на офіційному сайті міської ради в розділі «Регуляторна політика» та надруковано у газеті «Луцький замок» у встановлені терміни.</w:t>
      </w:r>
    </w:p>
    <w:p>
      <w:pPr>
        <w:pStyle w:val="Normal"/>
        <w:ind w:firstLine="567"/>
        <w:jc w:val="both"/>
        <w:rPr>
          <w:sz w:val="28"/>
          <w:szCs w:val="28"/>
        </w:rPr>
      </w:pPr>
      <w:r>
        <w:rPr>
          <w:color w:val="000000"/>
          <w:sz w:val="28"/>
          <w:szCs w:val="28"/>
          <w:lang w:val="uk-UA"/>
        </w:rPr>
        <w:t xml:space="preserve">4. Відповідно до вимог статті 10 </w:t>
      </w:r>
      <w:r>
        <w:rPr>
          <w:sz w:val="28"/>
          <w:szCs w:val="28"/>
          <w:lang w:val="uk-UA"/>
        </w:rPr>
        <w:t>Закону №</w:t>
      </w:r>
      <w:r>
        <w:rPr>
          <w:sz w:val="28"/>
          <w:szCs w:val="28"/>
        </w:rPr>
        <w:t> </w:t>
      </w:r>
      <w:r>
        <w:rPr>
          <w:sz w:val="28"/>
          <w:szCs w:val="28"/>
          <w:lang w:val="uk-UA"/>
        </w:rPr>
        <w:t xml:space="preserve">1160 </w:t>
      </w:r>
      <w:r>
        <w:rPr>
          <w:color w:val="000000"/>
          <w:sz w:val="28"/>
          <w:szCs w:val="28"/>
          <w:lang w:val="uk-UA"/>
        </w:rPr>
        <w:t>розробниками регуляторних актів (виконавчими органами міської ради та комунальними підприємствами) підготовлено 22 звіти про здійснення заходів щодо базового, повторного та періодичного відстеження результативності дії прийнятих регуляторних актів.</w:t>
      </w:r>
    </w:p>
    <w:p>
      <w:pPr>
        <w:pStyle w:val="Normal"/>
        <w:widowControl w:val="false"/>
        <w:ind w:firstLine="567"/>
        <w:jc w:val="both"/>
        <w:rPr>
          <w:sz w:val="28"/>
          <w:szCs w:val="28"/>
        </w:rPr>
      </w:pPr>
      <w:r>
        <w:rPr>
          <w:color w:val="000000"/>
          <w:spacing w:val="1"/>
          <w:sz w:val="28"/>
          <w:szCs w:val="28"/>
          <w:lang w:val="uk-UA"/>
        </w:rPr>
        <w:t>5. На виконання протокольного рішення постійної комісії</w:t>
      </w:r>
      <w:r>
        <w:rPr>
          <w:b/>
          <w:color w:val="000000"/>
          <w:spacing w:val="1"/>
          <w:sz w:val="28"/>
          <w:szCs w:val="28"/>
          <w:lang w:val="uk-UA"/>
        </w:rPr>
        <w:t xml:space="preserve"> </w:t>
      </w:r>
      <w:r>
        <w:rPr>
          <w:spacing w:val="1"/>
          <w:sz w:val="28"/>
          <w:szCs w:val="28"/>
          <w:lang w:val="uk-UA"/>
        </w:rPr>
        <w:t xml:space="preserve">від 20.12.2021 № 7 відповідальним виконавчим органам міської ради було доручено переглянути 18 регуляторних актів на предмет їх відповідності </w:t>
      </w:r>
      <w:r>
        <w:rPr>
          <w:sz w:val="28"/>
          <w:szCs w:val="28"/>
          <w:lang w:val="uk-UA"/>
        </w:rPr>
        <w:t>Закону №</w:t>
      </w:r>
      <w:r>
        <w:rPr>
          <w:sz w:val="28"/>
          <w:szCs w:val="28"/>
        </w:rPr>
        <w:t> </w:t>
      </w:r>
      <w:r>
        <w:rPr>
          <w:sz w:val="28"/>
          <w:szCs w:val="28"/>
          <w:lang w:val="uk-UA"/>
        </w:rPr>
        <w:t>1160 шляхом внесення відповідних змін або скасування, з них:</w:t>
      </w:r>
    </w:p>
    <w:p>
      <w:pPr>
        <w:pStyle w:val="Normal"/>
        <w:widowControl w:val="false"/>
        <w:ind w:firstLine="567"/>
        <w:jc w:val="both"/>
        <w:rPr>
          <w:sz w:val="28"/>
          <w:szCs w:val="28"/>
        </w:rPr>
      </w:pPr>
      <w:r>
        <w:rPr>
          <w:sz w:val="28"/>
          <w:szCs w:val="28"/>
          <w:lang w:val="uk-UA"/>
        </w:rPr>
        <w:t>8</w:t>
      </w:r>
      <w:r>
        <w:rPr>
          <w:color w:val="000000"/>
          <w:sz w:val="28"/>
          <w:szCs w:val="28"/>
          <w:lang w:val="uk-UA"/>
        </w:rPr>
        <w:t xml:space="preserve"> – </w:t>
      </w:r>
      <w:r>
        <w:rPr>
          <w:color w:val="000000"/>
          <w:spacing w:val="1"/>
          <w:sz w:val="28"/>
          <w:szCs w:val="28"/>
          <w:lang w:val="uk-UA"/>
        </w:rPr>
        <w:t>виконано, 7</w:t>
      </w:r>
      <w:r>
        <w:rPr>
          <w:color w:val="000000"/>
          <w:sz w:val="28"/>
          <w:szCs w:val="28"/>
          <w:lang w:val="uk-UA"/>
        </w:rPr>
        <w:t xml:space="preserve"> –</w:t>
      </w:r>
      <w:r>
        <w:rPr>
          <w:color w:val="000000"/>
          <w:spacing w:val="1"/>
          <w:sz w:val="28"/>
          <w:szCs w:val="28"/>
          <w:lang w:val="uk-UA"/>
        </w:rPr>
        <w:t xml:space="preserve"> в роботі, 3</w:t>
      </w:r>
      <w:r>
        <w:rPr>
          <w:color w:val="000000"/>
          <w:sz w:val="28"/>
          <w:szCs w:val="28"/>
          <w:lang w:val="uk-UA"/>
        </w:rPr>
        <w:t xml:space="preserve"> – </w:t>
      </w:r>
      <w:r>
        <w:rPr>
          <w:color w:val="000000"/>
          <w:sz w:val="28"/>
          <w:szCs w:val="28"/>
          <w:lang w:val="uk-UA"/>
        </w:rPr>
        <w:t>з</w:t>
      </w:r>
      <w:r>
        <w:rPr>
          <w:color w:val="000000"/>
          <w:spacing w:val="1"/>
          <w:sz w:val="28"/>
          <w:szCs w:val="28"/>
          <w:lang w:val="uk-UA"/>
        </w:rPr>
        <w:t>аплановано на 2023 рік.</w:t>
      </w:r>
    </w:p>
    <w:p>
      <w:pPr>
        <w:pStyle w:val="Normal"/>
        <w:widowControl w:val="false"/>
        <w:ind w:firstLine="567"/>
        <w:jc w:val="both"/>
        <w:rPr>
          <w:sz w:val="28"/>
          <w:szCs w:val="28"/>
        </w:rPr>
      </w:pPr>
      <w:r>
        <w:rPr>
          <w:color w:val="000000"/>
          <w:spacing w:val="1"/>
          <w:sz w:val="28"/>
          <w:szCs w:val="28"/>
          <w:lang w:val="uk-UA"/>
        </w:rPr>
        <w:t>6. З метою неухильного дотримання вимог та норм законодавства при підготовці проєктів регуляторних актів та здійсненні відстеження їх результативності департаментом економічної політики міської ради розроблено Порядок здійснення регуляторної політики щодо прийняття регуляторних актів та відстеження їх результативності розробниками регуляторних актів (виконавчими органами міської ради, комунальними підприємствами) відповідно до Закону України «Про засади державної регуляторної політики у сфері господарської діяльності» від 11.09.2003                         №</w:t>
      </w:r>
      <w:r>
        <w:rPr>
          <w:sz w:val="28"/>
          <w:szCs w:val="28"/>
          <w:lang w:val="uk-UA"/>
        </w:rPr>
        <w:t> </w:t>
      </w:r>
      <w:r>
        <w:rPr>
          <w:color w:val="000000"/>
          <w:spacing w:val="1"/>
          <w:sz w:val="28"/>
          <w:szCs w:val="28"/>
          <w:lang w:val="uk-UA"/>
        </w:rPr>
        <w:t xml:space="preserve">1160-IV та доведено до виконавців для використання в роботі. </w:t>
      </w:r>
    </w:p>
    <w:p>
      <w:pPr>
        <w:pStyle w:val="Normal"/>
        <w:widowControl w:val="false"/>
        <w:ind w:firstLine="567"/>
        <w:jc w:val="both"/>
        <w:rPr>
          <w:sz w:val="28"/>
          <w:szCs w:val="28"/>
        </w:rPr>
      </w:pPr>
      <w:r>
        <w:rPr>
          <w:sz w:val="28"/>
          <w:szCs w:val="28"/>
          <w:lang w:val="uk-UA"/>
        </w:rPr>
        <w:t>7. Для забезпечення дотримання прозорості виконання Закону №</w:t>
      </w:r>
      <w:r>
        <w:rPr>
          <w:sz w:val="28"/>
          <w:szCs w:val="28"/>
        </w:rPr>
        <w:t> </w:t>
      </w:r>
      <w:r>
        <w:rPr>
          <w:sz w:val="28"/>
          <w:szCs w:val="28"/>
          <w:lang w:val="uk-UA"/>
        </w:rPr>
        <w:t>1160 на офіційному сайті міської ради в розділах «Регуляторна політика» розміщено плани з підготовки проєктів регуляторних актів, переліки проєктів регуляторних актів, проєкти регуляторних актів, аналізи їх регуляторного впливу та повідомлення про їх оприлюднення, реєстр регуляторних актів, звіти про відстеження результативності регуляторних актів, план-графік щодо проведення відстежень результативності регуляторних актів, річні звіти про здійснення державної регуляторної політики та інформацію для розробників регуляторних актів, а в розділі «Прозорість влади» / «Відкриті дані» </w:t>
      </w:r>
      <w:r>
        <w:rPr>
          <w:spacing w:val="1"/>
          <w:sz w:val="28"/>
          <w:szCs w:val="28"/>
          <w:lang w:val="uk-UA"/>
        </w:rPr>
        <w:t>–</w:t>
      </w:r>
      <w:r>
        <w:rPr>
          <w:sz w:val="28"/>
          <w:szCs w:val="28"/>
          <w:lang w:val="uk-UA"/>
        </w:rPr>
        <w:t> плани з підготовки проєктів регуляторних актів, переліки проєктів регуляторних актів, реєстр регуляторних актів.</w:t>
      </w:r>
    </w:p>
    <w:p>
      <w:pPr>
        <w:pStyle w:val="Normal"/>
        <w:widowControl w:val="false"/>
        <w:ind w:firstLine="567"/>
        <w:jc w:val="both"/>
        <w:rPr>
          <w:sz w:val="28"/>
          <w:szCs w:val="28"/>
        </w:rPr>
      </w:pPr>
      <w:r>
        <w:rPr>
          <w:color w:val="000000"/>
          <w:spacing w:val="1"/>
          <w:sz w:val="28"/>
          <w:szCs w:val="28"/>
          <w:lang w:val="uk-UA"/>
        </w:rPr>
        <w:t xml:space="preserve">Водночас Луцька міська рада за допомогою платформи електронної демократії «Е-DEM-консультації з громадськістю» вивчає думку мешканців громади щодо прийняття нормативно-правових актів шляхом розміщення проєктів рішень міської ради та її виконавчого комітету </w:t>
      </w:r>
      <w:r>
        <w:rPr>
          <w:color w:val="000000"/>
          <w:sz w:val="28"/>
          <w:szCs w:val="28"/>
          <w:lang w:val="uk-UA"/>
        </w:rPr>
        <w:t>для обговорення та врахування/відхилення пропозицій від громадськості.</w:t>
      </w:r>
    </w:p>
    <w:p>
      <w:pPr>
        <w:pStyle w:val="Normal"/>
        <w:ind w:firstLine="567"/>
        <w:jc w:val="both"/>
        <w:rPr>
          <w:sz w:val="28"/>
          <w:szCs w:val="28"/>
        </w:rPr>
      </w:pPr>
      <w:r>
        <w:rPr>
          <w:sz w:val="28"/>
          <w:szCs w:val="28"/>
          <w:lang w:val="uk-UA"/>
        </w:rPr>
        <w:t>Протягом</w:t>
      </w:r>
      <w:r>
        <w:rPr>
          <w:color w:val="000000"/>
          <w:sz w:val="28"/>
          <w:szCs w:val="28"/>
          <w:lang w:val="uk-UA"/>
        </w:rPr>
        <w:t xml:space="preserve"> звітного періоду </w:t>
      </w:r>
      <w:r>
        <w:rPr>
          <w:sz w:val="28"/>
          <w:szCs w:val="28"/>
          <w:lang w:val="uk-UA"/>
        </w:rPr>
        <w:t>департаментом економічної політики міської ради надавався методичний супровід та здійснювався постійний контроль щодо дотримання розробниками вимог Закону №</w:t>
      </w:r>
      <w:r>
        <w:rPr>
          <w:sz w:val="28"/>
          <w:szCs w:val="28"/>
        </w:rPr>
        <w:t> </w:t>
      </w:r>
      <w:r>
        <w:rPr>
          <w:sz w:val="28"/>
          <w:szCs w:val="28"/>
          <w:lang w:val="uk-UA"/>
        </w:rPr>
        <w:t xml:space="preserve">1160 та постанови Кабінету Міністрів України від 11.03.2004 № 308 «Про затвердження методик проведення аналізу впливу та відстеження результативності регуляторного акта». </w:t>
      </w:r>
    </w:p>
    <w:p>
      <w:pPr>
        <w:pStyle w:val="Normal"/>
        <w:jc w:val="both"/>
        <w:rPr>
          <w:lang w:val="uk-UA"/>
        </w:rPr>
      </w:pPr>
      <w:r>
        <w:rPr>
          <w:lang w:val="uk-UA"/>
        </w:rPr>
      </w:r>
    </w:p>
    <w:p>
      <w:pPr>
        <w:pStyle w:val="Normal"/>
        <w:jc w:val="both"/>
        <w:rPr>
          <w:lang w:val="uk-UA"/>
        </w:rPr>
      </w:pPr>
      <w:r>
        <w:rPr>
          <w:lang w:val="uk-UA"/>
        </w:rPr>
      </w:r>
    </w:p>
    <w:p>
      <w:pPr>
        <w:pStyle w:val="Normal"/>
        <w:jc w:val="both"/>
        <w:rPr>
          <w:sz w:val="28"/>
          <w:szCs w:val="28"/>
          <w:lang w:val="uk-UA"/>
        </w:rPr>
      </w:pPr>
      <w:r>
        <w:rPr>
          <w:sz w:val="28"/>
          <w:szCs w:val="28"/>
          <w:lang w:val="uk-UA"/>
        </w:rPr>
        <w:t>Міський голова</w:t>
        <w:tab/>
        <w:tab/>
        <w:tab/>
        <w:tab/>
        <w:tab/>
        <w:tab/>
        <w:tab/>
        <w:tab/>
        <w:t>Ігор ПОЛІЩУК</w:t>
      </w:r>
    </w:p>
    <w:sectPr>
      <w:type w:val="nextPage"/>
      <w:pgSz w:w="11906" w:h="16838"/>
      <w:pgMar w:left="1985" w:right="567" w:header="0" w:top="1134" w:footer="0" w:bottom="1134" w:gutter="0"/>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Segoe UI">
    <w:charset w:val="cc"/>
    <w:family w:val="roman"/>
    <w:pitch w:val="variable"/>
  </w:font>
  <w:font w:name="TimesNewRomanPSMT">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isplayBackgroundShape/>
  <w:embedSystemFonts/>
  <w:defaultTabStop w:val="709"/>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4"/>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lang w:val="uk-UA"/>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4" w:customStyle="1">
    <w:name w:val="Шрифт абзацу за промовчанням4"/>
    <w:qFormat/>
    <w:rPr/>
  </w:style>
  <w:style w:type="character" w:styleId="3" w:customStyle="1">
    <w:name w:val="Шрифт абзацу за промовчанням3"/>
    <w:qFormat/>
    <w:rPr/>
  </w:style>
  <w:style w:type="character" w:styleId="21" w:customStyle="1">
    <w:name w:val="Шрифт абзацу за промовчанням2"/>
    <w:qFormat/>
    <w:rPr/>
  </w:style>
  <w:style w:type="character" w:styleId="11" w:customStyle="1">
    <w:name w:val="Шрифт абзацу за промовчанням1"/>
    <w:qFormat/>
    <w:rPr/>
  </w:style>
  <w:style w:type="character" w:styleId="Style12" w:customStyle="1">
    <w:name w:val="Основной шрифт абзаца"/>
    <w:qFormat/>
    <w:rPr/>
  </w:style>
  <w:style w:type="character" w:styleId="WW8Num2z0" w:customStyle="1">
    <w:name w:val="WW8Num2z0"/>
    <w:qFormat/>
    <w:rPr>
      <w:rFonts w:ascii="Times New Roman" w:hAnsi="Times New Roman" w:eastAsia="Times New Roman" w:cs="Times New Roman"/>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2z3" w:customStyle="1">
    <w:name w:val="WW8Num2z3"/>
    <w:qFormat/>
    <w:rPr>
      <w:rFonts w:ascii="Symbol" w:hAnsi="Symbol" w:cs="Symbol"/>
    </w:rPr>
  </w:style>
  <w:style w:type="character" w:styleId="22" w:customStyle="1">
    <w:name w:val="Основной шрифт абзаца2"/>
    <w:qFormat/>
    <w:rPr/>
  </w:style>
  <w:style w:type="character" w:styleId="12" w:customStyle="1">
    <w:name w:val="Основной шрифт абзаца1"/>
    <w:qFormat/>
    <w:rPr/>
  </w:style>
  <w:style w:type="character" w:styleId="Style13">
    <w:name w:val="Гіперпосилання"/>
    <w:rPr>
      <w:color w:val="0000FF"/>
      <w:u w:val="single"/>
    </w:rPr>
  </w:style>
  <w:style w:type="character" w:styleId="Pagenumber">
    <w:name w:val="page number"/>
    <w:basedOn w:val="22"/>
    <w:qFormat/>
    <w:rPr/>
  </w:style>
  <w:style w:type="character" w:styleId="5" w:customStyle="1">
    <w:name w:val="Шрифт абзацу за промовчанням5"/>
    <w:qFormat/>
    <w:rPr/>
  </w:style>
  <w:style w:type="character" w:styleId="Style14" w:customStyle="1">
    <w:name w:val="Верхній колонтитул Знак"/>
    <w:uiPriority w:val="99"/>
    <w:qFormat/>
    <w:rPr>
      <w:kern w:val="2"/>
      <w:sz w:val="24"/>
      <w:szCs w:val="24"/>
      <w:lang w:val="ru-RU" w:eastAsia="zh-CN"/>
    </w:rPr>
  </w:style>
  <w:style w:type="character" w:styleId="Style15" w:customStyle="1">
    <w:name w:val="Текст у виносці Знак"/>
    <w:basedOn w:val="DefaultParagraphFont"/>
    <w:link w:val="afa"/>
    <w:uiPriority w:val="99"/>
    <w:semiHidden/>
    <w:qFormat/>
    <w:rsid w:val="001e2f24"/>
    <w:rPr>
      <w:rFonts w:ascii="Segoe UI" w:hAnsi="Segoe UI" w:cs="Segoe UI"/>
      <w:kern w:val="2"/>
      <w:sz w:val="18"/>
      <w:szCs w:val="18"/>
      <w:lang w:val="ru-RU" w:eastAsia="zh-CN"/>
    </w:rPr>
  </w:style>
  <w:style w:type="character" w:styleId="Fontstyle11" w:customStyle="1">
    <w:name w:val="fontstyle11"/>
    <w:qFormat/>
    <w:rsid w:val="00d3534b"/>
    <w:rPr>
      <w:rFonts w:ascii="TimesNewRomanPSMT" w:hAnsi="TimesNewRomanPSMT"/>
      <w:b w:val="false"/>
      <w:bCs w:val="false"/>
      <w:i w:val="false"/>
      <w:iCs w:val="false"/>
      <w:color w:val="000000"/>
      <w:sz w:val="28"/>
      <w:szCs w:val="28"/>
    </w:rPr>
  </w:style>
  <w:style w:type="character" w:styleId="HTML" w:customStyle="1">
    <w:name w:val="Стандартний HTML Знак"/>
    <w:basedOn w:val="DefaultParagraphFont"/>
    <w:link w:val="HTML"/>
    <w:qFormat/>
    <w:rsid w:val="00d3534b"/>
    <w:rPr>
      <w:rFonts w:ascii="Courier New" w:hAnsi="Courier New" w:cs="Courier New"/>
      <w:lang w:eastAsia="zh-CN"/>
    </w:rPr>
  </w:style>
  <w:style w:type="paragraph" w:styleId="Style16" w:customStyle="1">
    <w:name w:val="Заголовок"/>
    <w:basedOn w:val="Normal"/>
    <w:next w:val="Style17"/>
    <w:qFormat/>
    <w:pPr>
      <w:keepNext w:val="true"/>
      <w:spacing w:before="240" w:after="120"/>
    </w:pPr>
    <w:rPr>
      <w:rFonts w:ascii="Liberation Sans" w:hAnsi="Liberation Sans" w:eastAsia="Microsoft YaHei" w:cs="Mangal"/>
      <w:sz w:val="28"/>
      <w:szCs w:val="28"/>
    </w:rPr>
  </w:style>
  <w:style w:type="paragraph" w:styleId="Style17">
    <w:name w:val="Body Text"/>
    <w:basedOn w:val="Normal"/>
    <w:pPr>
      <w:spacing w:lineRule="auto" w:line="288" w:before="0" w:after="140"/>
    </w:pPr>
    <w:rPr/>
  </w:style>
  <w:style w:type="paragraph" w:styleId="Style18">
    <w:name w:val="List"/>
    <w:basedOn w:val="Style17"/>
    <w:pPr/>
    <w:rPr>
      <w:rFonts w:cs="Mangal"/>
    </w:rPr>
  </w:style>
  <w:style w:type="paragraph" w:styleId="Style19">
    <w:name w:val="Caption"/>
    <w:basedOn w:val="Normal"/>
    <w:qFormat/>
    <w:pPr>
      <w:suppressLineNumbers/>
      <w:spacing w:before="120" w:after="120"/>
    </w:pPr>
    <w:rPr>
      <w:rFonts w:cs="Arial"/>
      <w:i/>
      <w:iCs/>
      <w:sz w:val="24"/>
      <w:szCs w:val="24"/>
    </w:rPr>
  </w:style>
  <w:style w:type="paragraph" w:styleId="Style20"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Lucida Sans"/>
      <w:i/>
      <w:iCs/>
    </w:rPr>
  </w:style>
  <w:style w:type="paragraph" w:styleId="41" w:customStyle="1">
    <w:name w:val="Назва об'єкта4"/>
    <w:basedOn w:val="Normal"/>
    <w:qFormat/>
    <w:pPr>
      <w:suppressLineNumbers/>
      <w:spacing w:before="120" w:after="120"/>
    </w:pPr>
    <w:rPr>
      <w:rFonts w:cs="Lucida Sans"/>
      <w:i/>
      <w:iCs/>
    </w:rPr>
  </w:style>
  <w:style w:type="paragraph" w:styleId="31" w:customStyle="1">
    <w:name w:val="Назва об'єкта3"/>
    <w:basedOn w:val="Normal"/>
    <w:qFormat/>
    <w:pPr>
      <w:suppressLineNumbers/>
      <w:spacing w:before="120" w:after="120"/>
    </w:pPr>
    <w:rPr>
      <w:rFonts w:cs="Lucida Sans"/>
      <w:i/>
      <w:iCs/>
    </w:rPr>
  </w:style>
  <w:style w:type="paragraph" w:styleId="23" w:customStyle="1">
    <w:name w:val="Назва об'єкта2"/>
    <w:basedOn w:val="Normal"/>
    <w:qFormat/>
    <w:pPr>
      <w:suppressLineNumbers/>
      <w:spacing w:before="120" w:after="120"/>
    </w:pPr>
    <w:rPr>
      <w:rFonts w:cs="Lucida Sans"/>
      <w:i/>
      <w:iCs/>
    </w:rPr>
  </w:style>
  <w:style w:type="paragraph" w:styleId="13" w:customStyle="1">
    <w:name w:val="Назва об'єкта1"/>
    <w:basedOn w:val="Normal"/>
    <w:qFormat/>
    <w:pPr>
      <w:suppressLineNumbers/>
      <w:spacing w:before="120" w:after="120"/>
    </w:pPr>
    <w:rPr>
      <w:rFonts w:cs="Arial"/>
      <w:i/>
      <w:iCs/>
    </w:rPr>
  </w:style>
  <w:style w:type="paragraph" w:styleId="Style21" w:customStyle="1">
    <w:name w:val="Название объекта"/>
    <w:basedOn w:val="Normal"/>
    <w:qFormat/>
    <w:pPr>
      <w:suppressLineNumbers/>
      <w:spacing w:before="120" w:after="120"/>
    </w:pPr>
    <w:rPr>
      <w:rFonts w:cs="Arial"/>
      <w:i/>
      <w:iCs/>
    </w:rPr>
  </w:style>
  <w:style w:type="paragraph" w:styleId="14" w:customStyle="1">
    <w:name w:val="Название объекта1"/>
    <w:basedOn w:val="Normal"/>
    <w:qFormat/>
    <w:pPr>
      <w:suppressLineNumbers/>
      <w:spacing w:before="120" w:after="120"/>
    </w:pPr>
    <w:rPr>
      <w:rFonts w:cs="Mangal"/>
      <w:i/>
      <w:iCs/>
    </w:rPr>
  </w:style>
  <w:style w:type="paragraph" w:styleId="15" w:customStyle="1">
    <w:name w:val="Указатель1"/>
    <w:basedOn w:val="Normal"/>
    <w:qFormat/>
    <w:pPr>
      <w:suppressLineNumbers/>
    </w:pPr>
    <w:rPr>
      <w:rFonts w:cs="Mangal"/>
    </w:rPr>
  </w:style>
  <w:style w:type="paragraph" w:styleId="Style22" w:customStyle="1">
    <w:name w:val="Текст выноски"/>
    <w:basedOn w:val="Normal"/>
    <w:qFormat/>
    <w:pPr/>
    <w:rPr>
      <w:rFonts w:ascii="Tahoma" w:hAnsi="Tahoma" w:cs="Tahoma"/>
      <w:sz w:val="16"/>
      <w:szCs w:val="16"/>
    </w:rPr>
  </w:style>
  <w:style w:type="paragraph" w:styleId="Style23" w:customStyle="1">
    <w:name w:val="Знак"/>
    <w:basedOn w:val="Normal"/>
    <w:qFormat/>
    <w:pPr/>
    <w:rPr>
      <w:rFonts w:ascii="Verdana" w:hAnsi="Verdana" w:cs="Verdana"/>
      <w:sz w:val="20"/>
      <w:szCs w:val="20"/>
      <w:lang w:val="en-US"/>
    </w:rPr>
  </w:style>
  <w:style w:type="paragraph" w:styleId="Style24" w:customStyle="1">
    <w:name w:val="Знак Знак Знак"/>
    <w:basedOn w:val="Normal"/>
    <w:qFormat/>
    <w:pPr/>
    <w:rPr>
      <w:rFonts w:ascii="Verdana" w:hAnsi="Verdana" w:cs="Verdana"/>
      <w:sz w:val="20"/>
      <w:szCs w:val="20"/>
      <w:lang w:val="en-US"/>
    </w:rPr>
  </w:style>
  <w:style w:type="paragraph" w:styleId="Style25" w:customStyle="1">
    <w:name w:val="Содержимое таблицы"/>
    <w:basedOn w:val="Normal"/>
    <w:qFormat/>
    <w:pPr>
      <w:suppressLineNumbers/>
    </w:pPr>
    <w:rPr/>
  </w:style>
  <w:style w:type="paragraph" w:styleId="Style26" w:customStyle="1">
    <w:name w:val="Заголовок таблицы"/>
    <w:basedOn w:val="Style25"/>
    <w:qFormat/>
    <w:pPr>
      <w:jc w:val="center"/>
    </w:pPr>
    <w:rPr>
      <w:b/>
      <w:bCs/>
    </w:rPr>
  </w:style>
  <w:style w:type="paragraph" w:styleId="Style2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28">
    <w:name w:val="Header"/>
    <w:basedOn w:val="Normal"/>
    <w:uiPriority w:val="99"/>
    <w:pPr>
      <w:tabs>
        <w:tab w:val="clear" w:pos="709"/>
        <w:tab w:val="center" w:pos="4677" w:leader="none"/>
        <w:tab w:val="right" w:pos="9355" w:leader="none"/>
      </w:tabs>
    </w:pPr>
    <w:rPr/>
  </w:style>
  <w:style w:type="paragraph" w:styleId="Style29">
    <w:name w:val="Footer"/>
    <w:basedOn w:val="Normal"/>
    <w:pPr>
      <w:tabs>
        <w:tab w:val="clear" w:pos="709"/>
        <w:tab w:val="center" w:pos="4677" w:leader="none"/>
        <w:tab w:val="right" w:pos="9355" w:leader="none"/>
      </w:tabs>
    </w:pPr>
    <w:rPr/>
  </w:style>
  <w:style w:type="paragraph" w:styleId="Style30" w:customStyle="1">
    <w:name w:val="Вміст рамки"/>
    <w:basedOn w:val="Normal"/>
    <w:qFormat/>
    <w:pPr/>
    <w:rPr/>
  </w:style>
  <w:style w:type="paragraph" w:styleId="Rvps2" w:customStyle="1">
    <w:name w:val="rvps2"/>
    <w:basedOn w:val="Normal"/>
    <w:qFormat/>
    <w:pPr>
      <w:spacing w:before="280" w:after="280"/>
    </w:pPr>
    <w:rPr/>
  </w:style>
  <w:style w:type="paragraph" w:styleId="Style31" w:customStyle="1">
    <w:name w:val="Без интервала"/>
    <w:qFormat/>
    <w:pPr>
      <w:widowControl w:val="false"/>
      <w:suppressAutoHyphens w:val="true"/>
      <w:bidi w:val="0"/>
      <w:spacing w:before="0" w:after="0"/>
      <w:jc w:val="left"/>
    </w:pPr>
    <w:rPr>
      <w:rFonts w:ascii="Courier New" w:hAnsi="Courier New" w:cs="Courier New" w:eastAsia="Times New Roman"/>
      <w:color w:val="000000"/>
      <w:kern w:val="2"/>
      <w:sz w:val="24"/>
      <w:szCs w:val="24"/>
      <w:lang w:eastAsia="zh-CN" w:val="uk-UA" w:bidi="ar-SA"/>
    </w:rPr>
  </w:style>
  <w:style w:type="paragraph" w:styleId="Style32" w:customStyle="1">
    <w:name w:val="Знак Знак Знак Знак"/>
    <w:basedOn w:val="Normal"/>
    <w:qFormat/>
    <w:pPr/>
    <w:rPr>
      <w:rFonts w:ascii="Verdana" w:hAnsi="Verdana" w:cs="Verdana"/>
      <w:sz w:val="20"/>
      <w:szCs w:val="20"/>
      <w:lang w:val="en-US"/>
    </w:rPr>
  </w:style>
  <w:style w:type="paragraph" w:styleId="NormalWeb">
    <w:name w:val="Normal (Web)"/>
    <w:basedOn w:val="Normal"/>
    <w:qFormat/>
    <w:pPr>
      <w:suppressAutoHyphens w:val="false"/>
      <w:spacing w:lineRule="auto" w:line="276" w:before="280" w:after="142"/>
    </w:pPr>
    <w:rPr>
      <w:kern w:val="0"/>
      <w:lang w:val="uk-UA"/>
    </w:rPr>
  </w:style>
  <w:style w:type="paragraph" w:styleId="16" w:customStyle="1">
    <w:name w:val="Звичайна таблиця1"/>
    <w:qFormat/>
    <w:pPr>
      <w:widowControl/>
      <w:suppressAutoHyphens w:val="true"/>
      <w:bidi w:val="0"/>
      <w:spacing w:before="0" w:after="0"/>
      <w:jc w:val="left"/>
    </w:pPr>
    <w:rPr>
      <w:rFonts w:ascii="Liberation Serif" w:hAnsi="Liberation Serif" w:eastAsia="NSimSun" w:cs="Arial"/>
      <w:color w:val="auto"/>
      <w:kern w:val="0"/>
      <w:sz w:val="24"/>
      <w:szCs w:val="24"/>
      <w:lang w:eastAsia="zh-CN" w:bidi="hi-IN" w:val="uk-UA"/>
    </w:rPr>
  </w:style>
  <w:style w:type="paragraph" w:styleId="ListParagraph">
    <w:name w:val="List Paragraph"/>
    <w:basedOn w:val="Normal"/>
    <w:uiPriority w:val="34"/>
    <w:qFormat/>
    <w:rsid w:val="00f74f2c"/>
    <w:pPr>
      <w:spacing w:before="0" w:after="0"/>
      <w:ind w:left="720" w:hanging="0"/>
      <w:contextualSpacing/>
    </w:pPr>
    <w:rPr/>
  </w:style>
  <w:style w:type="paragraph" w:styleId="BalloonText">
    <w:name w:val="Balloon Text"/>
    <w:basedOn w:val="Normal"/>
    <w:link w:val="afb"/>
    <w:uiPriority w:val="99"/>
    <w:semiHidden/>
    <w:unhideWhenUsed/>
    <w:qFormat/>
    <w:rsid w:val="001e2f24"/>
    <w:pPr/>
    <w:rPr>
      <w:rFonts w:ascii="Segoe UI" w:hAnsi="Segoe UI" w:cs="Segoe UI"/>
      <w:sz w:val="18"/>
      <w:szCs w:val="18"/>
    </w:rPr>
  </w:style>
  <w:style w:type="paragraph" w:styleId="HTMLPreformatted">
    <w:name w:val="HTML Preformatted"/>
    <w:basedOn w:val="Normal"/>
    <w:link w:val="HTML0"/>
    <w:qFormat/>
    <w:rsid w:val="00d3534b"/>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kern w:val="0"/>
      <w:sz w:val="20"/>
      <w:szCs w:val="20"/>
      <w:lang w:val="uk-U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711</TotalTime>
  <Application>LibreOffice/7.1.3.2$Windows_X86_64 LibreOffice_project/47f78053abe362b9384784d31a6e56f8511eb1c1</Application>
  <AppVersion>15.0000</AppVersion>
  <Pages>4</Pages>
  <Words>1163</Words>
  <Characters>7898</Characters>
  <CharactersWithSpaces>9115</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2022-12-22T08:58:00Z</dcterms:created>
  <dc:creator>Andrianova</dc:creator>
  <dc:description/>
  <dc:language>uk-UA</dc:language>
  <cp:lastModifiedBy/>
  <cp:lastPrinted>2022-12-29T13:47:00Z</cp:lastPrinted>
  <dcterms:modified xsi:type="dcterms:W3CDTF">2023-01-06T11:09:49Z</dcterms:modified>
  <cp:revision>135</cp:revision>
  <dc:subject/>
  <dc:title>Інформація про виконання  у 2012 році вимог ст</dc:title>
</cp:coreProperties>
</file>

<file path=docProps/custom.xml><?xml version="1.0" encoding="utf-8"?>
<Properties xmlns="http://schemas.openxmlformats.org/officeDocument/2006/custom-properties" xmlns:vt="http://schemas.openxmlformats.org/officeDocument/2006/docPropsVTypes"/>
</file>