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/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Додаток 2</w:t>
      </w:r>
    </w:p>
    <w:p>
      <w:pPr>
        <w:pStyle w:val="5"/>
        <w:numPr>
          <w:ilvl w:val="4"/>
          <w:numId w:val="2"/>
        </w:numPr>
        <w:spacing w:before="0" w:after="0"/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до Програми розвитку </w:t>
      </w:r>
    </w:p>
    <w:p>
      <w:pPr>
        <w:pStyle w:val="1"/>
        <w:numPr>
          <w:ilvl w:val="0"/>
          <w:numId w:val="2"/>
        </w:numPr>
        <w:jc w:val="both"/>
        <w:rPr/>
      </w:pPr>
      <w:r>
        <w:rPr>
          <w:b w:val="false"/>
          <w:bCs w:val="false"/>
          <w:sz w:val="28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цивільного захисту Луцької</w:t>
      </w:r>
    </w:p>
    <w:p>
      <w:pPr>
        <w:pStyle w:val="Normal"/>
        <w:jc w:val="both"/>
        <w:rPr/>
      </w:pPr>
      <w:r>
        <w:rPr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міської територіальної громади </w:t>
      </w:r>
    </w:p>
    <w:p>
      <w:pPr>
        <w:pStyle w:val="Normal"/>
        <w:jc w:val="both"/>
        <w:rPr/>
      </w:pPr>
      <w:r>
        <w:rPr>
          <w:bCs w:val="false"/>
          <w:szCs w:val="28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>на 2021-2025 роки</w:t>
      </w:r>
    </w:p>
    <w:p>
      <w:pPr>
        <w:pStyle w:val="1"/>
        <w:numPr>
          <w:ilvl w:val="0"/>
          <w:numId w:val="2"/>
        </w:numPr>
        <w:ind w:left="1531" w:hanging="454"/>
        <w:rPr/>
      </w:pPr>
      <w:r>
        <w:rPr>
          <w:b w:val="false"/>
          <w:bCs w:val="false"/>
          <w:sz w:val="28"/>
          <w:szCs w:val="28"/>
        </w:rPr>
        <w:t xml:space="preserve"> 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 xml:space="preserve">Напрями діяльності, завдання та заходи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 xml:space="preserve">виконання Програми розвитку цивільного захисту </w:t>
      </w:r>
    </w:p>
    <w:p>
      <w:pPr>
        <w:pStyle w:val="1"/>
        <w:numPr>
          <w:ilvl w:val="0"/>
          <w:numId w:val="2"/>
        </w:numPr>
        <w:rPr/>
      </w:pPr>
      <w:r>
        <w:rPr>
          <w:b w:val="false"/>
          <w:bCs w:val="false"/>
          <w:sz w:val="28"/>
          <w:szCs w:val="28"/>
        </w:rPr>
        <w:t>Луцької</w:t>
      </w:r>
      <w:r>
        <w:rPr>
          <w:sz w:val="28"/>
        </w:rPr>
        <w:t xml:space="preserve"> </w:t>
      </w:r>
      <w:r>
        <w:rPr>
          <w:b w:val="false"/>
          <w:bCs w:val="false"/>
          <w:sz w:val="28"/>
        </w:rPr>
        <w:t xml:space="preserve">міської територіальної громади </w:t>
      </w:r>
      <w:r>
        <w:rPr>
          <w:b w:val="false"/>
          <w:bCs w:val="false"/>
          <w:sz w:val="28"/>
          <w:szCs w:val="28"/>
        </w:rPr>
        <w:t>на 2021-2025 роки</w:t>
      </w:r>
    </w:p>
    <w:p>
      <w:pPr>
        <w:pStyle w:val="Normal"/>
        <w:numPr>
          <w:ilvl w:val="0"/>
          <w:numId w:val="2"/>
        </w:numPr>
        <w:jc w:val="center"/>
        <w:rPr/>
      </w:pPr>
      <w:r>
        <w:rPr/>
      </w:r>
    </w:p>
    <w:tbl>
      <w:tblPr>
        <w:tblW w:w="15816" w:type="dxa"/>
        <w:jc w:val="left"/>
        <w:tblInd w:w="-95" w:type="dxa"/>
        <w:tblBorders>
          <w:top w:val="single" w:sz="4" w:space="0" w:color="000001"/>
          <w:left w:val="single" w:sz="4" w:space="0" w:color="000001"/>
          <w:bottom w:val="single" w:sz="4" w:space="0" w:color="000001"/>
          <w:insideH w:val="single" w:sz="4" w:space="0" w:color="000001"/>
        </w:tblBorders>
        <w:tblCellMar>
          <w:top w:w="0" w:type="dxa"/>
          <w:left w:w="-5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8"/>
        <w:gridCol w:w="2700"/>
        <w:gridCol w:w="2886"/>
        <w:gridCol w:w="1223"/>
        <w:gridCol w:w="3"/>
        <w:gridCol w:w="1175"/>
        <w:gridCol w:w="3"/>
        <w:gridCol w:w="989"/>
        <w:gridCol w:w="3"/>
        <w:gridCol w:w="1077"/>
        <w:gridCol w:w="1071"/>
        <w:gridCol w:w="1"/>
        <w:gridCol w:w="1139"/>
        <w:gridCol w:w="2"/>
        <w:gridCol w:w="1097"/>
        <w:gridCol w:w="2"/>
        <w:gridCol w:w="2015"/>
      </w:tblGrid>
      <w:tr>
        <w:trPr>
          <w:trHeight w:val="1244" w:hRule="atLeast"/>
          <w:cantSplit w:val="true"/>
        </w:trPr>
        <w:tc>
          <w:tcPr>
            <w:tcW w:w="42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rPr/>
            </w:pPr>
            <w:r>
              <w:rPr/>
              <w:t xml:space="preserve">№ </w:t>
            </w:r>
            <w:r>
              <w:rPr/>
              <w:t>з/п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rPr/>
            </w:pPr>
            <w:r>
              <w:rPr/>
            </w:r>
          </w:p>
        </w:tc>
        <w:tc>
          <w:tcPr>
            <w:tcW w:w="270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Найменування заходів</w:t>
            </w:r>
          </w:p>
        </w:tc>
        <w:tc>
          <w:tcPr>
            <w:tcW w:w="2886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Виконавці</w:t>
            </w:r>
          </w:p>
        </w:tc>
        <w:tc>
          <w:tcPr>
            <w:tcW w:w="1226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6350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Джерело фінансу-вання</w:t>
            </w:r>
          </w:p>
        </w:tc>
        <w:tc>
          <w:tcPr>
            <w:tcW w:w="1178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Обсяги фінан-сування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(тис.грн)</w:t>
            </w:r>
          </w:p>
        </w:tc>
        <w:tc>
          <w:tcPr>
            <w:tcW w:w="5381" w:type="dxa"/>
            <w:gridSpan w:val="9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Графік проведення робіт (накопичення ресурсів)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(кількість/обсяги фінансування )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(од./тис.грн)</w:t>
            </w:r>
          </w:p>
        </w:tc>
        <w:tc>
          <w:tcPr>
            <w:tcW w:w="201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>Очікувані результати</w:t>
            </w:r>
          </w:p>
        </w:tc>
      </w:tr>
      <w:tr>
        <w:trPr>
          <w:cantSplit w:val="true"/>
        </w:trPr>
        <w:tc>
          <w:tcPr>
            <w:tcW w:w="428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270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2886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1226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1178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/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2021 р.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2022 р.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2023 р.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2024 р.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8"/>
                <w:szCs w:val="28"/>
              </w:rPr>
              <w:t>2025 р.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/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15814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 xml:space="preserve">І. Виконання протипожежних заходів в комунальних установах (закладах)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7"/>
                <w:szCs w:val="27"/>
              </w:rPr>
              <w:t>Облаштування систем протипожежної сигналізації в комунальних закладах: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/>
            </w:pPr>
            <w:r>
              <w:rPr>
                <w:sz w:val="27"/>
                <w:szCs w:val="27"/>
              </w:rPr>
              <w:t>охорони здоров'я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7"/>
                <w:szCs w:val="27"/>
              </w:rPr>
              <w:t xml:space="preserve">освіти 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7"/>
                <w:szCs w:val="27"/>
              </w:rPr>
              <w:t>Управління охорони здоров'я, департамент освіти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800000"/>
                <w:sz w:val="27"/>
                <w:szCs w:val="27"/>
              </w:rPr>
            </w:pPr>
            <w:r>
              <w:rPr>
                <w:color w:val="800000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2 000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11 000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1 000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1 000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2 500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7"/>
                <w:szCs w:val="27"/>
              </w:rPr>
              <w:t xml:space="preserve">Забезпечення протипо-жежного стану </w:t>
            </w:r>
          </w:p>
        </w:tc>
      </w:tr>
      <w:tr>
        <w:trPr>
          <w:trHeight w:val="1409" w:hRule="atLeast"/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rPr/>
            </w:pPr>
            <w:r>
              <w:rPr>
                <w:sz w:val="26"/>
                <w:szCs w:val="26"/>
              </w:rPr>
              <w:t>Обробка вогнетривким розчином дерев'яних конструкцій горищ комунальних закладів освіти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tabs>
                <w:tab w:val="left" w:pos="1584" w:leader="none"/>
              </w:tabs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Департамент освіти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1 000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140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120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6"/>
                <w:szCs w:val="26"/>
              </w:rPr>
              <w:t xml:space="preserve">Забезпечення протипо-жежного стану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6"/>
                <w:szCs w:val="26"/>
              </w:rPr>
              <w:t>Ремонт систем протипожежного за-хисту в будинках під-вищенної поверховості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color w:val="000000"/>
                <w:sz w:val="26"/>
                <w:szCs w:val="26"/>
              </w:rPr>
              <w:t>Бюджет громади, кошти ОСББ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1 500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500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-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6"/>
                <w:szCs w:val="26"/>
              </w:rPr>
              <w:t>Забезпечення протипо-жежного стану</w:t>
            </w:r>
          </w:p>
        </w:tc>
      </w:tr>
      <w:tr>
        <w:trPr>
          <w:cantSplit w:val="true"/>
        </w:trPr>
        <w:tc>
          <w:tcPr>
            <w:tcW w:w="15814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/>
            </w:pPr>
            <w:r>
              <w:rPr>
                <w:sz w:val="28"/>
                <w:szCs w:val="28"/>
              </w:rPr>
              <w:t xml:space="preserve">ІІ. Утримання захисних споруд ЦЗ, найпростіших укриттів та споруд подвійного призначення комунальної форми власності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 xml:space="preserve">Приведення в готовність до використання захисних споруд, найпростіших укриттів та споруд подвійного призначення комунальної форми власності, проведення в них ремонтно-будівельних робіт 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  <w:lang w:val="en-US"/>
              </w:rPr>
              <w:t>5 8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3 200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2017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6"/>
                <w:szCs w:val="26"/>
              </w:rPr>
              <w:t>Забезпечення готовності до використання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6"/>
                <w:szCs w:val="26"/>
              </w:rPr>
              <w:t>Комплектація захисних споруд спеціальним обладнанням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6"/>
                <w:szCs w:val="26"/>
              </w:rPr>
              <w:t xml:space="preserve">1 </w:t>
            </w:r>
            <w:r>
              <w:rPr>
                <w:sz w:val="26"/>
                <w:szCs w:val="26"/>
                <w:lang w:val="en-US"/>
              </w:rPr>
              <w:t>8</w:t>
            </w:r>
            <w:r>
              <w:rPr>
                <w:sz w:val="26"/>
                <w:szCs w:val="26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1 000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6"/>
                <w:szCs w:val="26"/>
              </w:rPr>
              <w:t>200</w:t>
            </w:r>
          </w:p>
        </w:tc>
        <w:tc>
          <w:tcPr>
            <w:tcW w:w="2017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color w:val="CE181E"/>
                <w:sz w:val="26"/>
                <w:szCs w:val="26"/>
              </w:rPr>
            </w:pPr>
            <w:r>
              <w:rPr>
                <w:color w:val="CE181E"/>
                <w:sz w:val="26"/>
                <w:szCs w:val="26"/>
              </w:rPr>
            </w:r>
          </w:p>
        </w:tc>
      </w:tr>
      <w:tr>
        <w:trPr/>
        <w:tc>
          <w:tcPr>
            <w:tcW w:w="15814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63"/>
              <w:jc w:val="center"/>
              <w:rPr/>
            </w:pPr>
            <w:r>
              <w:rPr>
                <w:bCs/>
                <w:sz w:val="28"/>
                <w:szCs w:val="28"/>
              </w:rPr>
              <w:t xml:space="preserve">ІІІ. Накопичення та утримання матеріальних ресурсів та засобів для забезпечення оперативного реагування на НС 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Накопичення </w:t>
            </w:r>
            <w:r>
              <w:rPr>
                <w:szCs w:val="28"/>
              </w:rPr>
              <w:t>паливо-мастильних матеріалів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  <w:r>
              <w:rPr>
                <w:bCs/>
                <w:sz w:val="26"/>
                <w:szCs w:val="26"/>
              </w:rPr>
              <w:t>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color="auto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 xml:space="preserve">ЛСКАП 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«</w:t>
            </w:r>
            <w:r>
              <w:rPr>
                <w:bCs/>
                <w:sz w:val="26"/>
                <w:szCs w:val="26"/>
              </w:rPr>
              <w:t>Луцькспецкомунтранс</w:t>
            </w:r>
            <w:r>
              <w:rPr>
                <w:rFonts w:eastAsia="Times New Roman" w:cs="Times New Roman"/>
                <w:bCs/>
                <w:sz w:val="26"/>
                <w:szCs w:val="26"/>
              </w:rPr>
              <w:t>»,</w:t>
            </w:r>
          </w:p>
          <w:p>
            <w:pPr>
              <w:pStyle w:val="Style12"/>
              <w:widowControl/>
              <w:numPr>
                <w:ilvl w:val="0"/>
                <w:numId w:val="2"/>
              </w:numPr>
              <w:shd w:val="clear" w:color="auto" w:fill="FFFFFF"/>
              <w:suppressAutoHyphens w:val="true"/>
              <w:bidi w:val="0"/>
              <w:snapToGrid w:val="false"/>
              <w:spacing w:lineRule="exact" w:line="276"/>
              <w:ind w:left="0" w:right="-57" w:hanging="0"/>
              <w:jc w:val="center"/>
              <w:rPr/>
            </w:pPr>
            <w:r>
              <w:rPr>
                <w:bCs/>
                <w:sz w:val="26"/>
                <w:szCs w:val="26"/>
              </w:rPr>
              <w:t>комунальні підприємства Луцької МТГ,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lineRule="exact" w:line="276"/>
              <w:jc w:val="center"/>
              <w:rPr/>
            </w:pPr>
            <w:r>
              <w:rPr>
                <w:bCs/>
                <w:sz w:val="26"/>
                <w:szCs w:val="26"/>
              </w:rPr>
              <w:t>ЛРУ ГУ ДСНС України в області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10 3</w:t>
            </w:r>
            <w:r>
              <w:rPr>
                <w:szCs w:val="28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5 000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5 000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/>
            </w:pPr>
            <w:r>
              <w:rPr>
                <w:sz w:val="27"/>
                <w:szCs w:val="27"/>
              </w:rPr>
              <w:t>Створення матеріаль-ного резерву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Накопичення шанцевого інструменту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/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1 030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ind w:right="-113" w:hanging="0"/>
              <w:rPr/>
            </w:pPr>
            <w:r>
              <w:rPr>
                <w:color w:val="000000"/>
                <w:sz w:val="27"/>
                <w:szCs w:val="27"/>
              </w:rPr>
              <w:t>Створення матеріального резерву</w:t>
            </w:r>
          </w:p>
        </w:tc>
      </w:tr>
      <w:tr>
        <w:trPr>
          <w:cantSplit w:val="true"/>
        </w:trPr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Придбання найпрості-шого рятувального оснащення та майна для ліквідації аварій, пожеж (НС)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(захисний одяг, взуття пожежного, інше)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bookmarkStart w:id="0" w:name="__DdeLink__4681_1730530875"/>
            <w:bookmarkEnd w:id="0"/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 xml:space="preserve">1 </w:t>
            </w:r>
            <w:r>
              <w:rPr>
                <w:sz w:val="27"/>
                <w:szCs w:val="27"/>
                <w:lang w:val="en-US"/>
              </w:rPr>
              <w:t>8</w:t>
            </w:r>
            <w:r>
              <w:rPr>
                <w:sz w:val="27"/>
                <w:szCs w:val="27"/>
              </w:rPr>
              <w:t>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2017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color w:val="CE181E"/>
                <w:sz w:val="27"/>
                <w:szCs w:val="27"/>
              </w:rPr>
            </w:pPr>
            <w:r>
              <w:rPr>
                <w:color w:val="CE181E"/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4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забезпечення аварійно-рятувальних робіт: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бензопили,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бензорізи,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- електрогенератори (у т.ч. </w:t>
            </w:r>
            <w:r>
              <w:rPr>
                <w:color w:val="000000"/>
                <w:sz w:val="27"/>
                <w:szCs w:val="27"/>
                <w:lang w:val="uk-UA" w:eastAsia="ru-RU"/>
              </w:rPr>
              <w:t xml:space="preserve">часткове </w:t>
            </w:r>
            <w:r>
              <w:rPr>
                <w:color w:val="000000"/>
                <w:sz w:val="27"/>
                <w:szCs w:val="27"/>
                <w:lang w:eastAsia="ru-RU"/>
              </w:rPr>
              <w:t>відшкодування вартості),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>- інше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ОСББ, ЖБК,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управителі багатоквартирних будинків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Cs w:val="28"/>
                <w:lang w:val="en-US"/>
              </w:rPr>
              <w:t>54 06</w:t>
            </w:r>
            <w:r>
              <w:rPr>
                <w:szCs w:val="28"/>
              </w:rPr>
              <w:t>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27 000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27 000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</w:t>
            </w:r>
          </w:p>
        </w:tc>
        <w:tc>
          <w:tcPr>
            <w:tcW w:w="2017" w:type="dxa"/>
            <w:gridSpan w:val="2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5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Придбання засобів індивідуального захисту 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color w:val="000000"/>
                <w:sz w:val="27"/>
                <w:szCs w:val="27"/>
                <w:lang w:eastAsia="ru-RU"/>
              </w:rPr>
              <w:t xml:space="preserve">та дезинфікуючого розчину для протидії </w:t>
            </w:r>
            <w:r>
              <w:rPr>
                <w:color w:val="000000"/>
                <w:sz w:val="27"/>
                <w:szCs w:val="27"/>
                <w:lang w:val="en-US" w:eastAsia="ru-RU"/>
              </w:rPr>
              <w:t>COVID – 19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1 000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100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Забезпечення безпеки населення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6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color w:val="000000"/>
                <w:sz w:val="27"/>
                <w:szCs w:val="27"/>
                <w:lang w:eastAsia="ru-RU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6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  <w:lang w:eastAsia="ru-RU"/>
              </w:rPr>
              <w:t>Забезпечення харчуванням осіб, що задіюються до робіт з ліквідації НС, аварій, терористичних актів та в період проведення навчань з цих питань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bCs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  <w:lang w:val="en-US"/>
              </w:rPr>
            </w:pPr>
            <w:r>
              <w:rPr>
                <w:sz w:val="27"/>
                <w:szCs w:val="27"/>
                <w:lang w:val="en-US"/>
              </w:rPr>
              <w:t>30 600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15 000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15 000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200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left"/>
              <w:rPr/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Проведення робіт, придбання товарів, матеріалів, обладнання та техніки, надання послуг </w:t>
            </w:r>
            <w:r>
              <w:rPr>
                <w:color w:val="000000"/>
                <w:sz w:val="26"/>
                <w:szCs w:val="26"/>
              </w:rPr>
              <w:t>(оплата праці за надані послуги)</w:t>
            </w:r>
            <w:r>
              <w:rPr>
                <w:sz w:val="26"/>
                <w:szCs w:val="26"/>
              </w:rPr>
              <w:t xml:space="preserve"> під час воєнного стану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Виконавчі органи Луцької міської ради,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комунальні підприємства Луцької МТГ: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ЛСКАП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Луцькспецкомунтранс</w:t>
            </w:r>
            <w:bookmarkStart w:id="1" w:name="__DdeLink__1185_679630085"/>
            <w:r>
              <w:rPr>
                <w:rFonts w:eastAsia="Times New Roman" w:cs="Times New Roman"/>
                <w:sz w:val="24"/>
                <w:szCs w:val="24"/>
              </w:rPr>
              <w:t>»</w:t>
            </w:r>
            <w:bookmarkEnd w:id="1"/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Луцьктепло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Луцькводоканал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підприємство електротранспорту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Автопарксервіс</w:t>
            </w:r>
            <w:r>
              <w:rPr>
                <w:rFonts w:eastAsia="Times New Roman" w:cs="Times New Roman"/>
                <w:sz w:val="24"/>
                <w:szCs w:val="24"/>
              </w:rPr>
              <w:t>»,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Луцьке електротехнічне підприємство – Луцьксвітло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Луцький спеціалізований комбінат комунально- побутового обслуговування,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 xml:space="preserve">Парки та сквери 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 Луцька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Луцький зоопарк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Ласка</w:t>
            </w:r>
            <w:r>
              <w:rPr>
                <w:rFonts w:eastAsia="Times New Roman" w:cs="Times New Roman"/>
                <w:sz w:val="24"/>
                <w:szCs w:val="24"/>
              </w:rPr>
              <w:t>»</w:t>
            </w:r>
            <w:r>
              <w:rPr>
                <w:sz w:val="24"/>
                <w:szCs w:val="24"/>
              </w:rPr>
              <w:t>,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ЛРУ ГУ ДСНС України в області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lang w:val="uk-UA"/>
              </w:rPr>
            </w:pPr>
            <w:r>
              <w:rPr>
                <w:sz w:val="27"/>
                <w:szCs w:val="27"/>
                <w:lang w:val="uk-UA"/>
              </w:rPr>
              <w:t>48 670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35 000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13 670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Забезпечення ліквідації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left"/>
              <w:rPr/>
            </w:pPr>
            <w:r>
              <w:rPr>
                <w:sz w:val="27"/>
                <w:szCs w:val="27"/>
              </w:rPr>
              <w:t>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57" w:after="57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Кредиторська заборгованість, що виникла у 2022 році з проведення робіт, придбання товарів, матеріалів, обладнання та техніки, надання послуг (оплата праці за надані послуги) під час воєнного стану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 xml:space="preserve">КП </w:t>
            </w:r>
            <w:r>
              <w:rPr>
                <w:rFonts w:eastAsia="Times New Roman" w:cs="Times New Roman"/>
                <w:sz w:val="27"/>
                <w:szCs w:val="27"/>
              </w:rPr>
              <w:t>«</w:t>
            </w:r>
            <w:r>
              <w:rPr>
                <w:sz w:val="27"/>
                <w:szCs w:val="27"/>
              </w:rPr>
              <w:t>Луцькводоканал</w:t>
            </w:r>
            <w:r>
              <w:rPr>
                <w:rFonts w:eastAsia="Times New Roman" w:cs="Times New Roman"/>
                <w:sz w:val="27"/>
                <w:szCs w:val="27"/>
              </w:rPr>
              <w:t>»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1 330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rFonts w:eastAsia="Times New Roman" w:cs="Times New Roman"/>
                <w:sz w:val="27"/>
                <w:szCs w:val="27"/>
              </w:rPr>
              <w:t>–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Оплата резерву матеріалів та обладнання на випадок аварійних ситуацій</w:t>
            </w:r>
          </w:p>
        </w:tc>
      </w:tr>
      <w:tr>
        <w:trPr/>
        <w:tc>
          <w:tcPr>
            <w:tcW w:w="15814" w:type="dxa"/>
            <w:gridSpan w:val="17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114" w:after="114"/>
              <w:jc w:val="center"/>
              <w:rPr/>
            </w:pPr>
            <w:r>
              <w:rPr>
                <w:bCs/>
                <w:sz w:val="28"/>
                <w:szCs w:val="28"/>
                <w:lang w:val="ru-RU"/>
              </w:rPr>
              <w:t>І</w:t>
            </w:r>
            <w:r>
              <w:rPr>
                <w:bCs/>
                <w:sz w:val="28"/>
                <w:szCs w:val="28"/>
                <w:lang w:val="en-US"/>
              </w:rPr>
              <w:t>V</w:t>
            </w:r>
            <w:r>
              <w:rPr>
                <w:bCs/>
                <w:sz w:val="28"/>
                <w:szCs w:val="28"/>
                <w:lang w:val="ru-RU"/>
              </w:rPr>
              <w:t>. Організація</w:t>
            </w:r>
            <w:r>
              <w:rPr>
                <w:bCs/>
                <w:sz w:val="28"/>
                <w:szCs w:val="28"/>
              </w:rPr>
              <w:t xml:space="preserve"> оповіщення населення міста про загрозу та виникнення НС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Придбання та встановлення пристроїв для оповіщення населення,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придбання засобів зв’язку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lang w:val="uk-UA"/>
              </w:rPr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  <w:lang w:val="en-US"/>
              </w:rPr>
              <w:t>4 1</w:t>
            </w:r>
            <w:r>
              <w:rPr>
                <w:sz w:val="27"/>
                <w:szCs w:val="27"/>
              </w:rPr>
              <w:t>50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650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1 000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2 500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-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2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/>
            </w:pPr>
            <w:r>
              <w:rPr>
                <w:sz w:val="27"/>
                <w:szCs w:val="27"/>
              </w:rPr>
              <w:t xml:space="preserve">Організація доведення до населення мовної інформації через обладнання операторів звукової реклами 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jc w:val="both"/>
              <w:rPr/>
            </w:pPr>
            <w:r>
              <w:rPr>
                <w:sz w:val="27"/>
                <w:szCs w:val="27"/>
              </w:rPr>
              <w:t>(за договорами)</w:t>
            </w:r>
          </w:p>
          <w:p>
            <w:pPr>
              <w:pStyle w:val="Normal"/>
              <w:numPr>
                <w:ilvl w:val="0"/>
                <w:numId w:val="2"/>
              </w:numPr>
              <w:tabs>
                <w:tab w:val="left" w:pos="3650" w:leader="none"/>
              </w:tabs>
              <w:snapToGrid w:val="false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/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3</w:t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6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7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8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9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10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11</w:t>
            </w:r>
          </w:p>
        </w:tc>
      </w:tr>
      <w:tr>
        <w:trPr/>
        <w:tc>
          <w:tcPr>
            <w:tcW w:w="4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sz w:val="27"/>
                <w:szCs w:val="27"/>
              </w:rPr>
              <w:t>3</w:t>
            </w:r>
          </w:p>
        </w:tc>
        <w:tc>
          <w:tcPr>
            <w:tcW w:w="27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Організація доведення до населення мовної інформації через обладнання власників ринків, вокзалів</w:t>
            </w:r>
          </w:p>
          <w:p>
            <w:pPr>
              <w:pStyle w:val="Normal"/>
              <w:numPr>
                <w:ilvl w:val="0"/>
                <w:numId w:val="2"/>
              </w:numPr>
              <w:snapToGrid w:val="false"/>
              <w:jc w:val="both"/>
              <w:rPr/>
            </w:pPr>
            <w:r>
              <w:rPr>
                <w:sz w:val="27"/>
                <w:szCs w:val="27"/>
              </w:rPr>
              <w:t>(за договорами)</w:t>
            </w:r>
          </w:p>
        </w:tc>
        <w:tc>
          <w:tcPr>
            <w:tcW w:w="288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6"/>
                <w:szCs w:val="26"/>
                <w:lang w:val="uk-UA"/>
              </w:rPr>
              <w:t>Виконавчі органи Луцької міської ради</w:t>
            </w:r>
          </w:p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rPr>
                <w:bCs/>
                <w:color w:val="000000"/>
                <w:sz w:val="27"/>
                <w:szCs w:val="27"/>
              </w:rPr>
            </w:pPr>
            <w:r>
              <w:rPr>
                <w:bCs/>
                <w:color w:val="000000"/>
                <w:sz w:val="27"/>
                <w:szCs w:val="27"/>
              </w:rPr>
            </w:r>
          </w:p>
        </w:tc>
        <w:tc>
          <w:tcPr>
            <w:tcW w:w="1226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bCs/>
                <w:color w:val="000000"/>
                <w:sz w:val="27"/>
                <w:szCs w:val="27"/>
              </w:rPr>
              <w:t>Бюджет громади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sz w:val="27"/>
                <w:szCs w:val="27"/>
              </w:rPr>
              <w:t>25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07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07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141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109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/>
            </w:pPr>
            <w:r>
              <w:rPr>
                <w:sz w:val="27"/>
                <w:szCs w:val="27"/>
              </w:rPr>
              <w:t>5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both"/>
              <w:rPr/>
            </w:pPr>
            <w:r>
              <w:rPr>
                <w:sz w:val="27"/>
                <w:szCs w:val="27"/>
              </w:rPr>
              <w:t>Оповіщення населення про події</w:t>
            </w:r>
          </w:p>
        </w:tc>
      </w:tr>
      <w:tr>
        <w:trPr/>
        <w:tc>
          <w:tcPr>
            <w:tcW w:w="7237" w:type="dxa"/>
            <w:gridSpan w:val="4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rPr/>
            </w:pPr>
            <w:r>
              <w:rPr>
                <w:sz w:val="27"/>
                <w:szCs w:val="27"/>
              </w:rPr>
              <w:t>Усього тис. грн</w:t>
            </w:r>
          </w:p>
        </w:tc>
        <w:tc>
          <w:tcPr>
            <w:tcW w:w="1178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Normal"/>
              <w:numPr>
                <w:ilvl w:val="0"/>
                <w:numId w:val="2"/>
              </w:numPr>
              <w:snapToGrid w:val="false"/>
              <w:jc w:val="center"/>
              <w:rPr/>
            </w:pPr>
            <w:r>
              <w:rPr>
                <w:b/>
                <w:color w:val="000000"/>
                <w:sz w:val="27"/>
                <w:szCs w:val="27"/>
              </w:rPr>
              <w:t>176 090</w:t>
            </w:r>
          </w:p>
        </w:tc>
        <w:tc>
          <w:tcPr>
            <w:tcW w:w="992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5 730</w:t>
            </w:r>
          </w:p>
        </w:tc>
        <w:tc>
          <w:tcPr>
            <w:tcW w:w="1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91 430</w:t>
            </w:r>
          </w:p>
        </w:tc>
        <w:tc>
          <w:tcPr>
            <w:tcW w:w="107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73 110</w:t>
            </w:r>
          </w:p>
        </w:tc>
        <w:tc>
          <w:tcPr>
            <w:tcW w:w="114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3 660</w:t>
            </w:r>
          </w:p>
        </w:tc>
        <w:tc>
          <w:tcPr>
            <w:tcW w:w="1099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  <w:tcMar>
              <w:left w:w="-5" w:type="dxa"/>
            </w:tcMar>
            <w:vAlign w:val="center"/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jc w:val="center"/>
              <w:rPr/>
            </w:pPr>
            <w:r>
              <w:rPr>
                <w:b/>
                <w:bCs/>
                <w:color w:val="000000"/>
                <w:sz w:val="27"/>
                <w:szCs w:val="27"/>
              </w:rPr>
              <w:t>2 160</w:t>
            </w:r>
          </w:p>
        </w:tc>
        <w:tc>
          <w:tcPr>
            <w:tcW w:w="2017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-5" w:type="dxa"/>
            </w:tcMar>
          </w:tcPr>
          <w:p>
            <w:pPr>
              <w:pStyle w:val="Style12"/>
              <w:numPr>
                <w:ilvl w:val="0"/>
                <w:numId w:val="2"/>
              </w:numPr>
              <w:shd w:val="clear" w:fill="FFFFFF"/>
              <w:snapToGrid w:val="false"/>
              <w:spacing w:before="0" w:after="120"/>
              <w:jc w:val="center"/>
              <w:rPr>
                <w:b/>
                <w:b/>
                <w:bCs/>
                <w:color w:val="000000"/>
                <w:sz w:val="27"/>
                <w:szCs w:val="27"/>
              </w:rPr>
            </w:pPr>
            <w:r>
              <w:rPr>
                <w:b/>
                <w:bCs/>
                <w:color w:val="000000"/>
                <w:sz w:val="27"/>
                <w:szCs w:val="27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/>
      </w:pPr>
      <w:r>
        <w:rPr>
          <w:sz w:val="24"/>
          <w:szCs w:val="28"/>
        </w:rPr>
        <w:t>Кирилюк 720 087</w:t>
      </w:r>
    </w:p>
    <w:p>
      <w:pPr>
        <w:pStyle w:val="Normal"/>
        <w:jc w:val="both"/>
        <w:rPr/>
      </w:pPr>
      <w:r>
        <w:rPr/>
      </w:r>
    </w:p>
    <w:sectPr>
      <w:headerReference w:type="default" r:id="rId2"/>
      <w:type w:val="nextPage"/>
      <w:pgSz w:orient="landscape" w:w="16838" w:h="11906"/>
      <w:pgMar w:left="567" w:right="567" w:header="720" w:top="1325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16"/>
      <w:jc w:val="center"/>
      <w:rPr/>
    </w:pPr>
    <w:r>
      <w:rPr/>
      <w:fldChar w:fldCharType="begin"/>
    </w:r>
    <w:r>
      <w:instrText> PAGE </w:instrText>
    </w:r>
    <w:r>
      <w:fldChar w:fldCharType="separate"/>
    </w:r>
    <w:r>
      <w:t>6</w:t>
    </w:r>
    <w:r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5"/>
      <w:numFmt w:val="none"/>
      <w:suff w:val="nothing"/>
      <w:lvlText w:val=""/>
      <w:lvlJc w:val="left"/>
      <w:pPr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ind w:left="0" w:hanging="0"/>
      </w:pPr>
    </w:lvl>
    <w:lvl w:ilvl="6">
      <w:start w:val="1"/>
      <w:pStyle w:val="7"/>
      <w:numFmt w:val="none"/>
      <w:suff w:val="nothing"/>
      <w:lvlText w:val=""/>
      <w:lvlJc w:val="left"/>
      <w:pPr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ind w:left="0" w:hanging="0"/>
      </w:pPr>
    </w:lvl>
    <w:lvl w:ilvl="8">
      <w:start w:val="1"/>
      <w:pStyle w:val="9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00000A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uiPriority w:val="9"/>
    <w:unhideWhenUsed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Normal"/>
    <w:uiPriority w:val="9"/>
    <w:unhideWhenUsed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4">
    <w:name w:val="Heading 4"/>
    <w:basedOn w:val="Style11"/>
    <w:uiPriority w:val="9"/>
    <w:unhideWhenUsed/>
    <w:qFormat/>
    <w:pPr>
      <w:numPr>
        <w:ilvl w:val="3"/>
        <w:numId w:val="1"/>
      </w:numPr>
      <w:spacing w:before="120" w:after="120"/>
      <w:outlineLvl w:val="3"/>
    </w:pPr>
    <w:rPr>
      <w:b/>
      <w:i/>
      <w:iCs/>
      <w:sz w:val="27"/>
      <w:szCs w:val="27"/>
    </w:rPr>
  </w:style>
  <w:style w:type="paragraph" w:styleId="5">
    <w:name w:val="Heading 5"/>
    <w:basedOn w:val="Style11"/>
    <w:uiPriority w:val="9"/>
    <w:unhideWhenUsed/>
    <w:qFormat/>
    <w:pPr>
      <w:numPr>
        <w:ilvl w:val="4"/>
        <w:numId w:val="1"/>
      </w:numPr>
      <w:spacing w:before="120" w:after="60"/>
      <w:outlineLvl w:val="4"/>
    </w:pPr>
    <w:rPr>
      <w:b/>
      <w:sz w:val="24"/>
      <w:szCs w:val="24"/>
    </w:rPr>
  </w:style>
  <w:style w:type="paragraph" w:styleId="6">
    <w:name w:val="Heading 6"/>
    <w:basedOn w:val="Style11"/>
    <w:uiPriority w:val="9"/>
    <w:semiHidden/>
    <w:unhideWhenUsed/>
    <w:qFormat/>
    <w:pPr>
      <w:numPr>
        <w:ilvl w:val="5"/>
        <w:numId w:val="1"/>
      </w:numPr>
      <w:spacing w:before="60" w:after="60"/>
      <w:outlineLvl w:val="5"/>
    </w:pPr>
    <w:rPr>
      <w:b/>
      <w:i/>
      <w:iCs/>
      <w:sz w:val="24"/>
      <w:szCs w:val="24"/>
    </w:rPr>
  </w:style>
  <w:style w:type="paragraph" w:styleId="7">
    <w:name w:val="Heading 7"/>
    <w:basedOn w:val="Style11"/>
    <w:qFormat/>
    <w:pPr>
      <w:numPr>
        <w:ilvl w:val="6"/>
        <w:numId w:val="1"/>
      </w:numPr>
      <w:spacing w:before="60" w:after="60"/>
      <w:outlineLvl w:val="6"/>
    </w:pPr>
    <w:rPr>
      <w:b/>
      <w:sz w:val="22"/>
      <w:szCs w:val="22"/>
    </w:rPr>
  </w:style>
  <w:style w:type="paragraph" w:styleId="8">
    <w:name w:val="Heading 8"/>
    <w:basedOn w:val="Style11"/>
    <w:qFormat/>
    <w:pPr>
      <w:numPr>
        <w:ilvl w:val="7"/>
        <w:numId w:val="1"/>
      </w:numPr>
      <w:spacing w:before="60" w:after="60"/>
      <w:outlineLvl w:val="7"/>
    </w:pPr>
    <w:rPr>
      <w:b/>
      <w:i/>
      <w:iCs/>
      <w:sz w:val="22"/>
      <w:szCs w:val="22"/>
    </w:rPr>
  </w:style>
  <w:style w:type="paragraph" w:styleId="9">
    <w:name w:val="Heading 9"/>
    <w:basedOn w:val="Style11"/>
    <w:qFormat/>
    <w:pPr>
      <w:numPr>
        <w:ilvl w:val="8"/>
        <w:numId w:val="1"/>
      </w:numPr>
      <w:spacing w:before="60" w:after="60"/>
      <w:outlineLvl w:val="8"/>
    </w:pPr>
    <w:rPr>
      <w:b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5z1" w:customStyle="1">
    <w:name w:val="WW8Num5z1"/>
    <w:qFormat/>
    <w:rPr/>
  </w:style>
  <w:style w:type="character" w:styleId="WW8Num5z2" w:customStyle="1">
    <w:name w:val="WW8Num5z2"/>
    <w:qFormat/>
    <w:rPr/>
  </w:style>
  <w:style w:type="character" w:styleId="WW8Num5z3" w:customStyle="1">
    <w:name w:val="WW8Num5z3"/>
    <w:qFormat/>
    <w:rPr/>
  </w:style>
  <w:style w:type="character" w:styleId="WW8Num5z4" w:customStyle="1">
    <w:name w:val="WW8Num5z4"/>
    <w:qFormat/>
    <w:rPr/>
  </w:style>
  <w:style w:type="character" w:styleId="WW8Num5z5" w:customStyle="1">
    <w:name w:val="WW8Num5z5"/>
    <w:qFormat/>
    <w:rPr/>
  </w:style>
  <w:style w:type="character" w:styleId="WW8Num5z6" w:customStyle="1">
    <w:name w:val="WW8Num5z6"/>
    <w:qFormat/>
    <w:rPr/>
  </w:style>
  <w:style w:type="character" w:styleId="WW8Num5z7" w:customStyle="1">
    <w:name w:val="WW8Num5z7"/>
    <w:qFormat/>
    <w:rPr/>
  </w:style>
  <w:style w:type="character" w:styleId="WW8Num5z8" w:customStyle="1">
    <w:name w:val="WW8Num5z8"/>
    <w:qFormat/>
    <w:rPr/>
  </w:style>
  <w:style w:type="character" w:styleId="WW8Num6z0" w:customStyle="1">
    <w:name w:val="WW8Num6z0"/>
    <w:qFormat/>
    <w:rPr>
      <w:rFonts w:ascii="Wingdings" w:hAnsi="Wingdings" w:cs="Wingdings"/>
    </w:rPr>
  </w:style>
  <w:style w:type="character" w:styleId="WW8Num6z1" w:customStyle="1">
    <w:name w:val="WW8Num6z1"/>
    <w:qFormat/>
    <w:rPr>
      <w:rFonts w:ascii="Courier New" w:hAnsi="Courier New" w:cs="Courier New"/>
    </w:rPr>
  </w:style>
  <w:style w:type="character" w:styleId="WW8Num6z3" w:customStyle="1">
    <w:name w:val="WW8Num6z3"/>
    <w:qFormat/>
    <w:rPr>
      <w:rFonts w:ascii="Symbol" w:hAnsi="Symbol" w:cs="Symbol"/>
    </w:rPr>
  </w:style>
  <w:style w:type="character" w:styleId="WW8Num7z0" w:customStyle="1">
    <w:name w:val="WW8Num7z0"/>
    <w:qFormat/>
    <w:rPr/>
  </w:style>
  <w:style w:type="character" w:styleId="WW8Num8z0" w:customStyle="1">
    <w:name w:val="WW8Num8z0"/>
    <w:qFormat/>
    <w:rPr>
      <w:rFonts w:ascii="Times New Roman" w:hAnsi="Times New Roman" w:eastAsia="Times New Roman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9z1" w:customStyle="1">
    <w:name w:val="WW8Num9z1"/>
    <w:qFormat/>
    <w:rPr/>
  </w:style>
  <w:style w:type="character" w:styleId="WW8Num9z2" w:customStyle="1">
    <w:name w:val="WW8Num9z2"/>
    <w:qFormat/>
    <w:rPr/>
  </w:style>
  <w:style w:type="character" w:styleId="WW8Num9z3" w:customStyle="1">
    <w:name w:val="WW8Num9z3"/>
    <w:qFormat/>
    <w:rPr/>
  </w:style>
  <w:style w:type="character" w:styleId="WW8Num9z4" w:customStyle="1">
    <w:name w:val="WW8Num9z4"/>
    <w:qFormat/>
    <w:rPr/>
  </w:style>
  <w:style w:type="character" w:styleId="WW8Num9z5" w:customStyle="1">
    <w:name w:val="WW8Num9z5"/>
    <w:qFormat/>
    <w:rPr/>
  </w:style>
  <w:style w:type="character" w:styleId="WW8Num9z6" w:customStyle="1">
    <w:name w:val="WW8Num9z6"/>
    <w:qFormat/>
    <w:rPr/>
  </w:style>
  <w:style w:type="character" w:styleId="WW8Num9z7" w:customStyle="1">
    <w:name w:val="WW8Num9z7"/>
    <w:qFormat/>
    <w:rPr/>
  </w:style>
  <w:style w:type="character" w:styleId="WW8Num9z8" w:customStyle="1">
    <w:name w:val="WW8Num9z8"/>
    <w:qFormat/>
    <w:rPr/>
  </w:style>
  <w:style w:type="character" w:styleId="WW8Num10z0" w:customStyle="1">
    <w:name w:val="WW8Num10z0"/>
    <w:qFormat/>
    <w:rPr/>
  </w:style>
  <w:style w:type="character" w:styleId="WW8Num10z1" w:customStyle="1">
    <w:name w:val="WW8Num10z1"/>
    <w:qFormat/>
    <w:rPr/>
  </w:style>
  <w:style w:type="character" w:styleId="WW8Num10z2" w:customStyle="1">
    <w:name w:val="WW8Num10z2"/>
    <w:qFormat/>
    <w:rPr/>
  </w:style>
  <w:style w:type="character" w:styleId="WW8Num10z3" w:customStyle="1">
    <w:name w:val="WW8Num10z3"/>
    <w:qFormat/>
    <w:rPr/>
  </w:style>
  <w:style w:type="character" w:styleId="WW8Num10z4" w:customStyle="1">
    <w:name w:val="WW8Num10z4"/>
    <w:qFormat/>
    <w:rPr/>
  </w:style>
  <w:style w:type="character" w:styleId="WW8Num10z5" w:customStyle="1">
    <w:name w:val="WW8Num10z5"/>
    <w:qFormat/>
    <w:rPr/>
  </w:style>
  <w:style w:type="character" w:styleId="WW8Num10z6" w:customStyle="1">
    <w:name w:val="WW8Num10z6"/>
    <w:qFormat/>
    <w:rPr/>
  </w:style>
  <w:style w:type="character" w:styleId="WW8Num10z7" w:customStyle="1">
    <w:name w:val="WW8Num10z7"/>
    <w:qFormat/>
    <w:rPr/>
  </w:style>
  <w:style w:type="character" w:styleId="WW8Num10z8" w:customStyle="1">
    <w:name w:val="WW8Num10z8"/>
    <w:qFormat/>
    <w:rPr/>
  </w:style>
  <w:style w:type="character" w:styleId="Style5" w:customStyle="1">
    <w:name w:val="Основной шрифт абзаца"/>
    <w:qFormat/>
    <w:rPr/>
  </w:style>
  <w:style w:type="character" w:styleId="Pagenumber">
    <w:name w:val="page number"/>
    <w:basedOn w:val="Style5"/>
    <w:qFormat/>
    <w:rPr/>
  </w:style>
  <w:style w:type="character" w:styleId="Style6" w:customStyle="1">
    <w:name w:val="Виділення жирним"/>
    <w:qFormat/>
    <w:rPr>
      <w:b/>
      <w:bCs/>
    </w:rPr>
  </w:style>
  <w:style w:type="character" w:styleId="Style7" w:customStyle="1">
    <w:name w:val="Основний текст_"/>
    <w:qFormat/>
    <w:rPr>
      <w:sz w:val="21"/>
      <w:szCs w:val="21"/>
      <w:lang w:bidi="ar-SA"/>
    </w:rPr>
  </w:style>
  <w:style w:type="character" w:styleId="Rvts0" w:customStyle="1">
    <w:name w:val="rvts0"/>
    <w:qFormat/>
    <w:rPr>
      <w:rFonts w:cs="Times New Roman"/>
    </w:rPr>
  </w:style>
  <w:style w:type="character" w:styleId="HTML" w:customStyle="1">
    <w:name w:val="Стандартный HTML Знак"/>
    <w:qFormat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Pr>
      <w:rFonts w:cs="Times New Roman"/>
    </w:rPr>
  </w:style>
  <w:style w:type="character" w:styleId="Appleconvertedspace" w:customStyle="1">
    <w:name w:val="apple-converted-space"/>
    <w:basedOn w:val="Style5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Style5"/>
    <w:qFormat/>
    <w:rPr/>
  </w:style>
  <w:style w:type="character" w:styleId="Style8" w:customStyle="1">
    <w:name w:val="Нижний колонтитул Знак"/>
    <w:qFormat/>
    <w:rPr>
      <w:bCs/>
      <w:sz w:val="28"/>
      <w:szCs w:val="24"/>
      <w:lang w:val="uk-UA"/>
    </w:rPr>
  </w:style>
  <w:style w:type="character" w:styleId="31" w:customStyle="1">
    <w:name w:val="Основной текст с отступом 3 Знак"/>
    <w:qFormat/>
    <w:rPr>
      <w:sz w:val="16"/>
      <w:szCs w:val="16"/>
    </w:rPr>
  </w:style>
  <w:style w:type="character" w:styleId="Rvts44" w:customStyle="1">
    <w:name w:val="rvts44"/>
    <w:qFormat/>
    <w:rPr>
      <w:rFonts w:cs="Times New Roman"/>
    </w:rPr>
  </w:style>
  <w:style w:type="character" w:styleId="Style9">
    <w:name w:val="Гіперпосилання"/>
    <w:rPr>
      <w:rFonts w:cs="Times New Roman"/>
      <w:color w:val="0000FF"/>
      <w:u w:val="single"/>
    </w:rPr>
  </w:style>
  <w:style w:type="character" w:styleId="21" w:customStyle="1">
    <w:name w:val="Основной текст с отступом 2 Знак"/>
    <w:qFormat/>
    <w:rPr>
      <w:bCs/>
      <w:sz w:val="28"/>
      <w:szCs w:val="24"/>
    </w:rPr>
  </w:style>
  <w:style w:type="character" w:styleId="Style10" w:customStyle="1">
    <w:name w:val="Символ нумерації"/>
    <w:qFormat/>
    <w:rPr/>
  </w:style>
  <w:style w:type="paragraph" w:styleId="Style11" w:customStyle="1">
    <w:name w:val="Заголовок"/>
    <w:basedOn w:val="Normal"/>
    <w:next w:val="Style12"/>
    <w:qFormat/>
    <w:pPr>
      <w:keepNext w:val="true"/>
      <w:spacing w:before="240" w:after="120"/>
    </w:pPr>
    <w:rPr>
      <w:rFonts w:eastAsia="Microsoft YaHei" w:cs="Arial"/>
      <w:szCs w:val="28"/>
    </w:rPr>
  </w:style>
  <w:style w:type="paragraph" w:styleId="Style12">
    <w:name w:val="Body Text"/>
    <w:basedOn w:val="Normal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13">
    <w:name w:val="List"/>
    <w:basedOn w:val="Style12"/>
    <w:pPr>
      <w:shd w:val="clear" w:fill="FFFFFF"/>
    </w:pPr>
    <w:rPr>
      <w:rFonts w:cs="Ari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16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17">
    <w:name w:val="Body Text Indent"/>
    <w:basedOn w:val="Normal"/>
    <w:pPr>
      <w:ind w:firstLine="545"/>
      <w:jc w:val="both"/>
    </w:pPr>
    <w:rPr>
      <w:bCs w:val="false"/>
    </w:rPr>
  </w:style>
  <w:style w:type="paragraph" w:styleId="Style18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19" w:customStyle="1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 w:customStyle="1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HTML1" w:customStyle="1">
    <w:name w:val="Стандартный HTML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 w:customStyle="1">
    <w:name w:val="Без интервала"/>
    <w:qFormat/>
    <w:pPr>
      <w:widowControl/>
      <w:suppressAutoHyphens w:val="true"/>
      <w:bidi w:val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ru-RU" w:eastAsia="zh-CN" w:bidi="ar-SA"/>
    </w:rPr>
  </w:style>
  <w:style w:type="paragraph" w:styleId="Style22" w:customStyle="1">
    <w:name w:val="Основной текст"/>
    <w:basedOn w:val="Normal"/>
    <w:qFormat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23" w:customStyle="1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pPr>
      <w:jc w:val="both"/>
    </w:pPr>
    <w:rPr>
      <w:b/>
    </w:rPr>
  </w:style>
  <w:style w:type="paragraph" w:styleId="Style24">
    <w:name w:val="Footer"/>
    <w:basedOn w:val="Normal"/>
    <w:pPr>
      <w:tabs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"/>
    <w:basedOn w:val="Normal"/>
    <w:qFormat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HTMLPreformatted">
    <w:name w:val="HTML Preformatted"/>
    <w:basedOn w:val="Normal"/>
    <w:qFormat/>
    <w:pPr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23" w:customStyle="1">
    <w:name w:val="Основной текст с отступом 2"/>
    <w:basedOn w:val="Normal"/>
    <w:qFormat/>
    <w:pPr>
      <w:spacing w:lineRule="auto" w:line="480" w:before="0" w:after="120"/>
      <w:ind w:left="283" w:hanging="0"/>
    </w:pPr>
    <w:rPr/>
  </w:style>
  <w:style w:type="paragraph" w:styleId="Style25" w:customStyle="1">
    <w:name w:val="Вміст рамки"/>
    <w:basedOn w:val="Normal"/>
    <w:qFormat/>
    <w:pPr/>
    <w:rPr/>
  </w:style>
  <w:style w:type="paragraph" w:styleId="211" w:customStyle="1">
    <w:name w:val="Основной текст с отступом 21"/>
    <w:basedOn w:val="Normal"/>
    <w:qFormat/>
    <w:pPr>
      <w:ind w:left="700" w:hanging="0"/>
      <w:jc w:val="both"/>
    </w:pPr>
    <w:rPr/>
  </w:style>
  <w:style w:type="paragraph" w:styleId="Style26" w:customStyle="1">
    <w:name w:val="Вміст таблиці"/>
    <w:basedOn w:val="Normal"/>
    <w:qFormat/>
    <w:pPr>
      <w:suppressLineNumbers/>
    </w:pPr>
    <w:rPr/>
  </w:style>
  <w:style w:type="paragraph" w:styleId="Style27" w:customStyle="1">
    <w:name w:val="Заголовок таблиці"/>
    <w:basedOn w:val="Style26"/>
    <w:qFormat/>
    <w:pPr>
      <w:jc w:val="center"/>
    </w:pPr>
    <w:rPr>
      <w:b/>
    </w:rPr>
  </w:style>
  <w:style w:type="paragraph" w:styleId="212" w:customStyle="1">
    <w:name w:val="Основной текст 21"/>
    <w:basedOn w:val="Normal"/>
    <w:qFormat/>
    <w:pPr>
      <w:jc w:val="both"/>
    </w:pPr>
    <w:rPr>
      <w:szCs w:val="20"/>
    </w:rPr>
  </w:style>
  <w:style w:type="paragraph" w:styleId="Style28" w:customStyle="1">
    <w:name w:val="Содержимое таблицы"/>
    <w:basedOn w:val="Normal"/>
    <w:qFormat/>
    <w:pPr>
      <w:suppressLineNumbers/>
    </w:pPr>
    <w:rPr/>
  </w:style>
  <w:style w:type="paragraph" w:styleId="24" w:customStyle="1">
    <w:name w:val="Основной текст 2"/>
    <w:basedOn w:val="Normal"/>
    <w:qFormat/>
    <w:pPr>
      <w:jc w:val="both"/>
    </w:pPr>
    <w:rPr>
      <w:szCs w:val="20"/>
    </w:rPr>
  </w:style>
  <w:style w:type="paragraph" w:styleId="10" w:customStyle="1">
    <w:name w:val="Заголовок 10"/>
    <w:basedOn w:val="Style11"/>
    <w:qFormat/>
    <w:pPr>
      <w:spacing w:before="60" w:after="60"/>
      <w:outlineLvl w:val="8"/>
    </w:pPr>
    <w:rPr>
      <w:b/>
      <w:sz w:val="21"/>
      <w:szCs w:val="21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685</TotalTime>
  <Application>LibreOffice/5.4.2.2$Windows_x86 LibreOffice_project/22b09f6418e8c2d508a9eaf86b2399209b0990f4</Application>
  <Pages>6</Pages>
  <Words>762</Words>
  <Characters>4335</Characters>
  <CharactersWithSpaces>4890</CharactersWithSpaces>
  <Paragraphs>314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2019-10-31T16:14:00Z</dcterms:created>
  <dc:creator>nkhmel</dc:creator>
  <dc:description/>
  <dc:language>uk-UA</dc:language>
  <cp:lastModifiedBy/>
  <cp:lastPrinted>2022-11-18T11:32:00Z</cp:lastPrinted>
  <dcterms:modified xsi:type="dcterms:W3CDTF">2023-01-09T15:41:07Z</dcterms:modified>
  <cp:revision>101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