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7640" cy="647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5pt;height:50.9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57969776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12"/>
        </w:rPr>
      </w:pPr>
      <w:r>
        <w:rPr>
          <w:spacing w:val="-12"/>
          <w:sz w:val="28"/>
          <w:szCs w:val="28"/>
        </w:rPr>
        <w:t>Про</w:t>
      </w:r>
      <w:r>
        <w:rPr>
          <w:spacing w:val="-12"/>
          <w:sz w:val="20"/>
          <w:szCs w:val="20"/>
        </w:rPr>
        <w:t xml:space="preserve"> </w:t>
      </w:r>
      <w:r>
        <w:rPr>
          <w:spacing w:val="-12"/>
          <w:sz w:val="28"/>
          <w:szCs w:val="28"/>
        </w:rPr>
        <w:t>затвердження</w:t>
      </w:r>
      <w:r>
        <w:rPr>
          <w:spacing w:val="-12"/>
          <w:sz w:val="20"/>
          <w:szCs w:val="20"/>
        </w:rPr>
        <w:t xml:space="preserve"> </w:t>
      </w:r>
      <w:r>
        <w:rPr>
          <w:spacing w:val="-12"/>
          <w:sz w:val="28"/>
          <w:szCs w:val="28"/>
        </w:rPr>
        <w:t>громадян</w:t>
      </w:r>
      <w:r>
        <w:rPr>
          <w:rFonts w:eastAsia="Times New Roman" w:cs="Times New Roman"/>
          <w:color w:val="auto"/>
          <w:spacing w:val="-12"/>
          <w:kern w:val="0"/>
          <w:sz w:val="28"/>
          <w:szCs w:val="28"/>
          <w:lang w:val="uk-UA" w:eastAsia="zh-CN" w:bidi="ar-SA"/>
        </w:rPr>
        <w:t>ину Данкевичу М.В.</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w:t>
      </w:r>
    </w:p>
    <w:p>
      <w:pPr>
        <w:pStyle w:val="Normal"/>
        <w:ind w:right="-319" w:hanging="0"/>
        <w:rPr>
          <w:sz w:val="28"/>
          <w:szCs w:val="28"/>
        </w:rPr>
      </w:pPr>
      <w:r>
        <w:rPr>
          <w:spacing w:val="-2"/>
          <w:sz w:val="28"/>
          <w:szCs w:val="28"/>
        </w:rPr>
        <w:t>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w:t>
      </w:r>
    </w:p>
    <w:p>
      <w:pPr>
        <w:pStyle w:val="Normal"/>
        <w:ind w:right="-319" w:hanging="0"/>
        <w:rPr/>
      </w:pPr>
      <w:r>
        <w:rPr>
          <w:rFonts w:eastAsia="Times New Roman" w:cs="Times New Roman"/>
          <w:color w:val="auto"/>
          <w:spacing w:val="-2"/>
          <w:kern w:val="0"/>
          <w:sz w:val="28"/>
          <w:szCs w:val="28"/>
          <w:lang w:val="uk-UA" w:eastAsia="zh-CN" w:bidi="ar-SA"/>
        </w:rPr>
        <w:t xml:space="preserve">області </w:t>
      </w:r>
    </w:p>
    <w:p>
      <w:pPr>
        <w:pStyle w:val="Normal"/>
        <w:rPr>
          <w:sz w:val="28"/>
          <w:szCs w:val="28"/>
        </w:rPr>
      </w:pPr>
      <w:r>
        <w:rPr>
          <w:sz w:val="28"/>
          <w:szCs w:val="28"/>
        </w:rPr>
      </w:r>
    </w:p>
    <w:p>
      <w:pPr>
        <w:pStyle w:val="Normal"/>
        <w:ind w:left="0" w:right="0" w:firstLine="705"/>
        <w:jc w:val="both"/>
        <w:rPr>
          <w:spacing w:val="0"/>
        </w:rPr>
      </w:pPr>
      <w:r>
        <w:rPr>
          <w:spacing w:val="0"/>
          <w:sz w:val="28"/>
          <w:szCs w:val="28"/>
          <w:lang w:val="uk-UA" w:eastAsia="zh-CN" w:bidi="ar-SA"/>
        </w:rPr>
        <w:t>Розглянувши заяву громадян</w:t>
      </w:r>
      <w:r>
        <w:rPr>
          <w:rFonts w:eastAsia="Times New Roman" w:cs="Times New Roman"/>
          <w:color w:val="auto"/>
          <w:spacing w:val="0"/>
          <w:sz w:val="28"/>
          <w:szCs w:val="28"/>
          <w:lang w:val="uk-UA" w:eastAsia="zh-CN" w:bidi="ar-SA"/>
        </w:rPr>
        <w:t>ина</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Данкевича Миколи Володимировича</w:t>
      </w:r>
      <w:r>
        <w:rPr>
          <w:spacing w:val="0"/>
          <w:sz w:val="28"/>
          <w:szCs w:val="28"/>
          <w:lang w:val="uk-UA" w:eastAsia="zh-CN" w:bidi="ar-SA"/>
        </w:rPr>
        <w:t xml:space="preserve"> про затвердження проекту землеустрою щодо </w:t>
      </w:r>
      <w:r>
        <w:rPr>
          <w:spacing w:val="0"/>
          <w:sz w:val="12"/>
          <w:szCs w:val="10"/>
          <w:lang w:val="uk-UA" w:eastAsia="zh-CN" w:bidi="ar-SA"/>
        </w:rPr>
        <w:t xml:space="preserve"> </w:t>
      </w:r>
      <w:r>
        <w:rPr>
          <w:spacing w:val="0"/>
          <w:sz w:val="28"/>
          <w:szCs w:val="28"/>
          <w:lang w:val="uk-UA" w:eastAsia="zh-CN" w:bidi="ar-SA"/>
        </w:rPr>
        <w:t>відведення земельної ділянки та змін</w:t>
      </w:r>
      <w:r>
        <w:rPr>
          <w:rFonts w:eastAsia="Times New Roman" w:cs="Times New Roman"/>
          <w:color w:val="auto"/>
          <w:spacing w:val="0"/>
          <w:kern w:val="0"/>
          <w:sz w:val="28"/>
          <w:szCs w:val="28"/>
          <w:lang w:val="uk-UA" w:eastAsia="zh-CN" w:bidi="ar-SA"/>
        </w:rPr>
        <w:t>у</w:t>
      </w:r>
      <w:r>
        <w:rPr>
          <w:spacing w:val="0"/>
          <w:sz w:val="28"/>
          <w:szCs w:val="28"/>
          <w:lang w:val="uk-UA" w:eastAsia="zh-CN" w:bidi="ar-SA"/>
        </w:rPr>
        <w:t xml:space="preserve"> її цільового призначення для будівництва </w:t>
      </w:r>
      <w:r>
        <w:rPr>
          <w:rFonts w:eastAsia="Times New Roman" w:cs="Times New Roman"/>
          <w:color w:val="auto"/>
          <w:spacing w:val="0"/>
          <w:sz w:val="28"/>
          <w:szCs w:val="28"/>
          <w:lang w:val="uk-UA" w:eastAsia="zh-CN" w:bidi="ar-SA"/>
        </w:rPr>
        <w:t>і</w:t>
      </w:r>
      <w:r>
        <w:rPr>
          <w:spacing w:val="0"/>
          <w:sz w:val="28"/>
          <w:szCs w:val="28"/>
          <w:lang w:val="uk-UA" w:eastAsia="zh-CN" w:bidi="ar-SA"/>
        </w:rPr>
        <w:t xml:space="preserve"> обслуговування житлового будинку, господарських будівель і споруд (присадибна ділянка) у с. </w:t>
      </w:r>
      <w:r>
        <w:rPr>
          <w:rFonts w:eastAsia="Times New Roman" w:cs="Times New Roman"/>
          <w:color w:val="auto"/>
          <w:spacing w:val="0"/>
          <w:kern w:val="0"/>
          <w:sz w:val="28"/>
          <w:szCs w:val="28"/>
          <w:lang w:val="uk-UA" w:eastAsia="zh-CN" w:bidi="ar-SA"/>
        </w:rPr>
        <w:t>Озерце</w:t>
      </w:r>
      <w:r>
        <w:rPr>
          <w:spacing w:val="0"/>
          <w:sz w:val="28"/>
          <w:szCs w:val="28"/>
          <w:lang w:val="uk-UA" w:eastAsia="zh-CN" w:bidi="ar-SA"/>
        </w:rPr>
        <w:t xml:space="preserve"> Луцького району Волинської області, проект землеустрою щодо відведення земельної ділянки та змін</w:t>
      </w:r>
      <w:r>
        <w:rPr>
          <w:rFonts w:eastAsia="Times New Roman" w:cs="Times New Roman"/>
          <w:color w:val="auto"/>
          <w:spacing w:val="0"/>
          <w:kern w:val="0"/>
          <w:sz w:val="28"/>
          <w:szCs w:val="28"/>
          <w:lang w:val="uk-UA" w:eastAsia="zh-CN" w:bidi="ar-SA"/>
        </w:rPr>
        <w:t>и</w:t>
      </w:r>
      <w:r>
        <w:rPr>
          <w:spacing w:val="0"/>
          <w:sz w:val="28"/>
          <w:szCs w:val="28"/>
          <w:lang w:val="uk-UA" w:eastAsia="zh-CN" w:bidi="ar-SA"/>
        </w:rPr>
        <w:t xml:space="preserve"> її цільового призначення у с. </w:t>
      </w:r>
      <w:r>
        <w:rPr>
          <w:rFonts w:eastAsia="Times New Roman" w:cs="Times New Roman"/>
          <w:color w:val="auto"/>
          <w:spacing w:val="0"/>
          <w:kern w:val="0"/>
          <w:sz w:val="28"/>
          <w:szCs w:val="28"/>
          <w:lang w:val="uk-UA" w:eastAsia="zh-CN" w:bidi="ar-SA"/>
        </w:rPr>
        <w:t>Озерце</w:t>
      </w:r>
      <w:r>
        <w:rPr>
          <w:spacing w:val="0"/>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0"/>
          <w:kern w:val="0"/>
          <w:sz w:val="28"/>
          <w:szCs w:val="28"/>
          <w:lang w:val="en-US" w:eastAsia="zh-CN" w:bidi="ar-SA"/>
        </w:rPr>
        <w:t>24.09.2021</w:t>
      </w:r>
      <w:r>
        <w:rPr>
          <w:spacing w:val="0"/>
          <w:sz w:val="28"/>
          <w:szCs w:val="28"/>
          <w:lang w:val="uk-UA" w:eastAsia="zh-CN" w:bidi="ar-SA"/>
        </w:rPr>
        <w:t>, номер запису</w:t>
      </w:r>
      <w:r>
        <w:rPr>
          <w:rFonts w:eastAsia="Times New Roman" w:cs="Times New Roman"/>
          <w:color w:val="auto"/>
          <w:spacing w:val="0"/>
          <w:kern w:val="0"/>
          <w:sz w:val="28"/>
          <w:szCs w:val="28"/>
          <w:lang w:val="uk-UA" w:eastAsia="zh-CN" w:bidi="ar-SA"/>
        </w:rPr>
        <w:t xml:space="preserve"> про право власності/довірчої власності: 44137242, витяг з Державного земельного кадастру про земельну ділянку від 22.02.2022              № НВ-0700356632022, враховуючи Генеральний план села Озерце</w:t>
      </w:r>
      <w:r>
        <w:rPr>
          <w:rFonts w:eastAsia="Times New Roman" w:cs="Times New Roman"/>
          <w:color w:val="auto"/>
          <w:spacing w:val="0"/>
          <w:kern w:val="0"/>
          <w:sz w:val="28"/>
          <w:szCs w:val="28"/>
          <w:u w:val="none"/>
          <w:lang w:val="uk-UA" w:eastAsia="zh-CN" w:bidi="ar-SA"/>
        </w:rPr>
        <w:t>, затверджений рішенням Озерцівської сільської ради від 23.10.2017                    № 17-4/2017 «Про затвердження містобудівної документації “Генеральний план с. Озерце”»</w:t>
      </w:r>
      <w:r>
        <w:rPr>
          <w:rFonts w:eastAsia="Times New Roman" w:cs="Times New Roman"/>
          <w:color w:val="auto"/>
          <w:spacing w:val="0"/>
          <w:kern w:val="0"/>
          <w:sz w:val="28"/>
          <w:szCs w:val="28"/>
          <w:lang w:val="uk-UA" w:eastAsia="zh-CN" w:bidi="ar-SA"/>
        </w:rPr>
        <w:t>, витяг із містобудівної документації та наявні обмеження у використанні території для містобудівних потреб від 11.11.2022 № 2055-П/2022,</w:t>
      </w:r>
      <w:r>
        <w:rPr>
          <w:spacing w:val="0"/>
          <w:sz w:val="28"/>
          <w:szCs w:val="28"/>
          <w:lang w:val="uk-UA" w:eastAsia="zh-CN" w:bidi="ar-SA"/>
        </w:rPr>
        <w:t xml:space="preserve"> керуючись статтями 12, 20-21, 91, 125-126, 122, 186 Земельного кодексу України, статтею 50 </w:t>
      </w:r>
      <w:r>
        <w:rPr>
          <w:color w:val="000000"/>
          <w:spacing w:val="0"/>
          <w:sz w:val="28"/>
          <w:szCs w:val="28"/>
          <w:lang w:val="uk-UA" w:eastAsia="zh-CN" w:bidi="ar-SA"/>
        </w:rPr>
        <w:t>Закону України «Про землеустрій»</w:t>
      </w:r>
      <w:r>
        <w:rPr>
          <w:spacing w:val="0"/>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0"/>
          <w:sz w:val="28"/>
          <w:szCs w:val="28"/>
          <w:vertAlign w:val="superscript"/>
          <w:lang w:val="uk-UA" w:eastAsia="zh-CN" w:bidi="ar-SA"/>
        </w:rPr>
        <w:t>-1</w:t>
      </w:r>
      <w:r>
        <w:rPr>
          <w:spacing w:val="0"/>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spacing w:val="0"/>
        </w:rPr>
      </w:pPr>
      <w:r>
        <w:rPr>
          <w:spacing w:val="0"/>
          <w:sz w:val="28"/>
          <w:szCs w:val="28"/>
          <w:lang w:val="uk-UA" w:eastAsia="zh-CN" w:bidi="ar-SA"/>
        </w:rPr>
        <w:t>1. Затвердити громадян</w:t>
      </w:r>
      <w:r>
        <w:rPr>
          <w:rFonts w:eastAsia="Times New Roman" w:cs="Times New Roman"/>
          <w:color w:val="auto"/>
          <w:spacing w:val="0"/>
          <w:sz w:val="28"/>
          <w:szCs w:val="28"/>
          <w:lang w:val="uk-UA" w:eastAsia="zh-CN" w:bidi="ar-SA"/>
        </w:rPr>
        <w:t>ину</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Данкевичу Миколі Володимировичу</w:t>
      </w:r>
      <w:r>
        <w:rPr>
          <w:spacing w:val="0"/>
          <w:sz w:val="28"/>
          <w:szCs w:val="28"/>
          <w:lang w:val="uk-UA" w:eastAsia="zh-CN" w:bidi="ar-SA"/>
        </w:rPr>
        <w:t xml:space="preserve"> проект землеустрою щодо </w:t>
      </w:r>
      <w:r>
        <w:rPr>
          <w:spacing w:val="0"/>
          <w:sz w:val="12"/>
          <w:szCs w:val="10"/>
          <w:lang w:val="uk-UA" w:eastAsia="zh-CN" w:bidi="ar-SA"/>
        </w:rPr>
        <w:t xml:space="preserve"> </w:t>
      </w:r>
      <w:r>
        <w:rPr>
          <w:spacing w:val="0"/>
          <w:sz w:val="28"/>
          <w:szCs w:val="28"/>
          <w:lang w:val="uk-UA" w:eastAsia="zh-CN" w:bidi="ar-SA"/>
        </w:rPr>
        <w:t>відведення земельної ділянки та змін</w:t>
      </w:r>
      <w:r>
        <w:rPr>
          <w:rFonts w:eastAsia="Times New Roman" w:cs="Times New Roman"/>
          <w:color w:val="auto"/>
          <w:spacing w:val="0"/>
          <w:kern w:val="0"/>
          <w:sz w:val="28"/>
          <w:szCs w:val="28"/>
          <w:lang w:val="uk-UA" w:eastAsia="zh-CN" w:bidi="ar-SA"/>
        </w:rPr>
        <w:t>и</w:t>
      </w:r>
      <w:r>
        <w:rPr>
          <w:spacing w:val="0"/>
          <w:sz w:val="28"/>
          <w:szCs w:val="28"/>
          <w:lang w:val="uk-UA" w:eastAsia="zh-CN" w:bidi="ar-SA"/>
        </w:rPr>
        <w:t xml:space="preserve"> її цільового призначення у с. Озерце Луцького району Волинської області площею 0,</w:t>
      </w:r>
      <w:r>
        <w:rPr>
          <w:rFonts w:eastAsia="Times New Roman" w:cs="Times New Roman"/>
          <w:color w:val="auto"/>
          <w:spacing w:val="0"/>
          <w:kern w:val="0"/>
          <w:sz w:val="28"/>
          <w:szCs w:val="28"/>
          <w:lang w:val="uk-UA" w:eastAsia="zh-CN" w:bidi="ar-SA"/>
        </w:rPr>
        <w:t>3482 </w:t>
      </w:r>
      <w:r>
        <w:rPr>
          <w:spacing w:val="0"/>
          <w:sz w:val="28"/>
          <w:szCs w:val="28"/>
          <w:lang w:val="uk-UA" w:eastAsia="zh-CN" w:bidi="ar-SA"/>
        </w:rPr>
        <w:t>га, кадастровим</w:t>
      </w:r>
      <w:r>
        <w:rPr>
          <w:spacing w:val="0"/>
          <w:lang w:val="uk-UA" w:eastAsia="zh-CN" w:bidi="ar-SA"/>
        </w:rPr>
        <w:t xml:space="preserve"> </w:t>
      </w:r>
      <w:r>
        <w:rPr>
          <w:spacing w:val="0"/>
          <w:sz w:val="28"/>
          <w:szCs w:val="28"/>
          <w:lang w:val="uk-UA" w:eastAsia="zh-CN" w:bidi="ar-SA"/>
        </w:rPr>
        <w:t xml:space="preserve">номером </w:t>
      </w:r>
      <w:r>
        <w:rPr>
          <w:rFonts w:eastAsia="Times New Roman" w:cs="Times New Roman"/>
          <w:color w:val="auto"/>
          <w:spacing w:val="0"/>
          <w:kern w:val="0"/>
          <w:sz w:val="28"/>
          <w:szCs w:val="28"/>
          <w:lang w:val="uk-UA" w:eastAsia="zh-CN" w:bidi="ar-SA"/>
        </w:rPr>
        <w:t>0721885001</w:t>
      </w:r>
      <w:r>
        <w:rPr>
          <w:spacing w:val="0"/>
          <w:sz w:val="28"/>
          <w:szCs w:val="28"/>
          <w:lang w:val="uk-UA" w:eastAsia="zh-CN" w:bidi="ar-SA"/>
        </w:rPr>
        <w:t>:</w:t>
      </w:r>
      <w:r>
        <w:rPr>
          <w:rFonts w:eastAsia="Times New Roman" w:cs="Times New Roman"/>
          <w:color w:val="auto"/>
          <w:spacing w:val="0"/>
          <w:kern w:val="0"/>
          <w:sz w:val="28"/>
          <w:szCs w:val="28"/>
          <w:lang w:val="uk-UA" w:eastAsia="zh-CN" w:bidi="ar-SA"/>
        </w:rPr>
        <w:t>01</w:t>
      </w:r>
      <w:r>
        <w:rPr>
          <w:spacing w:val="0"/>
          <w:sz w:val="28"/>
          <w:szCs w:val="28"/>
          <w:lang w:val="uk-UA" w:eastAsia="zh-CN" w:bidi="ar-SA"/>
        </w:rPr>
        <w:t>:</w:t>
      </w:r>
      <w:r>
        <w:rPr>
          <w:rFonts w:eastAsia="Times New Roman" w:cs="Times New Roman"/>
          <w:color w:val="auto"/>
          <w:spacing w:val="0"/>
          <w:sz w:val="28"/>
          <w:szCs w:val="28"/>
          <w:lang w:val="uk-UA" w:eastAsia="zh-CN" w:bidi="ar-SA"/>
        </w:rPr>
        <w:t>001</w:t>
      </w:r>
      <w:r>
        <w:rPr>
          <w:spacing w:val="0"/>
          <w:sz w:val="28"/>
          <w:szCs w:val="28"/>
          <w:lang w:val="uk-UA" w:eastAsia="zh-CN" w:bidi="ar-SA"/>
        </w:rPr>
        <w:t>:</w:t>
      </w:r>
      <w:r>
        <w:rPr>
          <w:rFonts w:eastAsia="Times New Roman" w:cs="Times New Roman"/>
          <w:color w:val="auto"/>
          <w:spacing w:val="0"/>
          <w:kern w:val="0"/>
          <w:sz w:val="28"/>
          <w:szCs w:val="28"/>
          <w:lang w:val="uk-UA" w:eastAsia="zh-CN" w:bidi="ar-SA"/>
        </w:rPr>
        <w:t>0288</w:t>
      </w:r>
      <w:r>
        <w:rPr>
          <w:spacing w:val="0"/>
          <w:sz w:val="28"/>
          <w:szCs w:val="28"/>
          <w:lang w:val="uk-UA" w:eastAsia="zh-CN" w:bidi="ar-SA"/>
        </w:rPr>
        <w:t xml:space="preserve"> для будівництва </w:t>
      </w:r>
      <w:r>
        <w:rPr>
          <w:rFonts w:eastAsia="Times New Roman" w:cs="Times New Roman"/>
          <w:color w:val="auto"/>
          <w:spacing w:val="0"/>
          <w:kern w:val="0"/>
          <w:sz w:val="28"/>
          <w:szCs w:val="28"/>
          <w:lang w:val="uk-UA" w:eastAsia="zh-CN" w:bidi="ar-SA"/>
        </w:rPr>
        <w:t>і</w:t>
      </w:r>
      <w:r>
        <w:rPr>
          <w:spacing w:val="0"/>
          <w:sz w:val="28"/>
          <w:szCs w:val="28"/>
          <w:lang w:val="uk-UA" w:eastAsia="zh-CN" w:bidi="ar-SA"/>
        </w:rPr>
        <w:t xml:space="preserve"> обслуговування житлового будинку, господарських будівель і споруд (присадибна ділянка) (02.01).</w:t>
      </w:r>
    </w:p>
    <w:p>
      <w:pPr>
        <w:pStyle w:val="Normal"/>
        <w:ind w:left="0" w:right="43" w:firstLine="708"/>
        <w:jc w:val="both"/>
        <w:rPr>
          <w:spacing w:val="0"/>
        </w:rPr>
      </w:pPr>
      <w:r>
        <w:rPr>
          <w:spacing w:val="0"/>
          <w:sz w:val="28"/>
          <w:szCs w:val="28"/>
          <w:lang w:val="uk-UA" w:eastAsia="zh-CN" w:bidi="ar-SA"/>
        </w:rPr>
        <w:t>2.</w:t>
      </w:r>
      <w:r>
        <w:rPr>
          <w:spacing w:val="0"/>
          <w:sz w:val="12"/>
          <w:szCs w:val="10"/>
          <w:lang w:val="uk-UA" w:eastAsia="zh-CN" w:bidi="ar-SA"/>
        </w:rPr>
        <w:t xml:space="preserve"> </w:t>
      </w:r>
      <w:r>
        <w:rPr>
          <w:color w:val="000000"/>
          <w:spacing w:val="0"/>
          <w:sz w:val="28"/>
          <w:szCs w:val="28"/>
          <w:lang w:val="uk-UA" w:eastAsia="zh-CN" w:bidi="ar-SA"/>
        </w:rPr>
        <w:t>Змінити громадян</w:t>
      </w:r>
      <w:r>
        <w:rPr>
          <w:rFonts w:eastAsia="Times New Roman" w:cs="Times New Roman"/>
          <w:color w:val="000000"/>
          <w:spacing w:val="0"/>
          <w:sz w:val="28"/>
          <w:szCs w:val="28"/>
          <w:lang w:val="uk-UA" w:eastAsia="zh-CN" w:bidi="ar-SA"/>
        </w:rPr>
        <w:t>ину</w:t>
      </w:r>
      <w:r>
        <w:rPr>
          <w:color w:val="000000"/>
          <w:spacing w:val="0"/>
          <w:sz w:val="28"/>
          <w:szCs w:val="28"/>
          <w:lang w:val="uk-UA" w:eastAsia="zh-CN" w:bidi="ar-SA"/>
        </w:rPr>
        <w:t xml:space="preserve"> </w:t>
      </w:r>
      <w:r>
        <w:rPr>
          <w:rFonts w:eastAsia="Times New Roman" w:cs="Times New Roman"/>
          <w:color w:val="000000"/>
          <w:spacing w:val="0"/>
          <w:kern w:val="0"/>
          <w:sz w:val="28"/>
          <w:szCs w:val="28"/>
          <w:lang w:val="uk-UA" w:eastAsia="zh-CN" w:bidi="ar-SA"/>
        </w:rPr>
        <w:t>Данкевичу Миколі Володимировичу</w:t>
      </w:r>
      <w:r>
        <w:rPr>
          <w:color w:val="000000"/>
          <w:spacing w:val="0"/>
          <w:sz w:val="28"/>
          <w:szCs w:val="28"/>
          <w:lang w:val="uk-UA" w:eastAsia="zh-CN" w:bidi="ar-SA"/>
        </w:rPr>
        <w:t xml:space="preserve"> цільове призначення</w:t>
      </w:r>
      <w:r>
        <w:rPr>
          <w:color w:val="000000"/>
          <w:spacing w:val="0"/>
          <w:sz w:val="12"/>
          <w:szCs w:val="12"/>
          <w:lang w:val="uk-UA" w:eastAsia="zh-CN" w:bidi="ar-SA"/>
        </w:rPr>
        <w:t xml:space="preserve"> </w:t>
      </w:r>
      <w:r>
        <w:rPr>
          <w:color w:val="000000"/>
          <w:spacing w:val="0"/>
          <w:sz w:val="28"/>
          <w:szCs w:val="28"/>
          <w:lang w:val="uk-UA" w:eastAsia="zh-CN" w:bidi="ar-SA"/>
        </w:rPr>
        <w:t>земельної</w:t>
      </w:r>
      <w:r>
        <w:rPr>
          <w:color w:val="000000"/>
          <w:spacing w:val="0"/>
          <w:sz w:val="12"/>
          <w:szCs w:val="12"/>
          <w:lang w:val="uk-UA" w:eastAsia="zh-CN" w:bidi="ar-SA"/>
        </w:rPr>
        <w:t xml:space="preserve"> </w:t>
      </w:r>
      <w:r>
        <w:rPr>
          <w:color w:val="000000"/>
          <w:spacing w:val="0"/>
          <w:sz w:val="28"/>
          <w:szCs w:val="28"/>
          <w:lang w:val="uk-UA" w:eastAsia="zh-CN" w:bidi="ar-SA"/>
        </w:rPr>
        <w:t>ділянки у с. </w:t>
      </w:r>
      <w:r>
        <w:rPr>
          <w:rFonts w:eastAsia="Times New Roman" w:cs="Times New Roman"/>
          <w:color w:val="000000"/>
          <w:spacing w:val="0"/>
          <w:kern w:val="0"/>
          <w:sz w:val="28"/>
          <w:szCs w:val="28"/>
          <w:lang w:val="uk-UA" w:eastAsia="zh-CN" w:bidi="ar-SA"/>
        </w:rPr>
        <w:t>Озерце</w:t>
      </w:r>
      <w:r>
        <w:rPr>
          <w:color w:val="000000"/>
          <w:spacing w:val="0"/>
          <w:sz w:val="28"/>
          <w:szCs w:val="28"/>
          <w:lang w:val="uk-UA" w:eastAsia="zh-CN" w:bidi="ar-SA"/>
        </w:rPr>
        <w:t xml:space="preserve"> Луцького району Волинської області площею 0,</w:t>
      </w:r>
      <w:r>
        <w:rPr>
          <w:rFonts w:eastAsia="Times New Roman" w:cs="Times New Roman"/>
          <w:color w:val="000000"/>
          <w:spacing w:val="0"/>
          <w:kern w:val="0"/>
          <w:sz w:val="28"/>
          <w:szCs w:val="28"/>
          <w:lang w:val="uk-UA" w:eastAsia="zh-CN" w:bidi="ar-SA"/>
        </w:rPr>
        <w:t>3482 </w:t>
      </w:r>
      <w:r>
        <w:rPr>
          <w:color w:val="000000"/>
          <w:spacing w:val="0"/>
          <w:sz w:val="28"/>
          <w:szCs w:val="28"/>
          <w:lang w:val="uk-UA" w:eastAsia="zh-CN" w:bidi="ar-SA"/>
        </w:rPr>
        <w:t xml:space="preserve">га, кадастровим номером </w:t>
      </w:r>
      <w:r>
        <w:rPr>
          <w:rFonts w:eastAsia="Times New Roman" w:cs="Times New Roman"/>
          <w:color w:val="000000"/>
          <w:spacing w:val="0"/>
          <w:kern w:val="0"/>
          <w:sz w:val="28"/>
          <w:szCs w:val="28"/>
          <w:lang w:val="uk-UA" w:eastAsia="zh-CN" w:bidi="ar-SA"/>
        </w:rPr>
        <w:t>0721885001:01:001:0288</w:t>
      </w:r>
      <w:r>
        <w:rPr>
          <w:color w:val="000000"/>
          <w:spacing w:val="0"/>
          <w:sz w:val="28"/>
          <w:szCs w:val="28"/>
          <w:lang w:val="uk-UA" w:eastAsia="zh-CN" w:bidi="ar-SA"/>
        </w:rPr>
        <w:t xml:space="preserve"> з </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xml:space="preserve">для </w:t>
      </w:r>
      <w:r>
        <w:rPr>
          <w:rFonts w:eastAsia="Times New Roman" w:cs="Times New Roman"/>
          <w:color w:val="000000"/>
          <w:spacing w:val="0"/>
          <w:kern w:val="0"/>
          <w:sz w:val="28"/>
          <w:szCs w:val="28"/>
          <w:lang w:val="uk-UA" w:eastAsia="zh-CN" w:bidi="ar-SA"/>
        </w:rPr>
        <w:t>ведення особистого селянського господарства</w:t>
      </w:r>
      <w:r>
        <w:rPr>
          <w:color w:val="000000"/>
          <w:spacing w:val="0"/>
          <w:sz w:val="28"/>
          <w:szCs w:val="28"/>
          <w:lang w:val="uk-UA" w:eastAsia="zh-CN" w:bidi="ar-SA"/>
        </w:rPr>
        <w:t xml:space="preserve"> (01.</w:t>
      </w:r>
      <w:r>
        <w:rPr>
          <w:color w:val="000000"/>
          <w:spacing w:val="0"/>
          <w:sz w:val="28"/>
          <w:szCs w:val="28"/>
          <w:lang w:val="uk-UA" w:eastAsia="zh-CN" w:bidi="ar-SA"/>
        </w:rPr>
        <w:t>0</w:t>
      </w:r>
      <w:r>
        <w:rPr>
          <w:rFonts w:eastAsia="Times New Roman" w:cs="Times New Roman"/>
          <w:color w:val="000000"/>
          <w:spacing w:val="0"/>
          <w:kern w:val="0"/>
          <w:sz w:val="28"/>
          <w:szCs w:val="28"/>
          <w:lang w:val="uk-UA" w:eastAsia="zh-CN" w:bidi="ar-SA"/>
        </w:rPr>
        <w:t>3</w:t>
      </w:r>
      <w:r>
        <w:rPr>
          <w:color w:val="000000"/>
          <w:spacing w:val="0"/>
          <w:sz w:val="28"/>
          <w:szCs w:val="28"/>
          <w:lang w:val="uk-UA" w:eastAsia="zh-CN" w:bidi="ar-SA"/>
        </w:rPr>
        <w:t>)</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xml:space="preserve"> на </w:t>
      </w:r>
      <w:r>
        <w:rPr>
          <w:rFonts w:eastAsia="Times New Roman" w:cs="Times New Roman"/>
          <w:color w:val="000000"/>
          <w:spacing w:val="0"/>
          <w:sz w:val="28"/>
          <w:szCs w:val="28"/>
          <w:lang w:val="uk-UA" w:eastAsia="zh-CN" w:bidi="ar-SA"/>
        </w:rPr>
        <w:t>«</w:t>
      </w:r>
      <w:r>
        <w:rPr>
          <w:rFonts w:eastAsia="Times New Roman" w:cs="Times New Roman"/>
          <w:color w:val="000000"/>
          <w:spacing w:val="0"/>
          <w:kern w:val="0"/>
          <w:sz w:val="28"/>
          <w:szCs w:val="28"/>
          <w:lang w:val="uk-UA" w:eastAsia="zh-CN" w:bidi="ar-SA"/>
        </w:rPr>
        <w:t>для</w:t>
      </w:r>
      <w:r>
        <w:rPr>
          <w:color w:val="000000"/>
          <w:spacing w:val="0"/>
          <w:sz w:val="28"/>
          <w:szCs w:val="28"/>
          <w:lang w:val="uk-UA" w:eastAsia="zh-CN" w:bidi="ar-SA"/>
        </w:rPr>
        <w:t xml:space="preserve"> будівництв</w:t>
      </w:r>
      <w:r>
        <w:rPr>
          <w:rFonts w:eastAsia="Times New Roman" w:cs="Times New Roman"/>
          <w:color w:val="000000"/>
          <w:spacing w:val="0"/>
          <w:kern w:val="0"/>
          <w:sz w:val="28"/>
          <w:szCs w:val="28"/>
          <w:lang w:val="uk-UA" w:eastAsia="zh-CN" w:bidi="ar-SA"/>
        </w:rPr>
        <w:t>а</w:t>
      </w:r>
      <w:r>
        <w:rPr>
          <w:color w:val="000000"/>
          <w:spacing w:val="0"/>
          <w:sz w:val="28"/>
          <w:szCs w:val="28"/>
          <w:lang w:val="uk-UA" w:eastAsia="zh-CN" w:bidi="ar-SA"/>
        </w:rPr>
        <w:t xml:space="preserve"> і обслуговування житлового будинку, господарських будівель і споруд (присадибна ділянка) (02.01)</w:t>
      </w:r>
      <w:r>
        <w:rPr>
          <w:rFonts w:eastAsia="Times New Roman" w:cs="Times New Roman"/>
          <w:color w:val="000000"/>
          <w:spacing w:val="0"/>
          <w:sz w:val="28"/>
          <w:szCs w:val="28"/>
          <w:lang w:val="uk-UA" w:eastAsia="zh-CN" w:bidi="ar-SA"/>
        </w:rPr>
        <w:t>»</w:t>
      </w:r>
      <w:r>
        <w:rPr>
          <w:color w:val="000000"/>
          <w:spacing w:val="0"/>
          <w:sz w:val="28"/>
          <w:szCs w:val="28"/>
          <w:lang w:val="uk-UA" w:eastAsia="zh-CN" w:bidi="ar-SA"/>
        </w:rPr>
        <w:t>, згідно з додатком.</w:t>
      </w:r>
    </w:p>
    <w:p>
      <w:pPr>
        <w:pStyle w:val="Normal"/>
        <w:ind w:left="0" w:right="43" w:firstLine="708"/>
        <w:jc w:val="both"/>
        <w:rPr>
          <w:spacing w:val="0"/>
        </w:rPr>
      </w:pPr>
      <w:r>
        <w:rPr>
          <w:spacing w:val="0"/>
          <w:sz w:val="28"/>
          <w:szCs w:val="28"/>
          <w:lang w:val="uk-UA" w:eastAsia="zh-CN" w:bidi="ar-SA"/>
        </w:rPr>
        <w:t>3. Зобов’язати громадян</w:t>
      </w:r>
      <w:r>
        <w:rPr>
          <w:rFonts w:eastAsia="Times New Roman" w:cs="Times New Roman"/>
          <w:color w:val="auto"/>
          <w:spacing w:val="0"/>
          <w:sz w:val="28"/>
          <w:szCs w:val="28"/>
          <w:lang w:val="uk-UA" w:eastAsia="zh-CN" w:bidi="ar-SA"/>
        </w:rPr>
        <w:t>ина</w:t>
      </w:r>
      <w:r>
        <w:rPr>
          <w:spacing w:val="0"/>
          <w:sz w:val="28"/>
          <w:szCs w:val="28"/>
          <w:lang w:val="uk-UA" w:eastAsia="zh-CN" w:bidi="ar-SA"/>
        </w:rPr>
        <w:t xml:space="preserve"> </w:t>
      </w:r>
      <w:r>
        <w:rPr>
          <w:rFonts w:eastAsia="Times New Roman" w:cs="Times New Roman"/>
          <w:color w:val="auto"/>
          <w:spacing w:val="0"/>
          <w:kern w:val="0"/>
          <w:sz w:val="28"/>
          <w:szCs w:val="28"/>
          <w:lang w:val="uk-UA" w:eastAsia="zh-CN" w:bidi="ar-SA"/>
        </w:rPr>
        <w:t>Данкевича Миколу Володимировича</w:t>
      </w:r>
      <w:r>
        <w:rPr>
          <w:spacing w:val="0"/>
          <w:sz w:val="28"/>
          <w:szCs w:val="28"/>
          <w:lang w:val="uk-UA" w:eastAsia="zh-CN" w:bidi="ar-SA"/>
        </w:rPr>
        <w:t>:</w:t>
      </w:r>
    </w:p>
    <w:p>
      <w:pPr>
        <w:pStyle w:val="Normal"/>
        <w:ind w:left="0" w:right="0" w:firstLine="708"/>
        <w:jc w:val="both"/>
        <w:rPr>
          <w:spacing w:val="0"/>
        </w:rPr>
      </w:pPr>
      <w:r>
        <w:rPr>
          <w:spacing w:val="0"/>
          <w:sz w:val="28"/>
          <w:szCs w:val="28"/>
          <w:lang w:val="uk-UA" w:eastAsia="zh-CN" w:bidi="ar-SA"/>
        </w:rPr>
        <w:t>3.1. </w:t>
      </w:r>
      <w:r>
        <w:rPr>
          <w:rFonts w:eastAsia="Times New Roman" w:cs="Times New Roman"/>
          <w:b w:val="false"/>
          <w:bCs w:val="false"/>
          <w:i w:val="false"/>
          <w:iCs w:val="false"/>
          <w:spacing w:val="0"/>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0"/>
        </w:rPr>
      </w:pPr>
      <w:r>
        <w:rPr>
          <w:rFonts w:eastAsia="Times New Roman" w:cs="Times New Roman"/>
          <w:b w:val="false"/>
          <w:bCs w:val="false"/>
          <w:i w:val="false"/>
          <w:iCs w:val="false"/>
          <w:spacing w:val="0"/>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0"/>
          <w:kern w:val="0"/>
          <w:sz w:val="28"/>
          <w:szCs w:val="28"/>
          <w:lang w:val="uk-UA" w:eastAsia="zh-CN" w:bidi="ar-SA"/>
        </w:rPr>
        <w:t>0721885001:01:001:0288</w:t>
      </w:r>
      <w:r>
        <w:rPr>
          <w:rFonts w:eastAsia="Times New Roman" w:cs="Times New Roman"/>
          <w:b w:val="false"/>
          <w:bCs w:val="false"/>
          <w:i w:val="false"/>
          <w:iCs w:val="false"/>
          <w:spacing w:val="0"/>
          <w:sz w:val="28"/>
          <w:szCs w:val="28"/>
          <w:lang w:val="uk-UA" w:eastAsia="zh-CN" w:bidi="ar-SA"/>
        </w:rPr>
        <w:t>, у зв'язку з прийняттям цього рішення.</w:t>
      </w:r>
    </w:p>
    <w:p>
      <w:pPr>
        <w:pStyle w:val="Normal"/>
        <w:ind w:left="0" w:right="0" w:firstLine="708"/>
        <w:jc w:val="both"/>
        <w:rPr>
          <w:spacing w:val="0"/>
        </w:rPr>
      </w:pPr>
      <w:r>
        <w:rPr>
          <w:spacing w:val="0"/>
          <w:sz w:val="28"/>
          <w:szCs w:val="28"/>
          <w:lang w:val="uk-UA" w:eastAsia="zh-CN" w:bidi="ar-SA"/>
        </w:rPr>
        <w:t>3.</w:t>
      </w:r>
      <w:r>
        <w:rPr>
          <w:rFonts w:eastAsia="Times New Roman" w:cs="Times New Roman"/>
          <w:color w:val="auto"/>
          <w:spacing w:val="0"/>
          <w:kern w:val="0"/>
          <w:sz w:val="28"/>
          <w:szCs w:val="28"/>
          <w:lang w:val="uk-UA" w:eastAsia="zh-CN" w:bidi="ar-SA"/>
        </w:rPr>
        <w:t>3</w:t>
      </w:r>
      <w:r>
        <w:rPr>
          <w:spacing w:val="0"/>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0"/>
          <w:kern w:val="0"/>
          <w:sz w:val="28"/>
          <w:szCs w:val="28"/>
          <w:lang w:val="uk-UA" w:eastAsia="zh-CN" w:bidi="ar-SA"/>
        </w:rPr>
        <w:t xml:space="preserve">атті </w:t>
      </w:r>
      <w:r>
        <w:rPr>
          <w:spacing w:val="0"/>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0"/>
        </w:rPr>
      </w:pPr>
      <w:r>
        <w:rPr>
          <w:spacing w:val="0"/>
          <w:sz w:val="28"/>
          <w:szCs w:val="28"/>
          <w:lang w:val="uk-UA" w:eastAsia="zh-CN" w:bidi="ar-SA"/>
        </w:rPr>
        <w:t>3.</w:t>
      </w:r>
      <w:r>
        <w:rPr>
          <w:rFonts w:eastAsia="Times New Roman" w:cs="Times New Roman"/>
          <w:color w:val="auto"/>
          <w:spacing w:val="0"/>
          <w:kern w:val="0"/>
          <w:sz w:val="28"/>
          <w:szCs w:val="28"/>
          <w:lang w:val="uk-UA" w:eastAsia="zh-CN" w:bidi="ar-SA"/>
        </w:rPr>
        <w:t>4</w:t>
      </w:r>
      <w:r>
        <w:rPr>
          <w:spacing w:val="0"/>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0"/>
        </w:rPr>
      </w:pPr>
      <w:r>
        <w:rPr>
          <w:spacing w:val="0"/>
          <w:sz w:val="28"/>
          <w:szCs w:val="28"/>
        </w:rPr>
        <w:t>4. Контроль за виконанням даного рішення покласти на заступника міського голови Ірину Чебелюк,</w:t>
      </w:r>
      <w:r>
        <w:rPr>
          <w:spacing w:val="0"/>
          <w:sz w:val="28"/>
          <w:szCs w:val="28"/>
          <w:lang w:val="en-US"/>
        </w:rPr>
        <w:t xml:space="preserve"> </w:t>
      </w:r>
      <w:r>
        <w:rPr>
          <w:spacing w:val="0"/>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747</TotalTime>
  <Application>LibreOffice/7.1.3.2$Windows_X86_64 LibreOffice_project/47f78053abe362b9384784d31a6e56f8511eb1c1</Application>
  <AppVersion>15.0000</AppVersion>
  <Pages>2</Pages>
  <Words>503</Words>
  <Characters>3539</Characters>
  <CharactersWithSpaces>4341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2023-01-02T09:41:18Z</cp:lastPrinted>
  <dcterms:modified xsi:type="dcterms:W3CDTF">2023-01-09T17:01:57Z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file>