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firstLine="567"/>
        <w:jc w:val="right"/>
        <w:rPr>
          <w:color w:val="000000"/>
        </w:rPr>
      </w:pPr>
      <w:r>
        <w:rPr>
          <w:rFonts w:eastAsia="Times New Roman" w:cs="Times New Roman" w:ascii="Times New Roman" w:hAnsi="Times New Roman"/>
          <w:color w:val="000000"/>
          <w:sz w:val="28"/>
          <w:szCs w:val="28"/>
          <w:lang w:eastAsia="uk-UA"/>
        </w:rPr>
        <w:t>Додаток</w:t>
      </w:r>
    </w:p>
    <w:p>
      <w:pPr>
        <w:pStyle w:val="Normal"/>
        <w:spacing w:lineRule="auto" w:line="240" w:before="0" w:after="0"/>
        <w:ind w:left="0" w:right="0" w:firstLine="567"/>
        <w:jc w:val="right"/>
        <w:rPr>
          <w:color w:val="000000"/>
        </w:rPr>
      </w:pPr>
      <w:r>
        <w:rPr>
          <w:rFonts w:eastAsia="Times New Roman" w:cs="Times New Roman" w:ascii="Times New Roman" w:hAnsi="Times New Roman"/>
          <w:color w:val="000000"/>
          <w:sz w:val="28"/>
          <w:szCs w:val="28"/>
          <w:lang w:eastAsia="uk-UA"/>
        </w:rPr>
        <w:t>до рішення міської ради</w:t>
      </w:r>
    </w:p>
    <w:p>
      <w:pPr>
        <w:pStyle w:val="Normal"/>
        <w:spacing w:lineRule="auto" w:line="240" w:before="0" w:after="0"/>
        <w:ind w:left="0" w:right="0" w:firstLine="567"/>
        <w:jc w:val="right"/>
        <w:rPr>
          <w:color w:val="000000"/>
        </w:rPr>
      </w:pPr>
      <w:r>
        <w:rPr>
          <w:rFonts w:eastAsia="Times New Roman" w:cs="Times New Roman" w:ascii="Times New Roman" w:hAnsi="Times New Roman"/>
          <w:color w:val="000000"/>
          <w:sz w:val="28"/>
          <w:szCs w:val="28"/>
          <w:lang w:eastAsia="uk-UA"/>
        </w:rPr>
        <w:t>____________№_______</w:t>
      </w:r>
    </w:p>
    <w:p>
      <w:pPr>
        <w:pStyle w:val="Normal"/>
        <w:spacing w:lineRule="auto" w:line="240" w:before="0" w:after="240"/>
        <w:ind w:left="0" w:right="0" w:firstLine="567"/>
        <w:jc w:val="both"/>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p>
      <w:pPr>
        <w:pStyle w:val="Normal"/>
        <w:spacing w:lineRule="auto" w:line="240" w:before="0" w:after="0"/>
        <w:ind w:left="0" w:right="0" w:firstLine="567"/>
        <w:jc w:val="center"/>
        <w:rPr>
          <w:color w:val="000000"/>
        </w:rPr>
      </w:pPr>
      <w:r>
        <w:rPr>
          <w:rFonts w:eastAsia="Times New Roman" w:cs="Times New Roman" w:ascii="Times New Roman" w:hAnsi="Times New Roman"/>
          <w:b/>
          <w:bCs/>
          <w:color w:val="000000"/>
          <w:sz w:val="28"/>
          <w:szCs w:val="28"/>
          <w:lang w:eastAsia="uk-UA"/>
        </w:rPr>
        <w:t>ЗВЕРНЕННЯ</w:t>
      </w:r>
    </w:p>
    <w:p>
      <w:pPr>
        <w:pStyle w:val="Normal"/>
        <w:widowControl/>
        <w:suppressAutoHyphens w:val="true"/>
        <w:bidi w:val="0"/>
        <w:spacing w:lineRule="auto" w:line="240" w:before="0" w:after="0"/>
        <w:ind w:left="0" w:right="0" w:hanging="0"/>
        <w:jc w:val="center"/>
        <w:rPr>
          <w:color w:val="000000"/>
        </w:rPr>
      </w:pPr>
      <w:r>
        <w:rPr>
          <w:rFonts w:eastAsia="Times New Roman" w:cs="Times New Roman" w:ascii="Times New Roman" w:hAnsi="Times New Roman"/>
          <w:b/>
          <w:bCs/>
          <w:color w:val="000000"/>
          <w:sz w:val="28"/>
          <w:szCs w:val="28"/>
          <w:lang w:eastAsia="uk-UA"/>
        </w:rPr>
        <w:t>до Всеукраїнської громадської організації «Асоціація експертів будівельної галузі» та Атестаційної архітектурно-будівельної комісії Міністерства регіонального розвитку, будівництва та житлово-комунального господарства щодо незаконних дій інженерів з інвентаризації</w:t>
      </w:r>
    </w:p>
    <w:p>
      <w:pPr>
        <w:pStyle w:val="Normal"/>
        <w:spacing w:lineRule="auto" w:line="240" w:before="0" w:after="0"/>
        <w:ind w:left="0" w:right="0" w:firstLine="567"/>
        <w:jc w:val="both"/>
        <w:rPr>
          <w:rFonts w:ascii="Times New Roman" w:hAnsi="Times New Roman" w:eastAsia="Times New Roman" w:cs="Times New Roman"/>
          <w:b/>
          <w:b/>
          <w:bCs/>
          <w:color w:val="000000"/>
          <w:sz w:val="28"/>
          <w:szCs w:val="28"/>
          <w:lang w:eastAsia="uk-UA"/>
        </w:rPr>
      </w:pPr>
      <w:r>
        <w:rPr>
          <w:rFonts w:eastAsia="Times New Roman" w:cs="Times New Roman" w:ascii="Times New Roman" w:hAnsi="Times New Roman"/>
          <w:b/>
          <w:bCs/>
          <w:color w:val="000000"/>
          <w:sz w:val="28"/>
          <w:szCs w:val="28"/>
          <w:lang w:eastAsia="uk-UA"/>
        </w:rPr>
      </w:r>
    </w:p>
    <w:p>
      <w:pPr>
        <w:pStyle w:val="Normal"/>
        <w:spacing w:lineRule="auto" w:line="240" w:before="0" w:after="0"/>
        <w:ind w:left="0" w:right="0" w:firstLine="567"/>
        <w:jc w:val="both"/>
        <w:rPr>
          <w:color w:val="000000"/>
        </w:rPr>
      </w:pPr>
      <w:r>
        <w:rPr>
          <w:rFonts w:ascii="Times New Roman" w:hAnsi="Times New Roman"/>
          <w:color w:val="000000"/>
          <w:sz w:val="28"/>
          <w:szCs w:val="28"/>
        </w:rPr>
        <w:t>Частиною 2 статті 19 Конституції України визначено, що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pPr>
        <w:pStyle w:val="Normal"/>
        <w:spacing w:lineRule="auto" w:line="240" w:before="0" w:after="0"/>
        <w:ind w:left="0" w:right="0" w:firstLine="567"/>
        <w:jc w:val="both"/>
        <w:rPr>
          <w:color w:val="000000"/>
        </w:rPr>
      </w:pPr>
      <w:r>
        <w:rPr>
          <w:rFonts w:ascii="Times New Roman" w:hAnsi="Times New Roman"/>
          <w:color w:val="000000"/>
          <w:sz w:val="28"/>
          <w:szCs w:val="28"/>
        </w:rPr>
        <w:t>Відповідно до абзацу 1 частини 1 статті 1 Закону України «Про регулювання містобудівної діяльності» визначено що будівництво – це нове будівництво, реконструкція, реставрація, капітальний ремонт об’єкта будівництва.</w:t>
      </w:r>
    </w:p>
    <w:p>
      <w:pPr>
        <w:pStyle w:val="Normal"/>
        <w:spacing w:lineRule="auto" w:line="240" w:before="0" w:after="0"/>
        <w:ind w:left="0" w:right="0" w:firstLine="567"/>
        <w:jc w:val="both"/>
        <w:rPr>
          <w:color w:val="000000"/>
        </w:rPr>
      </w:pPr>
      <w:r>
        <w:rPr>
          <w:rFonts w:ascii="Times New Roman" w:hAnsi="Times New Roman"/>
          <w:color w:val="000000"/>
          <w:sz w:val="28"/>
          <w:szCs w:val="28"/>
        </w:rPr>
        <w:t>Відповідно до п. 3.21 ДБН А.2.2-3-2014 «Склад та зміст проектної документації на будівництво» Реконструкція – це перебудова введеного в експлуатацію в установленому порядку об'єкта будівництва, що передбачає зміну його геометричних розмірів та/або функціонального призначення… Реконструкція передбачає повне або часткове збереження елементів несучих і огороджувальних конструкцій та призупинення на час виконання робіт експлуатації об’єкта в цілому або його частин (за умови їх автономності).</w:t>
      </w:r>
    </w:p>
    <w:p>
      <w:pPr>
        <w:pStyle w:val="Normal"/>
        <w:spacing w:lineRule="auto" w:line="240" w:before="0" w:after="0"/>
        <w:ind w:left="0" w:right="0" w:firstLine="567"/>
        <w:jc w:val="both"/>
        <w:rPr>
          <w:color w:val="000000"/>
        </w:rPr>
      </w:pPr>
      <w:r>
        <w:rPr>
          <w:rFonts w:ascii="Times New Roman" w:hAnsi="Times New Roman"/>
          <w:color w:val="000000"/>
          <w:sz w:val="28"/>
          <w:szCs w:val="28"/>
        </w:rPr>
        <w:t xml:space="preserve">Порядок отримання дозвільних документів на проведення реконструкції визначається постановою Кабінету Міністрів України </w:t>
      </w:r>
      <w:r>
        <w:rPr>
          <w:rFonts w:ascii="Times New Roman" w:hAnsi="Times New Roman"/>
          <w:bCs/>
          <w:color w:val="000000"/>
          <w:sz w:val="28"/>
          <w:szCs w:val="28"/>
          <w:shd w:fill="FFFFFF" w:val="clear"/>
        </w:rPr>
        <w:t>від 13 квітня 2011 року</w:t>
      </w:r>
      <w:r>
        <w:rPr>
          <w:rFonts w:ascii="Times New Roman" w:hAnsi="Times New Roman"/>
          <w:color w:val="000000"/>
          <w:sz w:val="28"/>
          <w:szCs w:val="28"/>
        </w:rPr>
        <w:t xml:space="preserve"> № 466 «</w:t>
      </w:r>
      <w:r>
        <w:rPr>
          <w:rFonts w:ascii="Times New Roman" w:hAnsi="Times New Roman"/>
          <w:color w:val="000000"/>
          <w:sz w:val="28"/>
          <w:szCs w:val="28"/>
          <w:shd w:fill="FFFFFF" w:val="clear"/>
        </w:rPr>
        <w:t xml:space="preserve">Деякі питання виконання підготовчих і будівельних робіт». </w:t>
      </w:r>
      <w:bookmarkStart w:id="0" w:name="n585"/>
      <w:bookmarkEnd w:id="0"/>
    </w:p>
    <w:p>
      <w:pPr>
        <w:pStyle w:val="Normal"/>
        <w:spacing w:lineRule="auto" w:line="240" w:before="0" w:after="0"/>
        <w:ind w:left="0" w:right="0" w:firstLine="567"/>
        <w:jc w:val="both"/>
        <w:rPr>
          <w:color w:val="000000"/>
        </w:rPr>
      </w:pPr>
      <w:r>
        <w:rPr>
          <w:rFonts w:ascii="Times New Roman" w:hAnsi="Times New Roman"/>
          <w:color w:val="000000"/>
          <w:sz w:val="28"/>
          <w:szCs w:val="28"/>
        </w:rPr>
        <w:t>Відповідно до частини першої статті 34 Закону України «Про регулювання містобудівної діяльності» замовник має право виконувати будівельні роботи після подання повідомлення про початок виконання будівельних робіт, або ж отримання дозволу на виконання будівельних робіт для об’єктів відповідного класу наслідків.</w:t>
      </w:r>
    </w:p>
    <w:p>
      <w:pPr>
        <w:pStyle w:val="Normal"/>
        <w:spacing w:lineRule="auto" w:line="240" w:before="0" w:after="0"/>
        <w:ind w:left="0" w:right="0" w:firstLine="567"/>
        <w:jc w:val="both"/>
        <w:rPr>
          <w:color w:val="000000"/>
        </w:rPr>
      </w:pPr>
      <w:r>
        <w:rPr>
          <w:rFonts w:ascii="Times New Roman" w:hAnsi="Times New Roman"/>
          <w:color w:val="000000"/>
          <w:sz w:val="28"/>
          <w:szCs w:val="28"/>
        </w:rPr>
        <w:t>Відповідно до абзацу 4 пункту 15</w:t>
      </w:r>
      <w:r>
        <w:rPr>
          <w:rFonts w:ascii="Times New Roman" w:hAnsi="Times New Roman"/>
          <w:color w:val="000000"/>
          <w:sz w:val="28"/>
          <w:szCs w:val="28"/>
          <w:vertAlign w:val="superscript"/>
        </w:rPr>
        <w:t xml:space="preserve">1 </w:t>
      </w:r>
      <w:r>
        <w:rPr>
          <w:rFonts w:ascii="Times New Roman" w:hAnsi="Times New Roman"/>
          <w:color w:val="000000"/>
          <w:sz w:val="28"/>
          <w:szCs w:val="28"/>
        </w:rPr>
        <w:t>Постанови Кабінету Міністрів України «</w:t>
      </w:r>
      <w:r>
        <w:rPr>
          <w:rFonts w:ascii="Times New Roman" w:hAnsi="Times New Roman"/>
          <w:bCs/>
          <w:color w:val="000000"/>
          <w:sz w:val="28"/>
          <w:szCs w:val="28"/>
          <w:shd w:fill="FFFFFF" w:val="clear"/>
        </w:rPr>
        <w:t>Деякі питання виконання підготовчих і будівельних робіт</w:t>
      </w:r>
      <w:r>
        <w:rPr>
          <w:rFonts w:ascii="Times New Roman" w:hAnsi="Times New Roman"/>
          <w:color w:val="000000"/>
          <w:sz w:val="28"/>
          <w:szCs w:val="28"/>
        </w:rPr>
        <w:t xml:space="preserve">» </w:t>
      </w:r>
      <w:r>
        <w:rPr>
          <w:rFonts w:ascii="Times New Roman" w:hAnsi="Times New Roman"/>
          <w:bCs/>
          <w:color w:val="000000"/>
          <w:sz w:val="28"/>
          <w:szCs w:val="28"/>
          <w:shd w:fill="FFFFFF" w:val="clear"/>
        </w:rPr>
        <w:t>від 13 квітня 2011 року № 466. Виконання підготовчих або будівельних робіт без подання такого повідомлення забороняється.</w:t>
      </w:r>
    </w:p>
    <w:p>
      <w:pPr>
        <w:pStyle w:val="Normal"/>
        <w:spacing w:lineRule="auto" w:line="240" w:before="0" w:after="0"/>
        <w:ind w:left="0" w:right="0" w:firstLine="567"/>
        <w:jc w:val="both"/>
        <w:rPr>
          <w:color w:val="000000"/>
        </w:rPr>
      </w:pPr>
      <w:r>
        <w:rPr>
          <w:rFonts w:ascii="Times New Roman" w:hAnsi="Times New Roman"/>
          <w:color w:val="000000"/>
          <w:sz w:val="28"/>
          <w:szCs w:val="28"/>
        </w:rPr>
        <w:t>Відповідно до частини сьомої статті 34 Закону України «Про регулювання містобудівної діяльності» виконання будівельних робіт без відповідного документа, передбаченого цією статтею вважається самочинним будівництвом і тягне за собою відповідальність згідно із законом.</w:t>
      </w:r>
    </w:p>
    <w:p>
      <w:pPr>
        <w:pStyle w:val="Normal"/>
        <w:spacing w:lineRule="auto" w:line="240" w:before="0" w:after="0"/>
        <w:ind w:left="0" w:right="0" w:firstLine="567"/>
        <w:jc w:val="both"/>
        <w:rPr>
          <w:color w:val="000000"/>
        </w:rPr>
      </w:pPr>
      <w:r>
        <w:rPr>
          <w:rFonts w:ascii="Times New Roman" w:hAnsi="Times New Roman"/>
          <w:color w:val="000000"/>
          <w:sz w:val="28"/>
          <w:szCs w:val="28"/>
        </w:rPr>
        <w:t>Узагальнюючи вищевказане – зміна функціонального призначення, зміна геометричних розмірів, втручання в несучі конструкції являється будівництвом, і вимагає отримання дозвільних документів. Отже, зміна функціонального призначення без дозвільних документів заборонена.</w:t>
      </w:r>
    </w:p>
    <w:p>
      <w:pPr>
        <w:pStyle w:val="Normal"/>
        <w:spacing w:lineRule="auto" w:line="240" w:before="0" w:after="0"/>
        <w:ind w:left="0" w:right="0" w:firstLine="567"/>
        <w:jc w:val="both"/>
        <w:rPr>
          <w:color w:val="000000"/>
        </w:rPr>
      </w:pPr>
      <w:r>
        <w:rPr>
          <w:rFonts w:ascii="Times New Roman" w:hAnsi="Times New Roman"/>
          <w:color w:val="000000"/>
          <w:sz w:val="28"/>
          <w:szCs w:val="28"/>
        </w:rPr>
        <w:t xml:space="preserve">Проте, незважаючи на вищевказане, трапляються непоодинокі випадки, коли сертифікованими інженерами з інвентаризації нерухомого майна під час проведення технічної інвентаризації ігноруються вказані вище, норми законодавства та надаються висновки (довідки), які надалі використовуються для незаконної реєстрації об’єктів нерухомого майна. </w:t>
      </w:r>
    </w:p>
    <w:p>
      <w:pPr>
        <w:pStyle w:val="Normal"/>
        <w:spacing w:lineRule="auto" w:line="240" w:before="0" w:after="0"/>
        <w:ind w:left="0" w:right="0" w:firstLine="567"/>
        <w:jc w:val="both"/>
        <w:rPr>
          <w:color w:val="000000"/>
        </w:rPr>
      </w:pPr>
      <w:r>
        <w:rPr>
          <w:rFonts w:ascii="Times New Roman" w:hAnsi="Times New Roman"/>
          <w:color w:val="000000"/>
          <w:sz w:val="28"/>
          <w:szCs w:val="28"/>
        </w:rPr>
        <w:t xml:space="preserve">Так, відділом державного архітектурно-будівельного контролю Луцької міської ради в процесі розгляду скарги громадян було встановлено, що посадовою особою ТОВ «Арт Буд Проект», інженером з інвентаризації нерухомого майна Кіцом Іваном Йосиповичем було складено висновок від 19.07.2021 № 682 про технічний стан об’єкта нерухомого майна, який затверджений директором ТОВ «Арт Буд Проект» Кіц Тетяною Сергіївною. </w:t>
      </w:r>
    </w:p>
    <w:p>
      <w:pPr>
        <w:pStyle w:val="Normal"/>
        <w:spacing w:lineRule="auto" w:line="240" w:before="0" w:after="0"/>
        <w:ind w:left="0" w:right="0" w:firstLine="567"/>
        <w:jc w:val="both"/>
        <w:rPr>
          <w:color w:val="000000"/>
        </w:rPr>
      </w:pPr>
      <w:r>
        <w:rPr>
          <w:rFonts w:ascii="Times New Roman" w:hAnsi="Times New Roman"/>
          <w:color w:val="000000"/>
          <w:sz w:val="28"/>
          <w:szCs w:val="28"/>
        </w:rPr>
        <w:t xml:space="preserve">У висновку міститься інформація про те, квартира № 1, яка розташована за адресою: Волинська область, місто Луцьк, вулиця Крилова, буд. 6 переобладнана під торгово-офісне приміщення. </w:t>
      </w:r>
      <w:r>
        <w:rPr>
          <w:rFonts w:eastAsia="Calibri" w:cs="" w:ascii="Times New Roman" w:hAnsi="Times New Roman" w:cstheme="minorBidi" w:eastAsiaTheme="minorHAnsi"/>
          <w:color w:val="000000"/>
          <w:kern w:val="0"/>
          <w:sz w:val="28"/>
          <w:szCs w:val="28"/>
          <w:lang w:val="uk-UA" w:eastAsia="en-US" w:bidi="ar-SA"/>
        </w:rPr>
        <w:t>У</w:t>
      </w:r>
      <w:r>
        <w:rPr>
          <w:rFonts w:ascii="Times New Roman" w:hAnsi="Times New Roman"/>
          <w:color w:val="000000"/>
          <w:sz w:val="28"/>
          <w:szCs w:val="28"/>
        </w:rPr>
        <w:t xml:space="preserve"> результаті такого переобладнання збільшена площа приміщення на 20,6 м кв. А також, інженером здійснюється посилання на п. 3.2 Інструкції про порядок проведення технічної інвентаризації об’єктів нерухомого майна, не належить до самочинного будівництва та робиться висновок, що утворене в результаті торгово-офісне приміщення, не підлягає узаконенню та додатковому введенню в експлуатацію.</w:t>
      </w:r>
    </w:p>
    <w:p>
      <w:pPr>
        <w:pStyle w:val="Normal"/>
        <w:spacing w:lineRule="auto" w:line="240" w:before="0" w:after="0"/>
        <w:ind w:left="0" w:right="0" w:firstLine="567"/>
        <w:jc w:val="both"/>
        <w:rPr>
          <w:color w:val="000000"/>
        </w:rPr>
      </w:pPr>
      <w:r>
        <w:rPr>
          <w:rFonts w:eastAsia="Calibri" w:cs="" w:ascii="Times New Roman" w:hAnsi="Times New Roman" w:cstheme="minorBidi" w:eastAsiaTheme="minorHAnsi"/>
          <w:color w:val="000000"/>
          <w:kern w:val="0"/>
          <w:sz w:val="28"/>
          <w:szCs w:val="28"/>
          <w:lang w:val="uk-UA" w:eastAsia="en-US" w:bidi="ar-SA"/>
        </w:rPr>
        <w:t>Надалі</w:t>
      </w:r>
      <w:r>
        <w:rPr>
          <w:rFonts w:ascii="Times New Roman" w:hAnsi="Times New Roman"/>
          <w:color w:val="000000"/>
          <w:sz w:val="28"/>
          <w:szCs w:val="28"/>
        </w:rPr>
        <w:t>, складений Кіцом Іваном Йосиповичем висновок, став підставою для проведення реєстраційних дій без наявних необхідних дозвільних документів, зокрема, для переведення квартири № 1 на вулиці Крилова, 6 під торгово-офісне приміщення.</w:t>
      </w:r>
    </w:p>
    <w:p>
      <w:pPr>
        <w:pStyle w:val="Normal"/>
        <w:spacing w:lineRule="auto" w:line="240" w:before="0" w:after="0"/>
        <w:ind w:left="0" w:right="0" w:firstLine="567"/>
        <w:jc w:val="both"/>
        <w:rPr>
          <w:color w:val="000000"/>
        </w:rPr>
      </w:pPr>
      <w:r>
        <w:rPr>
          <w:rFonts w:ascii="Times New Roman" w:hAnsi="Times New Roman"/>
          <w:color w:val="000000"/>
          <w:sz w:val="28"/>
          <w:szCs w:val="28"/>
        </w:rPr>
        <w:t xml:space="preserve">Складення Кіцом Іваном Йосиповичем висновку від 19.07.2021 № 682 про технічний стан об’єкта нерухомого майна відбулося з порушенням норм чинного законодавства. Зокрема, неправомірно зазначено, що «утворене в результаті торгово-офісне приміщення не підлягає узаконенню та додатковому введенню в експлуатацію», оскільки зміна функціонального призначення вимагає наявність дозвільних документів. До того ж у своєму висновку Кіц Іван Йосипович посилається на п. 3.2 Інструкції про порядок проведення технічної інвентаризації об’єктів нерухомого майна, проте, чинна на момент складання висновку редакція Інструкції не містить пункту 3.2. Тобто, експертом здійснено посилання на нормативний акт, який є нечинним. </w:t>
      </w:r>
    </w:p>
    <w:p>
      <w:pPr>
        <w:pStyle w:val="Normal"/>
        <w:spacing w:lineRule="auto" w:line="240" w:before="0" w:after="0"/>
        <w:ind w:left="0" w:right="0" w:firstLine="567"/>
        <w:jc w:val="both"/>
        <w:rPr>
          <w:color w:val="000000"/>
        </w:rPr>
      </w:pPr>
      <w:r>
        <w:rPr>
          <w:rFonts w:ascii="Times New Roman" w:hAnsi="Times New Roman"/>
          <w:color w:val="000000"/>
          <w:sz w:val="28"/>
          <w:szCs w:val="28"/>
        </w:rPr>
        <w:t>Складання інженером висновку, посилаючись на завідомо нечинні норми законодавства та зазначення недостовірної інформації у висновку, який в майбутньому був використаний в незаконних діях, вважаємо порушенням, яке тягне за собою кримінальну відповідальність.</w:t>
      </w:r>
    </w:p>
    <w:p>
      <w:pPr>
        <w:pStyle w:val="Normal"/>
        <w:spacing w:lineRule="auto" w:line="240" w:before="0" w:after="0"/>
        <w:ind w:left="0" w:right="0" w:firstLine="567"/>
        <w:jc w:val="both"/>
        <w:rPr>
          <w:color w:val="000000"/>
        </w:rPr>
      </w:pPr>
      <w:r>
        <w:rPr>
          <w:rFonts w:ascii="Times New Roman" w:hAnsi="Times New Roman"/>
          <w:color w:val="000000"/>
          <w:sz w:val="28"/>
          <w:szCs w:val="28"/>
        </w:rPr>
        <w:t>Враховуючи вищевказані обставини, ми, депутати Луцької міської ради, з метою недопущення самочинного будівництва та забезпечення дотримання законодавства у сфері будівництва, просимо Всеукраїнську громадську організацію «Асоціація експертів будівельної галузі» та Атестаційну архітектурно-будівельну комісію Міністерства регіонального розвитку, будівництва та житлово-комунального господарства розглянути питання щодо позбавлення Кіца Івана Йосиповича сертифікату, який надає право на проведення технічної інвентаризації об’єктів нерухомого майна та притягнення до відповідальності згідно з чинним законодавством.</w:t>
      </w:r>
      <w:bookmarkStart w:id="1" w:name="_GoBack"/>
      <w:bookmarkEnd w:id="1"/>
    </w:p>
    <w:p>
      <w:pPr>
        <w:pStyle w:val="Normal"/>
        <w:spacing w:lineRule="auto" w:line="240"/>
        <w:ind w:left="0" w:right="0"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lineRule="auto" w:line="240"/>
        <w:ind w:left="0" w:right="0"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suppressAutoHyphens w:val="true"/>
        <w:bidi w:val="0"/>
        <w:spacing w:lineRule="auto" w:line="240" w:before="0" w:after="160"/>
        <w:ind w:left="0" w:right="0" w:hanging="0"/>
        <w:jc w:val="both"/>
        <w:rPr>
          <w:color w:val="000000"/>
        </w:rPr>
      </w:pPr>
      <w:r>
        <w:rPr>
          <w:rFonts w:cs="Times New Roman" w:ascii="Times New Roman" w:hAnsi="Times New Roman"/>
          <w:color w:val="000000"/>
          <w:sz w:val="28"/>
          <w:szCs w:val="28"/>
        </w:rPr>
        <w:t>Секретар міської ради                                                              Юрій БЕЗПЯТКО</w:t>
      </w:r>
    </w:p>
    <w:sectPr>
      <w:type w:val="nextPage"/>
      <w:pgSz w:w="11906" w:h="16838"/>
      <w:pgMar w:left="1701" w:right="567" w:header="0" w:top="567" w:footer="0" w:bottom="1701"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ourier New">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4e2a"/>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1" w:customStyle="1">
    <w:name w:val="Гіперпосилання1"/>
    <w:basedOn w:val="DefaultParagraphFont"/>
    <w:uiPriority w:val="99"/>
    <w:semiHidden/>
    <w:unhideWhenUsed/>
    <w:qFormat/>
    <w:rsid w:val="001c6f0b"/>
    <w:rPr>
      <w:color w:val="0000FF"/>
      <w:u w:val="single"/>
    </w:rPr>
  </w:style>
  <w:style w:type="character" w:styleId="HTML" w:customStyle="1">
    <w:name w:val="Стандартний HTML Знак"/>
    <w:basedOn w:val="DefaultParagraphFont"/>
    <w:link w:val="HTML"/>
    <w:uiPriority w:val="99"/>
    <w:qFormat/>
    <w:rsid w:val="00df5efb"/>
    <w:rPr>
      <w:rFonts w:ascii="Courier New" w:hAnsi="Courier New" w:eastAsia="Times New Roman" w:cs="Courier New"/>
      <w:sz w:val="20"/>
      <w:szCs w:val="20"/>
      <w:lang w:val="ru-RU" w:eastAsia="ru-RU"/>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Style19">
    <w:name w:val="Title"/>
    <w:basedOn w:val="Normal"/>
    <w:next w:val="Style15"/>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ormalWeb">
    <w:name w:val="Normal (Web)"/>
    <w:basedOn w:val="Normal"/>
    <w:uiPriority w:val="99"/>
    <w:semiHidden/>
    <w:unhideWhenUsed/>
    <w:qFormat/>
    <w:rsid w:val="00ed2342"/>
    <w:pPr>
      <w:spacing w:lineRule="auto" w:line="240" w:beforeAutospacing="1" w:afterAutospacing="1"/>
    </w:pPr>
    <w:rPr>
      <w:rFonts w:ascii="Times New Roman" w:hAnsi="Times New Roman" w:eastAsia="Times New Roman" w:cs="Times New Roman"/>
      <w:sz w:val="24"/>
      <w:szCs w:val="24"/>
      <w:lang w:eastAsia="uk-UA"/>
    </w:rPr>
  </w:style>
  <w:style w:type="paragraph" w:styleId="ListParagraph">
    <w:name w:val="List Paragraph"/>
    <w:basedOn w:val="Normal"/>
    <w:uiPriority w:val="34"/>
    <w:qFormat/>
    <w:rsid w:val="00766f4c"/>
    <w:pPr>
      <w:spacing w:before="0" w:after="160"/>
      <w:ind w:left="720" w:hanging="0"/>
      <w:contextualSpacing/>
    </w:pPr>
    <w:rPr/>
  </w:style>
  <w:style w:type="paragraph" w:styleId="NoSpacing">
    <w:name w:val="No Spacing"/>
    <w:uiPriority w:val="1"/>
    <w:qFormat/>
    <w:rsid w:val="00c46f98"/>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HTMLPreformatted">
    <w:name w:val="HTML Preformatted"/>
    <w:basedOn w:val="Normal"/>
    <w:link w:val="HTML0"/>
    <w:uiPriority w:val="99"/>
    <w:unhideWhenUsed/>
    <w:qFormat/>
    <w:rsid w:val="00df5ef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spacing w:lineRule="auto" w:line="240" w:before="0" w:after="0"/>
    </w:pPr>
    <w:rPr>
      <w:rFonts w:ascii="Courier New" w:hAnsi="Courier New" w:eastAsia="Times New Roman" w:cs="Courier New"/>
      <w:sz w:val="20"/>
      <w:szCs w:val="20"/>
      <w:lang w:val="ru-RU"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Application>LibreOffice/7.1.3.2$Windows_X86_64 LibreOffice_project/47f78053abe362b9384784d31a6e56f8511eb1c1</Application>
  <AppVersion>15.0000</AppVersion>
  <Pages>3</Pages>
  <Words>697</Words>
  <Characters>5054</Characters>
  <CharactersWithSpaces>5798</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2023-02-09T08:51:00Z</dcterms:created>
  <dc:creator>Asus</dc:creator>
  <dc:description/>
  <dc:language>uk-UA</dc:language>
  <cp:lastModifiedBy/>
  <cp:lastPrinted>2023-02-09T15:51:36Z</cp:lastPrinted>
  <dcterms:modified xsi:type="dcterms:W3CDTF">2023-02-10T10:03:15Z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